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787" w:rsidRDefault="00B8197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7</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R2-1</w:t>
      </w:r>
      <w:r w:rsidR="00B94E3C">
        <w:rPr>
          <w:rFonts w:ascii="Arial" w:hAnsi="Arial" w:cs="Arial"/>
          <w:b/>
          <w:bCs/>
          <w:snapToGrid w:val="0"/>
          <w:kern w:val="0"/>
          <w:sz w:val="24"/>
        </w:rPr>
        <w:t>909271</w:t>
      </w:r>
    </w:p>
    <w:p w:rsidR="00411787" w:rsidRDefault="00B8197C">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ascii="Arial" w:hAnsi="Arial" w:cs="Arial" w:hint="eastAsia"/>
          <w:b/>
          <w:bCs/>
          <w:kern w:val="0"/>
          <w:sz w:val="24"/>
        </w:rPr>
        <w:t>Prague</w:t>
      </w:r>
      <w:r>
        <w:rPr>
          <w:rFonts w:ascii="Arial" w:hAnsi="Arial" w:cs="Arial"/>
          <w:b/>
          <w:bCs/>
          <w:kern w:val="0"/>
          <w:sz w:val="24"/>
          <w:lang w:val="en-GB"/>
        </w:rPr>
        <w:t xml:space="preserve">, </w:t>
      </w:r>
      <w:r>
        <w:rPr>
          <w:rFonts w:ascii="Arial" w:hAnsi="Arial" w:cs="Arial" w:hint="eastAsia"/>
          <w:b/>
          <w:bCs/>
          <w:kern w:val="0"/>
          <w:sz w:val="24"/>
        </w:rPr>
        <w:t>Czech</w:t>
      </w:r>
      <w:r>
        <w:rPr>
          <w:rFonts w:ascii="Arial" w:hAnsi="Arial" w:cs="Arial"/>
          <w:b/>
          <w:bCs/>
          <w:kern w:val="0"/>
          <w:sz w:val="24"/>
          <w:lang w:val="en-GB"/>
        </w:rPr>
        <w:t xml:space="preserve">, </w:t>
      </w:r>
      <w:r>
        <w:rPr>
          <w:rFonts w:ascii="Arial" w:hAnsi="Arial" w:cs="Arial" w:hint="eastAsia"/>
          <w:b/>
          <w:bCs/>
          <w:kern w:val="0"/>
          <w:sz w:val="24"/>
        </w:rPr>
        <w:t>26</w:t>
      </w:r>
      <w:r>
        <w:rPr>
          <w:rFonts w:ascii="Arial" w:hAnsi="Arial" w:cs="Arial" w:hint="eastAsia"/>
          <w:b/>
          <w:bCs/>
          <w:kern w:val="0"/>
          <w:sz w:val="24"/>
          <w:vertAlign w:val="superscript"/>
        </w:rPr>
        <w:t>th</w:t>
      </w:r>
      <w:r>
        <w:rPr>
          <w:rFonts w:ascii="Arial" w:hAnsi="Arial" w:cs="Arial"/>
          <w:b/>
          <w:bCs/>
          <w:kern w:val="0"/>
          <w:sz w:val="24"/>
          <w:lang w:val="en-GB"/>
        </w:rPr>
        <w:t xml:space="preserve"> – </w:t>
      </w:r>
      <w:r>
        <w:rPr>
          <w:rFonts w:ascii="Arial" w:hAnsi="Arial" w:cs="Arial" w:hint="eastAsia"/>
          <w:b/>
          <w:bCs/>
          <w:kern w:val="0"/>
          <w:sz w:val="24"/>
        </w:rPr>
        <w:t>30</w:t>
      </w:r>
      <w:r>
        <w:rPr>
          <w:rFonts w:ascii="Arial" w:hAnsi="Arial" w:cs="Arial" w:hint="eastAsia"/>
          <w:b/>
          <w:bCs/>
          <w:kern w:val="0"/>
          <w:sz w:val="24"/>
          <w:vertAlign w:val="superscript"/>
        </w:rPr>
        <w:t>th</w:t>
      </w:r>
      <w:r>
        <w:rPr>
          <w:rFonts w:ascii="Arial" w:hAnsi="Arial" w:cs="Arial"/>
          <w:b/>
          <w:bCs/>
          <w:kern w:val="0"/>
          <w:sz w:val="24"/>
          <w:lang w:val="en-GB"/>
        </w:rPr>
        <w:t xml:space="preserve"> </w:t>
      </w:r>
      <w:r>
        <w:rPr>
          <w:rFonts w:ascii="Arial" w:hAnsi="Arial" w:cs="Arial" w:hint="eastAsia"/>
          <w:b/>
          <w:bCs/>
          <w:kern w:val="0"/>
          <w:sz w:val="24"/>
        </w:rPr>
        <w:t>Aug</w:t>
      </w:r>
      <w:r>
        <w:rPr>
          <w:rFonts w:ascii="Arial" w:hAnsi="Arial" w:cs="Arial"/>
          <w:b/>
          <w:bCs/>
          <w:kern w:val="0"/>
          <w:sz w:val="24"/>
          <w:lang w:val="en-GB"/>
        </w:rPr>
        <w:t xml:space="preserve"> 201</w:t>
      </w:r>
      <w:r>
        <w:rPr>
          <w:rFonts w:ascii="Arial" w:hAnsi="Arial" w:cs="Arial" w:hint="eastAsia"/>
          <w:b/>
          <w:bCs/>
          <w:kern w:val="0"/>
          <w:sz w:val="24"/>
        </w:rPr>
        <w:t>9</w:t>
      </w:r>
      <w:r>
        <w:rPr>
          <w:rFonts w:ascii="Arial" w:hAnsi="Arial" w:cs="Arial"/>
          <w:b/>
          <w:bCs/>
          <w:kern w:val="0"/>
          <w:sz w:val="24"/>
        </w:rPr>
        <w:t xml:space="preserve"> </w:t>
      </w:r>
      <w:r>
        <w:rPr>
          <w:rFonts w:ascii="Arial" w:hAnsi="Arial" w:cs="Arial"/>
          <w:b/>
          <w:bCs/>
          <w:kern w:val="0"/>
          <w:sz w:val="24"/>
          <w:lang w:val="en-GB"/>
        </w:rPr>
        <w:tab/>
      </w:r>
    </w:p>
    <w:p w:rsidR="00411787" w:rsidRDefault="00B8197C">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411787" w:rsidRDefault="00B8197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411787" w:rsidRDefault="00B8197C">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Autonomous Search Function of the Private Network</w:t>
      </w:r>
    </w:p>
    <w:p w:rsidR="00411787" w:rsidRDefault="00B8197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w:t>
      </w:r>
      <w:r w:rsidR="001E459B">
        <w:rPr>
          <w:rFonts w:ascii="Arial" w:hAnsi="Arial" w:cs="Arial"/>
          <w:b/>
          <w:bCs/>
          <w:snapToGrid w:val="0"/>
          <w:kern w:val="0"/>
          <w:sz w:val="24"/>
        </w:rPr>
        <w:t>1</w:t>
      </w:r>
      <w:r>
        <w:rPr>
          <w:rFonts w:ascii="Arial" w:hAnsi="Arial" w:cs="Arial" w:hint="eastAsia"/>
          <w:b/>
          <w:bCs/>
          <w:snapToGrid w:val="0"/>
          <w:kern w:val="0"/>
          <w:sz w:val="24"/>
        </w:rPr>
        <w:t>8</w:t>
      </w:r>
      <w:bookmarkStart w:id="1" w:name="_GoBack"/>
      <w:bookmarkEnd w:id="1"/>
    </w:p>
    <w:p w:rsidR="00411787" w:rsidRDefault="00B8197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411787" w:rsidRDefault="00B8197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421B7" w:rsidRDefault="00F421B7" w:rsidP="00F421B7">
      <w:pPr>
        <w:rPr>
          <w:rFonts w:cstheme="minorHAnsi"/>
        </w:rPr>
      </w:pPr>
      <w:r>
        <w:rPr>
          <w:rFonts w:cstheme="minorHAnsi"/>
          <w:lang w:val="en-GB"/>
        </w:rPr>
        <w:t>In RAN Plenary #83,</w:t>
      </w:r>
      <w:r>
        <w:rPr>
          <w:rFonts w:cstheme="minorHAnsi" w:hint="eastAsia"/>
        </w:rPr>
        <w:t xml:space="preserve"> a new Work Item on private network was approved [1] with the following objectives:</w:t>
      </w:r>
    </w:p>
    <w:tbl>
      <w:tblPr>
        <w:tblStyle w:val="TableGrid"/>
        <w:tblW w:w="8363" w:type="dxa"/>
        <w:tblInd w:w="704" w:type="dxa"/>
        <w:tblLayout w:type="fixed"/>
        <w:tblLook w:val="04A0" w:firstRow="1" w:lastRow="0" w:firstColumn="1" w:lastColumn="0" w:noHBand="0" w:noVBand="1"/>
      </w:tblPr>
      <w:tblGrid>
        <w:gridCol w:w="8363"/>
      </w:tblGrid>
      <w:tr w:rsidR="00A10FB8" w:rsidTr="000E52C4">
        <w:tc>
          <w:tcPr>
            <w:tcW w:w="8363" w:type="dxa"/>
          </w:tcPr>
          <w:p w:rsidR="00A10FB8" w:rsidRDefault="00A10FB8" w:rsidP="000E52C4">
            <w:pPr>
              <w:numPr>
                <w:ilvl w:val="0"/>
                <w:numId w:val="5"/>
              </w:numPr>
              <w:ind w:right="-99"/>
              <w:rPr>
                <w:rFonts w:eastAsia="Malgun Gothic"/>
                <w:i/>
                <w:iCs/>
                <w:sz w:val="18"/>
                <w:szCs w:val="18"/>
              </w:rPr>
            </w:pPr>
            <w:r>
              <w:rPr>
                <w:rFonts w:eastAsia="Malgun Gothic"/>
                <w:i/>
                <w:iCs/>
                <w:sz w:val="18"/>
                <w:szCs w:val="18"/>
              </w:rPr>
              <w:t>Support NPN functionality in NG-RAN:</w:t>
            </w:r>
          </w:p>
          <w:p w:rsidR="00A10FB8" w:rsidRDefault="00A10FB8" w:rsidP="000E52C4">
            <w:pPr>
              <w:numPr>
                <w:ilvl w:val="1"/>
                <w:numId w:val="5"/>
              </w:numPr>
              <w:ind w:right="-99"/>
              <w:rPr>
                <w:rFonts w:eastAsia="Malgun Gothic"/>
                <w:i/>
                <w:iCs/>
                <w:sz w:val="18"/>
                <w:szCs w:val="18"/>
              </w:rPr>
            </w:pPr>
            <w:r>
              <w:rPr>
                <w:rFonts w:eastAsia="Malgun Gothic"/>
                <w:i/>
                <w:iCs/>
                <w:sz w:val="18"/>
                <w:szCs w:val="18"/>
              </w:rPr>
              <w:t>CAG/SNPN relevant parameter broadcast from SIB</w:t>
            </w:r>
            <w:r>
              <w:rPr>
                <w:rFonts w:eastAsia="Malgun Gothic" w:hint="eastAsia"/>
                <w:i/>
                <w:iCs/>
                <w:sz w:val="18"/>
                <w:szCs w:val="18"/>
              </w:rPr>
              <w:t xml:space="preserve"> </w:t>
            </w:r>
            <w:r>
              <w:rPr>
                <w:rFonts w:eastAsia="Malgun Gothic"/>
                <w:i/>
                <w:iCs/>
                <w:sz w:val="18"/>
                <w:szCs w:val="18"/>
              </w:rPr>
              <w:t>[RAN2]</w:t>
            </w:r>
          </w:p>
          <w:p w:rsidR="00A10FB8" w:rsidRDefault="00A10FB8" w:rsidP="000E52C4">
            <w:pPr>
              <w:numPr>
                <w:ilvl w:val="1"/>
                <w:numId w:val="5"/>
              </w:numPr>
              <w:ind w:right="-99"/>
              <w:rPr>
                <w:rFonts w:eastAsia="Malgun Gothic"/>
                <w:i/>
                <w:iCs/>
                <w:sz w:val="18"/>
                <w:szCs w:val="18"/>
              </w:rPr>
            </w:pPr>
            <w:r>
              <w:rPr>
                <w:rFonts w:eastAsia="Malgun Gothic"/>
                <w:i/>
                <w:iCs/>
                <w:sz w:val="18"/>
                <w:szCs w:val="18"/>
              </w:rPr>
              <w:t>CAG/SNPN cell selection/reselection [RAN2]</w:t>
            </w:r>
          </w:p>
          <w:p w:rsidR="00A10FB8" w:rsidRDefault="00A10FB8" w:rsidP="000E52C4">
            <w:pPr>
              <w:numPr>
                <w:ilvl w:val="1"/>
                <w:numId w:val="5"/>
              </w:numPr>
              <w:ind w:right="-99"/>
              <w:rPr>
                <w:rFonts w:eastAsia="Malgun Gothic"/>
                <w:i/>
                <w:iCs/>
                <w:sz w:val="18"/>
                <w:szCs w:val="18"/>
              </w:rPr>
            </w:pPr>
            <w:r>
              <w:rPr>
                <w:rFonts w:eastAsia="Malgun Gothic"/>
                <w:i/>
                <w:iCs/>
                <w:sz w:val="18"/>
                <w:szCs w:val="18"/>
              </w:rPr>
              <w:t>CAG/SNPN cell access control [RAN2/3]</w:t>
            </w:r>
          </w:p>
          <w:p w:rsidR="00A10FB8" w:rsidRDefault="00A10FB8" w:rsidP="000E52C4">
            <w:pPr>
              <w:numPr>
                <w:ilvl w:val="1"/>
                <w:numId w:val="5"/>
              </w:numPr>
              <w:ind w:right="-99"/>
              <w:rPr>
                <w:rFonts w:eastAsia="Malgun Gothic"/>
                <w:i/>
                <w:iCs/>
                <w:sz w:val="18"/>
                <w:szCs w:val="18"/>
              </w:rPr>
            </w:pPr>
            <w:r>
              <w:rPr>
                <w:rFonts w:eastAsia="Malgun Gothic"/>
                <w:i/>
                <w:iCs/>
                <w:sz w:val="18"/>
                <w:szCs w:val="18"/>
              </w:rPr>
              <w:t xml:space="preserve">For CAG, in the case of Intra-RAT intra-system and inter-RAT intra-system, the connected mode mobility support [RAN2/3] </w:t>
            </w:r>
          </w:p>
          <w:p w:rsidR="00A10FB8" w:rsidRDefault="00A10FB8" w:rsidP="000E52C4">
            <w:pPr>
              <w:numPr>
                <w:ilvl w:val="1"/>
                <w:numId w:val="5"/>
              </w:numPr>
              <w:ind w:right="-99"/>
              <w:rPr>
                <w:rFonts w:eastAsia="Malgun Gothic" w:cstheme="minorHAnsi"/>
              </w:rPr>
            </w:pPr>
            <w:r>
              <w:rPr>
                <w:rFonts w:eastAsia="Malgun Gothic"/>
                <w:i/>
                <w:iCs/>
                <w:sz w:val="18"/>
                <w:szCs w:val="18"/>
              </w:rPr>
              <w:t>The connected mode mobility support within SNPN[RAN2/3]</w:t>
            </w:r>
          </w:p>
        </w:tc>
      </w:tr>
    </w:tbl>
    <w:p w:rsidR="00F421B7" w:rsidRPr="00E06B75" w:rsidRDefault="00F421B7" w:rsidP="00F421B7">
      <w:pPr>
        <w:spacing w:line="240" w:lineRule="auto"/>
        <w:rPr>
          <w:rFonts w:cstheme="minorHAnsi"/>
          <w:lang w:val="en-GB"/>
        </w:rPr>
      </w:pPr>
      <w:r w:rsidRPr="00E06B75">
        <w:rPr>
          <w:rFonts w:cstheme="minorHAnsi"/>
          <w:lang w:val="en-GB"/>
        </w:rPr>
        <w:t xml:space="preserve">During the CSG discussion, the autonomous search function was proposed to assist cell reselection. </w:t>
      </w:r>
      <w:r w:rsidRPr="00E06B75">
        <w:rPr>
          <w:rFonts w:cstheme="minorHAnsi" w:hint="eastAsia"/>
          <w:lang w:val="en-GB"/>
        </w:rPr>
        <w:t>I</w:t>
      </w:r>
      <w:r w:rsidRPr="00E06B75">
        <w:rPr>
          <w:rFonts w:cstheme="minorHAnsi"/>
          <w:lang w:val="en-GB"/>
        </w:rPr>
        <w:t>n this contribution, we discuss autonomous search related issues for the SNPN and CAG.</w:t>
      </w:r>
    </w:p>
    <w:p w:rsidR="00411787" w:rsidRDefault="00B8197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EB05F1" w:rsidRDefault="00EB05F1" w:rsidP="00EB05F1">
      <w:pPr>
        <w:pStyle w:val="B1"/>
        <w:ind w:left="0" w:firstLine="0"/>
        <w:jc w:val="both"/>
        <w:rPr>
          <w:rFonts w:cstheme="minorHAnsi"/>
          <w:kern w:val="2"/>
          <w:sz w:val="21"/>
          <w:szCs w:val="24"/>
          <w:lang w:val="en-US" w:eastAsia="zh-CN"/>
        </w:rPr>
      </w:pPr>
      <w:r>
        <w:rPr>
          <w:rFonts w:cstheme="minorHAnsi" w:hint="eastAsia"/>
          <w:kern w:val="2"/>
          <w:sz w:val="21"/>
          <w:szCs w:val="24"/>
          <w:lang w:val="en-US" w:eastAsia="zh-CN"/>
        </w:rPr>
        <w:t>During the CSG discussion, as proposed in [2], for most scenarios</w:t>
      </w:r>
      <w:r>
        <w:rPr>
          <w:rFonts w:cstheme="minorHAnsi"/>
          <w:kern w:val="2"/>
          <w:sz w:val="21"/>
          <w:szCs w:val="24"/>
          <w:lang w:val="en-US" w:eastAsia="zh-CN"/>
        </w:rPr>
        <w:t>,</w:t>
      </w:r>
      <w:r>
        <w:rPr>
          <w:rFonts w:cstheme="minorHAnsi" w:hint="eastAsia"/>
          <w:kern w:val="2"/>
          <w:sz w:val="21"/>
          <w:szCs w:val="24"/>
          <w:lang w:val="en-US" w:eastAsia="zh-CN"/>
        </w:rPr>
        <w:t xml:space="preserve"> </w:t>
      </w:r>
      <w:r>
        <w:rPr>
          <w:rFonts w:cstheme="minorHAnsi"/>
          <w:kern w:val="2"/>
          <w:sz w:val="21"/>
          <w:szCs w:val="24"/>
          <w:lang w:val="en-US" w:eastAsia="zh-CN"/>
        </w:rPr>
        <w:t>“</w:t>
      </w:r>
      <w:r>
        <w:rPr>
          <w:rFonts w:cstheme="minorHAnsi" w:hint="eastAsia"/>
          <w:kern w:val="2"/>
          <w:sz w:val="21"/>
          <w:szCs w:val="24"/>
          <w:lang w:val="en-US" w:eastAsia="zh-CN"/>
        </w:rPr>
        <w:t xml:space="preserve"> the operator neither have influence nor information where CSG cells are deployed</w:t>
      </w:r>
      <w:r>
        <w:rPr>
          <w:rFonts w:cstheme="minorHAnsi"/>
          <w:kern w:val="2"/>
          <w:sz w:val="21"/>
          <w:szCs w:val="24"/>
          <w:lang w:val="en-US" w:eastAsia="zh-CN"/>
        </w:rPr>
        <w:t>”</w:t>
      </w:r>
      <w:r>
        <w:rPr>
          <w:rFonts w:cstheme="minorHAnsi" w:hint="eastAsia"/>
          <w:kern w:val="2"/>
          <w:sz w:val="21"/>
          <w:szCs w:val="24"/>
          <w:lang w:val="en-US" w:eastAsia="zh-CN"/>
        </w:rPr>
        <w:t>, so it</w:t>
      </w:r>
      <w:r>
        <w:rPr>
          <w:rFonts w:cstheme="minorHAnsi"/>
          <w:kern w:val="2"/>
          <w:sz w:val="21"/>
          <w:szCs w:val="24"/>
          <w:lang w:val="en-US" w:eastAsia="zh-CN"/>
        </w:rPr>
        <w:t>’</w:t>
      </w:r>
      <w:r>
        <w:rPr>
          <w:rFonts w:cstheme="minorHAnsi" w:hint="eastAsia"/>
          <w:kern w:val="2"/>
          <w:sz w:val="21"/>
          <w:szCs w:val="24"/>
          <w:lang w:val="en-US" w:eastAsia="zh-CN"/>
        </w:rPr>
        <w:t>s impossible to support inbound CSG mobility from the normal cells based on normal cell reselection procedure, that is why autonomous search was proposed</w:t>
      </w:r>
      <w:r>
        <w:rPr>
          <w:rFonts w:cstheme="minorHAnsi"/>
          <w:kern w:val="2"/>
          <w:sz w:val="21"/>
          <w:szCs w:val="24"/>
          <w:lang w:val="en-US" w:eastAsia="zh-CN"/>
        </w:rPr>
        <w:t>. When it comes to the private network, as described in [3][4], there would be three different scenarios:</w:t>
      </w:r>
    </w:p>
    <w:p w:rsidR="00EB05F1" w:rsidRDefault="00EB05F1" w:rsidP="00EB05F1">
      <w:pPr>
        <w:spacing w:line="260" w:lineRule="auto"/>
        <w:ind w:leftChars="200" w:left="420"/>
      </w:pPr>
      <w:r>
        <w:rPr>
          <w:rFonts w:hint="eastAsia"/>
        </w:rPr>
        <w:t xml:space="preserve">Scenario 1: The UE can only access the network through cells with the matched SNPN ID. </w:t>
      </w:r>
    </w:p>
    <w:p w:rsidR="00EB05F1" w:rsidRDefault="00EB05F1" w:rsidP="00EB05F1">
      <w:pPr>
        <w:spacing w:line="260" w:lineRule="auto"/>
        <w:ind w:firstLineChars="200" w:firstLine="420"/>
      </w:pPr>
      <w:r>
        <w:t>Scenario</w:t>
      </w:r>
      <w:r>
        <w:rPr>
          <w:rFonts w:hint="eastAsia"/>
        </w:rPr>
        <w:t xml:space="preserve"> 2: The UE can only access the 5Gs via CAG cells.</w:t>
      </w:r>
    </w:p>
    <w:p w:rsidR="00EB05F1" w:rsidRDefault="00EB05F1" w:rsidP="00EB05F1">
      <w:pPr>
        <w:spacing w:line="260" w:lineRule="auto"/>
        <w:ind w:firstLineChars="200" w:firstLine="420"/>
      </w:pPr>
      <w:r>
        <w:t>Scenario</w:t>
      </w:r>
      <w:r>
        <w:rPr>
          <w:rFonts w:hint="eastAsia"/>
        </w:rPr>
        <w:t xml:space="preserve"> 3: The UE can access the 5Gs though </w:t>
      </w:r>
      <w:r w:rsidR="00284F3B">
        <w:t>both</w:t>
      </w:r>
      <w:r>
        <w:rPr>
          <w:rFonts w:hint="eastAsia"/>
        </w:rPr>
        <w:t xml:space="preserve"> the normal cells </w:t>
      </w:r>
      <w:r w:rsidR="00284F3B">
        <w:t>and</w:t>
      </w:r>
      <w:r>
        <w:rPr>
          <w:rFonts w:hint="eastAsia"/>
        </w:rPr>
        <w:t xml:space="preserve"> the CAG cells.</w:t>
      </w:r>
    </w:p>
    <w:p w:rsidR="00EB05F1" w:rsidRDefault="00F020D5" w:rsidP="00EB05F1">
      <w:pPr>
        <w:pStyle w:val="B1"/>
        <w:ind w:left="0" w:firstLine="0"/>
        <w:jc w:val="both"/>
        <w:rPr>
          <w:lang w:val="en-US" w:eastAsia="zh-CN"/>
        </w:rPr>
      </w:pPr>
      <w:r>
        <w:rPr>
          <w:rFonts w:hint="eastAsia"/>
          <w:lang w:val="en-US" w:eastAsia="zh-CN"/>
        </w:rPr>
        <w:t xml:space="preserve">For the scenario 3, </w:t>
      </w:r>
      <w:r>
        <w:rPr>
          <w:lang w:val="en-US" w:eastAsia="zh-CN"/>
        </w:rPr>
        <w:t>the UE can access both the normal cells and the CAG cells, which is similar to the CSG, it can’t guarantee that the normal cells has necessary information of the neighbor CAG cells</w:t>
      </w:r>
      <w:r w:rsidR="00584054">
        <w:rPr>
          <w:lang w:val="en-US" w:eastAsia="zh-CN"/>
        </w:rPr>
        <w:t xml:space="preserve"> especially for the SOHO, residential scenarios</w:t>
      </w:r>
      <w:r>
        <w:rPr>
          <w:lang w:val="en-US" w:eastAsia="zh-CN"/>
        </w:rPr>
        <w:t xml:space="preserve">. Thus the autonomous search shall be supported to </w:t>
      </w:r>
      <w:r w:rsidR="005A7C7A">
        <w:rPr>
          <w:lang w:val="en-US" w:eastAsia="zh-CN"/>
        </w:rPr>
        <w:t>assist</w:t>
      </w:r>
      <w:r>
        <w:rPr>
          <w:lang w:val="en-US" w:eastAsia="zh-CN"/>
        </w:rPr>
        <w:t xml:space="preserve"> inbound CAG mobility from the normal cells.</w:t>
      </w:r>
    </w:p>
    <w:p w:rsidR="00284F3B" w:rsidRDefault="00F020D5" w:rsidP="00284F3B">
      <w:pPr>
        <w:spacing w:line="260" w:lineRule="auto"/>
        <w:rPr>
          <w:b/>
        </w:rPr>
      </w:pPr>
      <w:r w:rsidRPr="00F020D5">
        <w:rPr>
          <w:rFonts w:hint="eastAsia"/>
          <w:b/>
        </w:rPr>
        <w:lastRenderedPageBreak/>
        <w:t>Proposal 1:</w:t>
      </w:r>
      <w:r>
        <w:rPr>
          <w:b/>
        </w:rPr>
        <w:t xml:space="preserve"> The autonomous search function shall be supported at least for the scenario that the UE can access </w:t>
      </w:r>
      <w:r w:rsidR="00284F3B">
        <w:rPr>
          <w:b/>
        </w:rPr>
        <w:t>both</w:t>
      </w:r>
      <w:r w:rsidR="00284F3B">
        <w:rPr>
          <w:rFonts w:hint="eastAsia"/>
          <w:b/>
        </w:rPr>
        <w:t xml:space="preserve"> the normal cells and</w:t>
      </w:r>
      <w:r w:rsidR="00284F3B" w:rsidRPr="00284F3B">
        <w:rPr>
          <w:rFonts w:hint="eastAsia"/>
          <w:b/>
        </w:rPr>
        <w:t xml:space="preserve"> the CAG cells.</w:t>
      </w:r>
    </w:p>
    <w:p w:rsidR="00087DCD" w:rsidRDefault="001B43A1" w:rsidP="00EE16A6">
      <w:r>
        <w:t xml:space="preserve">For the scenario 1, the UE can only move among cells with the matched SNPN ID, there is no inbound mobility concept anymore. Then the question is whether the autonomous search function is still needed, or in other words, whether there are enough coordination among the </w:t>
      </w:r>
      <w:r w:rsidR="005A7C7A">
        <w:t xml:space="preserve">neighbor </w:t>
      </w:r>
      <w:r>
        <w:t xml:space="preserve">cells with the same SNPN ID. </w:t>
      </w:r>
    </w:p>
    <w:p w:rsidR="00EE16A6" w:rsidRPr="00985825" w:rsidRDefault="001B43A1" w:rsidP="00EE16A6">
      <w:r>
        <w:t xml:space="preserve">If there are enough coordination, </w:t>
      </w:r>
      <w:r w:rsidR="00924429">
        <w:t>the autonomous search is not needed because the UE can detect the neighbor cells by the normal cell reselection function. However, to keep the necessary coordination, the network shall maintain both the intra-freq and the inter-freq neighbor cells information at least. If the network is stab</w:t>
      </w:r>
      <w:r w:rsidR="00EE16A6">
        <w:t xml:space="preserve">le and will not add new nodes frequently, it’s practical to maintain </w:t>
      </w:r>
      <w:r w:rsidR="002C13BB">
        <w:t>such kinds of information</w:t>
      </w:r>
      <w:r w:rsidR="00EE16A6">
        <w:t>. But as described in the justification of [1]:</w:t>
      </w:r>
    </w:p>
    <w:tbl>
      <w:tblPr>
        <w:tblStyle w:val="TableGrid"/>
        <w:tblW w:w="0" w:type="auto"/>
        <w:tblInd w:w="421" w:type="dxa"/>
        <w:tblLook w:val="04A0" w:firstRow="1" w:lastRow="0" w:firstColumn="1" w:lastColumn="0" w:noHBand="0" w:noVBand="1"/>
      </w:tblPr>
      <w:tblGrid>
        <w:gridCol w:w="8363"/>
      </w:tblGrid>
      <w:tr w:rsidR="00985825" w:rsidTr="00985825">
        <w:tc>
          <w:tcPr>
            <w:tcW w:w="8363" w:type="dxa"/>
          </w:tcPr>
          <w:p w:rsidR="00985825" w:rsidRDefault="00985825" w:rsidP="00985825">
            <w:r w:rsidRPr="00985825">
              <w:rPr>
                <w:rFonts w:hint="eastAsia"/>
                <w:i/>
                <w:sz w:val="18"/>
                <w:szCs w:val="18"/>
                <w:lang w:eastAsia="ja-JP"/>
              </w:rPr>
              <w:t>Although</w:t>
            </w:r>
            <w:r w:rsidRPr="00985825">
              <w:rPr>
                <w:i/>
                <w:sz w:val="18"/>
                <w:szCs w:val="18"/>
                <w:lang w:eastAsia="ja-JP"/>
              </w:rPr>
              <w:t xml:space="preserve"> </w:t>
            </w:r>
            <w:r w:rsidRPr="00985825">
              <w:rPr>
                <w:rFonts w:hint="eastAsia"/>
                <w:i/>
                <w:sz w:val="18"/>
                <w:szCs w:val="18"/>
              </w:rPr>
              <w:t>the</w:t>
            </w:r>
            <w:r w:rsidRPr="00985825">
              <w:rPr>
                <w:i/>
                <w:sz w:val="18"/>
                <w:szCs w:val="18"/>
                <w:lang w:eastAsia="ja-JP"/>
              </w:rPr>
              <w:t xml:space="preserve"> </w:t>
            </w:r>
            <w:r w:rsidRPr="00985825">
              <w:rPr>
                <w:rFonts w:hint="eastAsia"/>
                <w:i/>
                <w:sz w:val="18"/>
                <w:szCs w:val="18"/>
              </w:rPr>
              <w:t>non-public</w:t>
            </w:r>
            <w:r w:rsidRPr="00985825">
              <w:rPr>
                <w:i/>
                <w:sz w:val="18"/>
                <w:szCs w:val="18"/>
              </w:rPr>
              <w:t xml:space="preserve"> </w:t>
            </w:r>
            <w:r w:rsidRPr="00985825">
              <w:rPr>
                <w:rFonts w:hint="eastAsia"/>
                <w:i/>
                <w:sz w:val="18"/>
                <w:szCs w:val="18"/>
              </w:rPr>
              <w:t>network</w:t>
            </w:r>
            <w:r w:rsidRPr="00985825">
              <w:rPr>
                <w:i/>
                <w:sz w:val="18"/>
                <w:szCs w:val="18"/>
                <w:lang w:eastAsia="ja-JP"/>
              </w:rPr>
              <w:t xml:space="preserve"> solutions are </w:t>
            </w:r>
            <w:r w:rsidRPr="00985825">
              <w:rPr>
                <w:rFonts w:hint="eastAsia"/>
                <w:i/>
                <w:sz w:val="18"/>
                <w:szCs w:val="18"/>
                <w:lang w:eastAsia="ja-JP"/>
              </w:rPr>
              <w:t>limited</w:t>
            </w:r>
            <w:r w:rsidRPr="00985825">
              <w:rPr>
                <w:i/>
                <w:sz w:val="18"/>
                <w:szCs w:val="18"/>
                <w:lang w:eastAsia="ja-JP"/>
              </w:rPr>
              <w:t xml:space="preserve"> </w:t>
            </w:r>
            <w:r w:rsidRPr="00985825">
              <w:rPr>
                <w:rFonts w:hint="eastAsia"/>
                <w:i/>
                <w:sz w:val="18"/>
                <w:szCs w:val="18"/>
                <w:lang w:eastAsia="ja-JP"/>
              </w:rPr>
              <w:t>to</w:t>
            </w:r>
            <w:r w:rsidRPr="00985825">
              <w:rPr>
                <w:i/>
                <w:sz w:val="18"/>
                <w:szCs w:val="18"/>
                <w:lang w:eastAsia="ja-JP"/>
              </w:rPr>
              <w:t xml:space="preserve"> </w:t>
            </w:r>
            <w:r w:rsidRPr="00985825">
              <w:rPr>
                <w:rFonts w:hint="eastAsia"/>
                <w:i/>
                <w:sz w:val="18"/>
                <w:szCs w:val="18"/>
                <w:lang w:eastAsia="ja-JP"/>
              </w:rPr>
              <w:t>the</w:t>
            </w:r>
            <w:r w:rsidRPr="00985825">
              <w:rPr>
                <w:i/>
                <w:sz w:val="18"/>
                <w:szCs w:val="18"/>
                <w:lang w:eastAsia="ja-JP"/>
              </w:rPr>
              <w:t xml:space="preserve"> support of Vertical and LAN Services </w:t>
            </w:r>
            <w:r w:rsidRPr="00985825">
              <w:rPr>
                <w:rFonts w:hint="eastAsia"/>
                <w:i/>
                <w:sz w:val="18"/>
                <w:szCs w:val="18"/>
                <w:lang w:eastAsia="ja-JP"/>
              </w:rPr>
              <w:t>in</w:t>
            </w:r>
            <w:r w:rsidRPr="00985825">
              <w:rPr>
                <w:i/>
                <w:sz w:val="18"/>
                <w:szCs w:val="18"/>
                <w:lang w:eastAsia="ja-JP"/>
              </w:rPr>
              <w:t xml:space="preserve"> </w:t>
            </w:r>
            <w:r w:rsidRPr="00985825">
              <w:rPr>
                <w:rFonts w:hint="eastAsia"/>
                <w:i/>
                <w:sz w:val="18"/>
                <w:szCs w:val="18"/>
                <w:lang w:eastAsia="ja-JP"/>
              </w:rPr>
              <w:t>SA</w:t>
            </w:r>
            <w:r w:rsidRPr="00985825">
              <w:rPr>
                <w:i/>
                <w:sz w:val="18"/>
                <w:szCs w:val="18"/>
                <w:lang w:eastAsia="ja-JP"/>
              </w:rPr>
              <w:t>2</w:t>
            </w:r>
            <w:r w:rsidRPr="00985825">
              <w:rPr>
                <w:rFonts w:hint="eastAsia"/>
                <w:i/>
                <w:sz w:val="18"/>
                <w:szCs w:val="18"/>
                <w:lang w:eastAsia="ja-JP"/>
              </w:rPr>
              <w:t>,</w:t>
            </w:r>
            <w:r w:rsidRPr="00985825">
              <w:rPr>
                <w:i/>
                <w:sz w:val="18"/>
                <w:szCs w:val="18"/>
                <w:lang w:eastAsia="ja-JP"/>
              </w:rPr>
              <w:t xml:space="preserve"> from operator points of view, th</w:t>
            </w:r>
            <w:r w:rsidRPr="00985825">
              <w:rPr>
                <w:i/>
                <w:sz w:val="18"/>
                <w:szCs w:val="18"/>
                <w:highlight w:val="cyan"/>
                <w:lang w:eastAsia="ja-JP"/>
              </w:rPr>
              <w:t xml:space="preserve">e solutions of </w:t>
            </w:r>
            <w:r w:rsidRPr="00985825">
              <w:rPr>
                <w:i/>
                <w:sz w:val="18"/>
                <w:szCs w:val="18"/>
                <w:highlight w:val="cyan"/>
              </w:rPr>
              <w:t>public network integrated NPN</w:t>
            </w:r>
            <w:r w:rsidRPr="00985825">
              <w:rPr>
                <w:i/>
                <w:sz w:val="18"/>
                <w:szCs w:val="18"/>
                <w:highlight w:val="cyan"/>
                <w:lang w:eastAsia="ja-JP"/>
              </w:rPr>
              <w:t xml:space="preserve"> </w:t>
            </w:r>
            <w:r w:rsidRPr="00985825">
              <w:rPr>
                <w:rFonts w:hint="eastAsia"/>
                <w:i/>
                <w:sz w:val="18"/>
                <w:szCs w:val="18"/>
                <w:highlight w:val="cyan"/>
              </w:rPr>
              <w:t>may</w:t>
            </w:r>
            <w:r w:rsidRPr="00985825">
              <w:rPr>
                <w:i/>
                <w:sz w:val="18"/>
                <w:szCs w:val="18"/>
                <w:highlight w:val="cyan"/>
                <w:lang w:eastAsia="ja-JP"/>
              </w:rPr>
              <w:t xml:space="preserve"> also be applicable for </w:t>
            </w:r>
            <w:r w:rsidRPr="00985825">
              <w:rPr>
                <w:i/>
                <w:sz w:val="18"/>
                <w:szCs w:val="18"/>
                <w:highlight w:val="cyan"/>
              </w:rPr>
              <w:t>a much wider range of use cases</w:t>
            </w:r>
            <w:r w:rsidRPr="00985825">
              <w:rPr>
                <w:rFonts w:hint="eastAsia"/>
                <w:i/>
                <w:sz w:val="18"/>
                <w:szCs w:val="18"/>
                <w:highlight w:val="cyan"/>
              </w:rPr>
              <w:t>,</w:t>
            </w:r>
            <w:r w:rsidRPr="00985825">
              <w:rPr>
                <w:i/>
                <w:sz w:val="18"/>
                <w:szCs w:val="18"/>
                <w:highlight w:val="cyan"/>
              </w:rPr>
              <w:t xml:space="preserve"> such as</w:t>
            </w:r>
            <w:r w:rsidRPr="00985825">
              <w:rPr>
                <w:i/>
                <w:sz w:val="18"/>
                <w:szCs w:val="18"/>
                <w:highlight w:val="cyan"/>
                <w:lang w:eastAsia="ja-JP"/>
              </w:rPr>
              <w:t xml:space="preserve"> SOHO and residential, private network coverage deployments and so on.</w:t>
            </w:r>
          </w:p>
        </w:tc>
      </w:tr>
    </w:tbl>
    <w:p w:rsidR="002C13BB" w:rsidRDefault="00985825" w:rsidP="002C13BB">
      <w:r>
        <w:t>The private network may also be used for SOHO, residential, private network coverage deployments and so on. For these scenarios, the network deployment will become unpredictable</w:t>
      </w:r>
      <w:r w:rsidR="002C13BB">
        <w:t xml:space="preserve">. It’s hard to configure and maintain neighbor cell relationship exactly. </w:t>
      </w:r>
      <w:r w:rsidR="00087DCD">
        <w:t>Furthermore, once the UE was set to SNPN mode, it can only access the SNPN network with the matched network ID, thus it’s better to support autonomous search for the UE to detect available cells as much as possible.</w:t>
      </w:r>
    </w:p>
    <w:p w:rsidR="00F020D5" w:rsidRDefault="001B43A1" w:rsidP="002C13BB">
      <w:pPr>
        <w:rPr>
          <w:b/>
        </w:rPr>
      </w:pPr>
      <w:r w:rsidRPr="00EE16A6">
        <w:rPr>
          <w:rFonts w:hint="eastAsia"/>
          <w:b/>
        </w:rPr>
        <w:t xml:space="preserve">Proposal 2: </w:t>
      </w:r>
      <w:r w:rsidR="00EE16A6" w:rsidRPr="00EE16A6">
        <w:rPr>
          <w:b/>
        </w:rPr>
        <w:t xml:space="preserve">RAN2 to discuss whether autonomous search function is needed for the SNPN </w:t>
      </w:r>
      <w:r w:rsidR="00EE16A6">
        <w:rPr>
          <w:b/>
        </w:rPr>
        <w:t>network.</w:t>
      </w:r>
    </w:p>
    <w:p w:rsidR="002C13BB" w:rsidRDefault="002C13BB" w:rsidP="00EE16A6">
      <w:pPr>
        <w:spacing w:line="260" w:lineRule="auto"/>
        <w:rPr>
          <w:b/>
        </w:rPr>
      </w:pPr>
      <w:r>
        <w:rPr>
          <w:b/>
        </w:rPr>
        <w:t>Proposal 2.1</w:t>
      </w:r>
      <w:r w:rsidR="0045105F">
        <w:rPr>
          <w:b/>
        </w:rPr>
        <w:t>:</w:t>
      </w:r>
      <w:r>
        <w:rPr>
          <w:b/>
        </w:rPr>
        <w:t xml:space="preserve"> If the SNPN network deployment is unpredictable, the autonomous search shall be supported</w:t>
      </w:r>
      <w:r w:rsidR="00087DCD">
        <w:rPr>
          <w:b/>
        </w:rPr>
        <w:t xml:space="preserve"> by UE</w:t>
      </w:r>
      <w:r>
        <w:rPr>
          <w:b/>
        </w:rPr>
        <w:t xml:space="preserve"> to </w:t>
      </w:r>
      <w:r w:rsidR="00087DCD">
        <w:rPr>
          <w:b/>
        </w:rPr>
        <w:t>get</w:t>
      </w:r>
      <w:r>
        <w:rPr>
          <w:b/>
        </w:rPr>
        <w:t xml:space="preserve"> better service</w:t>
      </w:r>
      <w:r w:rsidR="00087DCD">
        <w:rPr>
          <w:b/>
        </w:rPr>
        <w:t>.</w:t>
      </w:r>
    </w:p>
    <w:p w:rsidR="00D36FCC" w:rsidRDefault="00D36FCC" w:rsidP="00EE16A6">
      <w:pPr>
        <w:spacing w:line="260" w:lineRule="auto"/>
        <w:rPr>
          <w:kern w:val="0"/>
          <w:sz w:val="20"/>
          <w:szCs w:val="20"/>
        </w:rPr>
      </w:pPr>
      <w:r>
        <w:rPr>
          <w:kern w:val="0"/>
          <w:sz w:val="20"/>
          <w:szCs w:val="20"/>
        </w:rPr>
        <w:t>Similar to the SNPN network, for the scenario</w:t>
      </w:r>
      <w:r w:rsidR="005A7C7A">
        <w:rPr>
          <w:kern w:val="0"/>
          <w:sz w:val="20"/>
          <w:szCs w:val="20"/>
        </w:rPr>
        <w:t xml:space="preserve"> 2</w:t>
      </w:r>
      <w:r>
        <w:rPr>
          <w:kern w:val="0"/>
          <w:sz w:val="20"/>
          <w:szCs w:val="20"/>
        </w:rPr>
        <w:t xml:space="preserve">, the UE can only can access the network through the CAG cells that belong to the allowed CAG list. </w:t>
      </w:r>
      <w:r w:rsidR="007E0680">
        <w:rPr>
          <w:kern w:val="0"/>
          <w:sz w:val="20"/>
          <w:szCs w:val="20"/>
        </w:rPr>
        <w:t xml:space="preserve">Besides, it may also </w:t>
      </w:r>
      <w:r w:rsidR="00B17C49">
        <w:rPr>
          <w:kern w:val="0"/>
          <w:sz w:val="20"/>
          <w:szCs w:val="20"/>
        </w:rPr>
        <w:t>be used for SOHO, residential or private network coverage deployments. As mentioned above, the network deployment is unpredictable for these scenarios, thus the same conclusion as SNPN shall be adopted for the CAG only scenario.</w:t>
      </w:r>
    </w:p>
    <w:p w:rsidR="00EE16A6" w:rsidRPr="00EE16A6" w:rsidRDefault="00EE16A6" w:rsidP="00EE16A6">
      <w:pPr>
        <w:spacing w:line="260" w:lineRule="auto"/>
        <w:rPr>
          <w:b/>
        </w:rPr>
      </w:pPr>
      <w:r>
        <w:rPr>
          <w:b/>
        </w:rPr>
        <w:t xml:space="preserve">Proposal 3: For the CAG only scenario, </w:t>
      </w:r>
      <w:r w:rsidR="007E0680">
        <w:rPr>
          <w:b/>
        </w:rPr>
        <w:t>the same conclusion as SNPN shall be adopted.</w:t>
      </w:r>
    </w:p>
    <w:p w:rsidR="00411787" w:rsidRDefault="00B8197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411787" w:rsidRDefault="00B8197C">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2862D7" w:rsidRDefault="002862D7" w:rsidP="002862D7">
      <w:pPr>
        <w:spacing w:line="260" w:lineRule="auto"/>
        <w:rPr>
          <w:b/>
        </w:rPr>
      </w:pPr>
      <w:r w:rsidRPr="00F020D5">
        <w:rPr>
          <w:rFonts w:hint="eastAsia"/>
          <w:b/>
        </w:rPr>
        <w:t>Proposal 1:</w:t>
      </w:r>
      <w:r>
        <w:rPr>
          <w:b/>
        </w:rPr>
        <w:t xml:space="preserve"> The autonomous search function shall be supported at least for the scenario that the UE can access both</w:t>
      </w:r>
      <w:r>
        <w:rPr>
          <w:rFonts w:hint="eastAsia"/>
          <w:b/>
        </w:rPr>
        <w:t xml:space="preserve"> the normal cells and</w:t>
      </w:r>
      <w:r w:rsidRPr="00284F3B">
        <w:rPr>
          <w:rFonts w:hint="eastAsia"/>
          <w:b/>
        </w:rPr>
        <w:t xml:space="preserve"> the CAG cells.</w:t>
      </w:r>
    </w:p>
    <w:p w:rsidR="002862D7" w:rsidRDefault="002862D7" w:rsidP="002862D7">
      <w:pPr>
        <w:rPr>
          <w:b/>
        </w:rPr>
      </w:pPr>
      <w:r w:rsidRPr="00EE16A6">
        <w:rPr>
          <w:rFonts w:hint="eastAsia"/>
          <w:b/>
        </w:rPr>
        <w:t xml:space="preserve">Proposal 2: </w:t>
      </w:r>
      <w:r w:rsidRPr="00EE16A6">
        <w:rPr>
          <w:b/>
        </w:rPr>
        <w:t xml:space="preserve">RAN2 to discuss whether autonomous search function is needed for the SNPN </w:t>
      </w:r>
      <w:r>
        <w:rPr>
          <w:b/>
        </w:rPr>
        <w:t>network.</w:t>
      </w:r>
    </w:p>
    <w:p w:rsidR="002862D7" w:rsidRDefault="002862D7" w:rsidP="002862D7">
      <w:pPr>
        <w:spacing w:line="260" w:lineRule="auto"/>
        <w:rPr>
          <w:b/>
        </w:rPr>
      </w:pPr>
      <w:r>
        <w:rPr>
          <w:b/>
        </w:rPr>
        <w:t>Proposal 2.1: If the SNPN network deployment is unpredictable, the autonomous search shall be supported by UE to get better service.</w:t>
      </w:r>
    </w:p>
    <w:p w:rsidR="00B17C49" w:rsidRPr="00EE16A6" w:rsidRDefault="00B17C49" w:rsidP="00B17C49">
      <w:pPr>
        <w:spacing w:line="260" w:lineRule="auto"/>
        <w:rPr>
          <w:b/>
        </w:rPr>
      </w:pPr>
      <w:r>
        <w:rPr>
          <w:b/>
        </w:rPr>
        <w:t>Proposal 3: For the CAG only scenario, the same conclusion as SNPN shall be adopted.</w:t>
      </w:r>
    </w:p>
    <w:p w:rsidR="00411787" w:rsidRDefault="00B8197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Reference</w:t>
      </w:r>
    </w:p>
    <w:p w:rsidR="00EB05F1" w:rsidRDefault="00EB05F1" w:rsidP="00EB05F1">
      <w:pPr>
        <w:pStyle w:val="Reference"/>
        <w:overflowPunct w:val="0"/>
        <w:autoSpaceDE w:val="0"/>
        <w:autoSpaceDN w:val="0"/>
        <w:adjustRightInd w:val="0"/>
        <w:spacing w:after="120"/>
        <w:textAlignment w:val="baseline"/>
        <w:rPr>
          <w:rStyle w:val="Hyperlink"/>
          <w:rFonts w:cstheme="minorHAnsi"/>
          <w:color w:val="auto"/>
          <w:u w:val="none"/>
        </w:rPr>
      </w:pPr>
      <w:bookmarkStart w:id="3" w:name="_Ref7099094"/>
      <w:bookmarkStart w:id="4" w:name="_Ref344096"/>
      <w:bookmarkStart w:id="5" w:name="_Ref189809556"/>
      <w:bookmarkStart w:id="6" w:name="_Ref174151459"/>
      <w:bookmarkStart w:id="7" w:name="_Ref4616088"/>
      <w:r>
        <w:rPr>
          <w:rStyle w:val="Hyperlink"/>
          <w:rFonts w:cstheme="minorHAnsi"/>
          <w:color w:val="auto"/>
          <w:u w:val="none"/>
        </w:rPr>
        <w:t>RP-190729, New Work Item Proposal on Private Network Support for NG-RAN, China Telecom, RAN Plenary #83, Shenzhen, China, Mar 18-21, 2019</w:t>
      </w:r>
      <w:bookmarkEnd w:id="3"/>
    </w:p>
    <w:bookmarkEnd w:id="4"/>
    <w:bookmarkEnd w:id="5"/>
    <w:bookmarkEnd w:id="6"/>
    <w:bookmarkEnd w:id="7"/>
    <w:p w:rsidR="00EB05F1" w:rsidRDefault="005A7C7A" w:rsidP="00EB05F1">
      <w:pPr>
        <w:pStyle w:val="Reference"/>
        <w:overflowPunct w:val="0"/>
        <w:autoSpaceDE w:val="0"/>
        <w:autoSpaceDN w:val="0"/>
        <w:adjustRightInd w:val="0"/>
        <w:spacing w:after="120"/>
        <w:textAlignment w:val="baseline"/>
        <w:rPr>
          <w:rStyle w:val="Hyperlink"/>
          <w:rFonts w:cstheme="minorHAnsi"/>
          <w:color w:val="auto"/>
          <w:u w:val="none"/>
        </w:rPr>
      </w:pPr>
      <w:r>
        <w:rPr>
          <w:rStyle w:val="Hyperlink"/>
          <w:rFonts w:cstheme="minorHAnsi" w:hint="eastAsia"/>
          <w:color w:val="auto"/>
          <w:u w:val="none"/>
        </w:rPr>
        <w:t xml:space="preserve">R2-074905 </w:t>
      </w:r>
      <w:r w:rsidR="00EB05F1">
        <w:rPr>
          <w:rStyle w:val="Hyperlink"/>
          <w:rFonts w:cstheme="minorHAnsi"/>
          <w:color w:val="auto"/>
          <w:u w:val="none"/>
        </w:rPr>
        <w:t>Mobility support for CSG scenarios</w:t>
      </w:r>
      <w:r w:rsidR="00EB05F1">
        <w:rPr>
          <w:rStyle w:val="Hyperlink"/>
          <w:rFonts w:cstheme="minorHAnsi" w:hint="eastAsia"/>
          <w:color w:val="auto"/>
          <w:u w:val="none"/>
        </w:rPr>
        <w:t xml:space="preserve"> </w:t>
      </w:r>
      <w:r w:rsidR="00EB05F1">
        <w:rPr>
          <w:rStyle w:val="Hyperlink"/>
          <w:rFonts w:cstheme="minorHAnsi"/>
          <w:color w:val="auto"/>
          <w:u w:val="none"/>
        </w:rPr>
        <w:t>T-Mobile</w:t>
      </w:r>
    </w:p>
    <w:p w:rsidR="00EB05F1" w:rsidRDefault="00EB05F1" w:rsidP="00EB05F1">
      <w:pPr>
        <w:pStyle w:val="Reference"/>
        <w:overflowPunct w:val="0"/>
        <w:autoSpaceDE w:val="0"/>
        <w:autoSpaceDN w:val="0"/>
        <w:adjustRightInd w:val="0"/>
        <w:spacing w:after="120"/>
        <w:textAlignment w:val="baseline"/>
        <w:rPr>
          <w:rStyle w:val="Hyperlink"/>
          <w:rFonts w:cs="Calibri"/>
          <w:color w:val="auto"/>
          <w:u w:val="none"/>
        </w:rPr>
      </w:pPr>
      <w:r>
        <w:rPr>
          <w:rStyle w:val="Hyperlink"/>
          <w:rFonts w:cs="Calibri"/>
          <w:color w:val="auto"/>
          <w:u w:val="none"/>
        </w:rPr>
        <w:t>3GPP TS 23.501: "System Architecture for the 5G System; Stage 2".</w:t>
      </w:r>
    </w:p>
    <w:p w:rsidR="00411787" w:rsidRPr="00B94E3C" w:rsidRDefault="00B94E3C" w:rsidP="00BE2377">
      <w:pPr>
        <w:pStyle w:val="Reference"/>
        <w:overflowPunct w:val="0"/>
        <w:autoSpaceDE w:val="0"/>
        <w:autoSpaceDN w:val="0"/>
        <w:adjustRightInd w:val="0"/>
        <w:spacing w:after="120" w:line="240" w:lineRule="auto"/>
        <w:textAlignment w:val="baseline"/>
      </w:pPr>
      <w:r w:rsidRPr="00B94E3C">
        <w:rPr>
          <w:rStyle w:val="Hyperlink"/>
          <w:rFonts w:cs="Calibri"/>
          <w:color w:val="auto"/>
          <w:u w:val="none"/>
        </w:rPr>
        <w:t>R2-1909267</w:t>
      </w:r>
      <w:r w:rsidRPr="00B94E3C">
        <w:rPr>
          <w:rStyle w:val="Hyperlink"/>
          <w:rFonts w:cstheme="minorHAnsi" w:hint="eastAsia"/>
          <w:color w:val="auto"/>
          <w:u w:val="none"/>
        </w:rPr>
        <w:t xml:space="preserve"> Consideration on the System Information of the Private Network</w:t>
      </w:r>
      <w:r>
        <w:rPr>
          <w:rStyle w:val="Hyperlink"/>
          <w:rFonts w:cstheme="minorHAnsi"/>
          <w:color w:val="auto"/>
          <w:u w:val="none"/>
        </w:rPr>
        <w:t xml:space="preserve"> ZTE, Sanechips</w:t>
      </w:r>
    </w:p>
    <w:p w:rsidR="00411787" w:rsidRDefault="00411787">
      <w:pPr>
        <w:spacing w:line="240" w:lineRule="auto"/>
        <w:jc w:val="left"/>
      </w:pPr>
    </w:p>
    <w:sectPr w:rsidR="00411787">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C7E" w:rsidRDefault="00E33C7E">
      <w:pPr>
        <w:spacing w:after="0" w:line="240" w:lineRule="auto"/>
      </w:pPr>
      <w:r>
        <w:separator/>
      </w:r>
    </w:p>
  </w:endnote>
  <w:endnote w:type="continuationSeparator" w:id="0">
    <w:p w:rsidR="00E33C7E" w:rsidRDefault="00E33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787" w:rsidRDefault="00B819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11787" w:rsidRDefault="0041178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787" w:rsidRDefault="00411787">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C7E" w:rsidRDefault="00E33C7E">
      <w:pPr>
        <w:spacing w:after="0" w:line="240" w:lineRule="auto"/>
      </w:pPr>
      <w:r>
        <w:separator/>
      </w:r>
    </w:p>
  </w:footnote>
  <w:footnote w:type="continuationSeparator" w:id="0">
    <w:p w:rsidR="00E33C7E" w:rsidRDefault="00E33C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787" w:rsidRDefault="0041178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45D6511"/>
    <w:multiLevelType w:val="multilevel"/>
    <w:tmpl w:val="145D6511"/>
    <w:lvl w:ilvl="0">
      <w:start w:val="1"/>
      <w:numFmt w:val="bullet"/>
      <w:lvlText w:val=""/>
      <w:lvlJc w:val="left"/>
      <w:pPr>
        <w:tabs>
          <w:tab w:val="left" w:pos="720"/>
        </w:tabs>
        <w:ind w:left="720" w:hanging="360"/>
      </w:pPr>
      <w:rPr>
        <w:rFonts w:ascii="Wingdings" w:hAnsi="Wingdings" w:hint="default"/>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2F64604"/>
    <w:multiLevelType w:val="multilevel"/>
    <w:tmpl w:val="32F64604"/>
    <w:lvl w:ilvl="0">
      <w:start w:val="1"/>
      <w:numFmt w:val="bullet"/>
      <w:lvlText w:val=""/>
      <w:lvlJc w:val="left"/>
      <w:pPr>
        <w:tabs>
          <w:tab w:val="num" w:pos="113"/>
        </w:tabs>
        <w:ind w:left="113" w:hanging="113"/>
      </w:pPr>
      <w:rPr>
        <w:rFonts w:ascii="Symbol" w:hAnsi="Symbol"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nsid w:val="45275B24"/>
    <w:multiLevelType w:val="singleLevel"/>
    <w:tmpl w:val="45275B24"/>
    <w:lvl w:ilvl="0">
      <w:start w:val="1"/>
      <w:numFmt w:val="bullet"/>
      <w:lvlText w:val=""/>
      <w:lvlJc w:val="left"/>
      <w:pPr>
        <w:ind w:left="420" w:hanging="420"/>
      </w:pPr>
      <w:rPr>
        <w:rFonts w:ascii="Wingdings" w:hAnsi="Wingdings" w:hint="default"/>
      </w:r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6"/>
  </w:num>
  <w:num w:numId="3">
    <w:abstractNumId w:val="1"/>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87DCD"/>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D6D12"/>
    <w:rsid w:val="000E1125"/>
    <w:rsid w:val="000E1993"/>
    <w:rsid w:val="000E2C13"/>
    <w:rsid w:val="000E3B8A"/>
    <w:rsid w:val="000E4B14"/>
    <w:rsid w:val="000F0A7B"/>
    <w:rsid w:val="000F0C4F"/>
    <w:rsid w:val="000F0E64"/>
    <w:rsid w:val="000F4C7C"/>
    <w:rsid w:val="000F4CFF"/>
    <w:rsid w:val="00100030"/>
    <w:rsid w:val="00107192"/>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43A1"/>
    <w:rsid w:val="001B5AE5"/>
    <w:rsid w:val="001B6518"/>
    <w:rsid w:val="001B7027"/>
    <w:rsid w:val="001B7C67"/>
    <w:rsid w:val="001C0CED"/>
    <w:rsid w:val="001C1105"/>
    <w:rsid w:val="001C17C6"/>
    <w:rsid w:val="001C22DE"/>
    <w:rsid w:val="001C3C4C"/>
    <w:rsid w:val="001C7759"/>
    <w:rsid w:val="001C7F10"/>
    <w:rsid w:val="001D2914"/>
    <w:rsid w:val="001D2FB0"/>
    <w:rsid w:val="001E0341"/>
    <w:rsid w:val="001E1C36"/>
    <w:rsid w:val="001E3D8C"/>
    <w:rsid w:val="001E43EF"/>
    <w:rsid w:val="001E44CD"/>
    <w:rsid w:val="001E459B"/>
    <w:rsid w:val="001E6F40"/>
    <w:rsid w:val="001F31F0"/>
    <w:rsid w:val="001F3DF5"/>
    <w:rsid w:val="001F3EE6"/>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4F3B"/>
    <w:rsid w:val="002855D0"/>
    <w:rsid w:val="002862D7"/>
    <w:rsid w:val="00290E18"/>
    <w:rsid w:val="00291D54"/>
    <w:rsid w:val="00293A6E"/>
    <w:rsid w:val="00297A88"/>
    <w:rsid w:val="002B24A3"/>
    <w:rsid w:val="002B2BBC"/>
    <w:rsid w:val="002B351B"/>
    <w:rsid w:val="002B3C48"/>
    <w:rsid w:val="002B434C"/>
    <w:rsid w:val="002B4F1D"/>
    <w:rsid w:val="002C0864"/>
    <w:rsid w:val="002C0F12"/>
    <w:rsid w:val="002C13BB"/>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76174"/>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1787"/>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105F"/>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4054"/>
    <w:rsid w:val="00585E04"/>
    <w:rsid w:val="005910DD"/>
    <w:rsid w:val="005940C1"/>
    <w:rsid w:val="0059566C"/>
    <w:rsid w:val="0059585E"/>
    <w:rsid w:val="00597619"/>
    <w:rsid w:val="005A3156"/>
    <w:rsid w:val="005A53DF"/>
    <w:rsid w:val="005A6185"/>
    <w:rsid w:val="005A7C7A"/>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46AB0"/>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C6AE0"/>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07EF"/>
    <w:rsid w:val="00711E45"/>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97BA7"/>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680"/>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836"/>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362D"/>
    <w:rsid w:val="009164CD"/>
    <w:rsid w:val="00916C40"/>
    <w:rsid w:val="00917271"/>
    <w:rsid w:val="0091740C"/>
    <w:rsid w:val="00922A9F"/>
    <w:rsid w:val="00924429"/>
    <w:rsid w:val="00925478"/>
    <w:rsid w:val="00925A8F"/>
    <w:rsid w:val="00925D8E"/>
    <w:rsid w:val="009269F5"/>
    <w:rsid w:val="00930CAD"/>
    <w:rsid w:val="00932771"/>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825"/>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0FB8"/>
    <w:rsid w:val="00A11A20"/>
    <w:rsid w:val="00A11DFB"/>
    <w:rsid w:val="00A11F1E"/>
    <w:rsid w:val="00A14BA5"/>
    <w:rsid w:val="00A155B1"/>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3489D"/>
    <w:rsid w:val="00A44BE1"/>
    <w:rsid w:val="00A4500D"/>
    <w:rsid w:val="00A504A8"/>
    <w:rsid w:val="00A520E0"/>
    <w:rsid w:val="00A542B8"/>
    <w:rsid w:val="00A54719"/>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17C49"/>
    <w:rsid w:val="00B23604"/>
    <w:rsid w:val="00B243E6"/>
    <w:rsid w:val="00B2566A"/>
    <w:rsid w:val="00B2704A"/>
    <w:rsid w:val="00B351E3"/>
    <w:rsid w:val="00B41694"/>
    <w:rsid w:val="00B425D5"/>
    <w:rsid w:val="00B426BB"/>
    <w:rsid w:val="00B427B9"/>
    <w:rsid w:val="00B42907"/>
    <w:rsid w:val="00B43371"/>
    <w:rsid w:val="00B44CA2"/>
    <w:rsid w:val="00B454AE"/>
    <w:rsid w:val="00B46058"/>
    <w:rsid w:val="00B5008D"/>
    <w:rsid w:val="00B50D18"/>
    <w:rsid w:val="00B52464"/>
    <w:rsid w:val="00B55CF3"/>
    <w:rsid w:val="00B56491"/>
    <w:rsid w:val="00B65BF6"/>
    <w:rsid w:val="00B670CE"/>
    <w:rsid w:val="00B677AE"/>
    <w:rsid w:val="00B67B79"/>
    <w:rsid w:val="00B67E74"/>
    <w:rsid w:val="00B716F8"/>
    <w:rsid w:val="00B8197C"/>
    <w:rsid w:val="00B82234"/>
    <w:rsid w:val="00B8229B"/>
    <w:rsid w:val="00B8283E"/>
    <w:rsid w:val="00B837AA"/>
    <w:rsid w:val="00B87D03"/>
    <w:rsid w:val="00B909E8"/>
    <w:rsid w:val="00B928EE"/>
    <w:rsid w:val="00B92AD5"/>
    <w:rsid w:val="00B94BA4"/>
    <w:rsid w:val="00B94E3C"/>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0888"/>
    <w:rsid w:val="00CC10DA"/>
    <w:rsid w:val="00CC156D"/>
    <w:rsid w:val="00CC58C3"/>
    <w:rsid w:val="00CD229F"/>
    <w:rsid w:val="00CE1600"/>
    <w:rsid w:val="00CE2D1F"/>
    <w:rsid w:val="00CE52F0"/>
    <w:rsid w:val="00CF18A3"/>
    <w:rsid w:val="00CF356A"/>
    <w:rsid w:val="00CF44AB"/>
    <w:rsid w:val="00CF47B5"/>
    <w:rsid w:val="00CF4835"/>
    <w:rsid w:val="00CF4A61"/>
    <w:rsid w:val="00D029CB"/>
    <w:rsid w:val="00D03847"/>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6FCC"/>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5939"/>
    <w:rsid w:val="00DF4CBC"/>
    <w:rsid w:val="00DF5370"/>
    <w:rsid w:val="00E0032E"/>
    <w:rsid w:val="00E0205D"/>
    <w:rsid w:val="00E06B75"/>
    <w:rsid w:val="00E1018A"/>
    <w:rsid w:val="00E120F4"/>
    <w:rsid w:val="00E153F6"/>
    <w:rsid w:val="00E15F7E"/>
    <w:rsid w:val="00E173DF"/>
    <w:rsid w:val="00E20EBF"/>
    <w:rsid w:val="00E22A02"/>
    <w:rsid w:val="00E22C0B"/>
    <w:rsid w:val="00E27FC2"/>
    <w:rsid w:val="00E31912"/>
    <w:rsid w:val="00E31B60"/>
    <w:rsid w:val="00E33C7E"/>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2F28"/>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05F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16A6"/>
    <w:rsid w:val="00EE5769"/>
    <w:rsid w:val="00EE5CA6"/>
    <w:rsid w:val="00EE6916"/>
    <w:rsid w:val="00EF1335"/>
    <w:rsid w:val="00EF1557"/>
    <w:rsid w:val="00EF4AE0"/>
    <w:rsid w:val="00EF6FA1"/>
    <w:rsid w:val="00F012FF"/>
    <w:rsid w:val="00F01A21"/>
    <w:rsid w:val="00F020D5"/>
    <w:rsid w:val="00F028FA"/>
    <w:rsid w:val="00F046E9"/>
    <w:rsid w:val="00F04831"/>
    <w:rsid w:val="00F11CC4"/>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21B7"/>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C43254"/>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EEE41C4"/>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D61CD9"/>
    <w:rsid w:val="16E74CBD"/>
    <w:rsid w:val="1705748E"/>
    <w:rsid w:val="170A4371"/>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FF0AF3"/>
    <w:rsid w:val="190E7C32"/>
    <w:rsid w:val="191B17E9"/>
    <w:rsid w:val="191F38B0"/>
    <w:rsid w:val="1951139B"/>
    <w:rsid w:val="195600F1"/>
    <w:rsid w:val="19595274"/>
    <w:rsid w:val="197141ED"/>
    <w:rsid w:val="1975293B"/>
    <w:rsid w:val="19934AEB"/>
    <w:rsid w:val="199D37F0"/>
    <w:rsid w:val="19AD7663"/>
    <w:rsid w:val="19BC030D"/>
    <w:rsid w:val="19DE008F"/>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D70C7E"/>
    <w:rsid w:val="1BD82C95"/>
    <w:rsid w:val="1BDE7082"/>
    <w:rsid w:val="1BE16AFC"/>
    <w:rsid w:val="1BEC65C0"/>
    <w:rsid w:val="1BF76A78"/>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942FC1"/>
    <w:rsid w:val="1DBD16BE"/>
    <w:rsid w:val="1DC11297"/>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341C3F"/>
    <w:rsid w:val="274A262D"/>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A2F3B"/>
    <w:rsid w:val="2880022D"/>
    <w:rsid w:val="2887164E"/>
    <w:rsid w:val="288B2E18"/>
    <w:rsid w:val="288C17F1"/>
    <w:rsid w:val="28A843B1"/>
    <w:rsid w:val="28EB1022"/>
    <w:rsid w:val="28FD1DA9"/>
    <w:rsid w:val="29146D0D"/>
    <w:rsid w:val="29326B8F"/>
    <w:rsid w:val="2936056B"/>
    <w:rsid w:val="29386E3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3F1B10"/>
    <w:rsid w:val="2C41711C"/>
    <w:rsid w:val="2C494CC5"/>
    <w:rsid w:val="2C4C4186"/>
    <w:rsid w:val="2C4C5BF6"/>
    <w:rsid w:val="2C73323A"/>
    <w:rsid w:val="2CA305D6"/>
    <w:rsid w:val="2CBE1CB5"/>
    <w:rsid w:val="2CD4046F"/>
    <w:rsid w:val="2CD41FB2"/>
    <w:rsid w:val="2CE04532"/>
    <w:rsid w:val="2D061D52"/>
    <w:rsid w:val="2D0A7297"/>
    <w:rsid w:val="2D367ADE"/>
    <w:rsid w:val="2D3E5D39"/>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92458"/>
    <w:rsid w:val="30EC572A"/>
    <w:rsid w:val="30FD79BE"/>
    <w:rsid w:val="3100405D"/>
    <w:rsid w:val="3111395C"/>
    <w:rsid w:val="31174211"/>
    <w:rsid w:val="31216170"/>
    <w:rsid w:val="315622FC"/>
    <w:rsid w:val="315D1164"/>
    <w:rsid w:val="315F2BB6"/>
    <w:rsid w:val="3173104B"/>
    <w:rsid w:val="317D38B1"/>
    <w:rsid w:val="317D6B35"/>
    <w:rsid w:val="31A30319"/>
    <w:rsid w:val="31B50898"/>
    <w:rsid w:val="31B62FDB"/>
    <w:rsid w:val="31F45A41"/>
    <w:rsid w:val="31FF4B7E"/>
    <w:rsid w:val="322E77DB"/>
    <w:rsid w:val="32983099"/>
    <w:rsid w:val="32AA5592"/>
    <w:rsid w:val="32AD61A5"/>
    <w:rsid w:val="32C750C6"/>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6C064E"/>
    <w:rsid w:val="34717DC6"/>
    <w:rsid w:val="347C194D"/>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44BA9"/>
    <w:rsid w:val="487E44EF"/>
    <w:rsid w:val="48934611"/>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247675"/>
    <w:rsid w:val="4A264531"/>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50744F"/>
    <w:rsid w:val="4C572817"/>
    <w:rsid w:val="4C5A1583"/>
    <w:rsid w:val="4C6369A7"/>
    <w:rsid w:val="4C644BBF"/>
    <w:rsid w:val="4C653585"/>
    <w:rsid w:val="4C691118"/>
    <w:rsid w:val="4C7D636D"/>
    <w:rsid w:val="4C9F47C4"/>
    <w:rsid w:val="4CA6102D"/>
    <w:rsid w:val="4CBC41F3"/>
    <w:rsid w:val="4CC10E85"/>
    <w:rsid w:val="4CC82FE7"/>
    <w:rsid w:val="4CCB0ABF"/>
    <w:rsid w:val="4CE25DB6"/>
    <w:rsid w:val="4CE809C5"/>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512896"/>
    <w:rsid w:val="4E5737A4"/>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91CB6"/>
    <w:rsid w:val="523F42A6"/>
    <w:rsid w:val="52436DC1"/>
    <w:rsid w:val="526F7059"/>
    <w:rsid w:val="528D53DC"/>
    <w:rsid w:val="52A54636"/>
    <w:rsid w:val="52BD2046"/>
    <w:rsid w:val="52D20B31"/>
    <w:rsid w:val="52D403EF"/>
    <w:rsid w:val="52D80B2A"/>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6123EF"/>
    <w:rsid w:val="5A895545"/>
    <w:rsid w:val="5AAA5AA7"/>
    <w:rsid w:val="5AE10DCB"/>
    <w:rsid w:val="5AE37E88"/>
    <w:rsid w:val="5AF34C33"/>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BD7FB0"/>
    <w:rsid w:val="61BE5E4F"/>
    <w:rsid w:val="61DE1F1F"/>
    <w:rsid w:val="620058CC"/>
    <w:rsid w:val="6206482C"/>
    <w:rsid w:val="62147C23"/>
    <w:rsid w:val="621A2AEC"/>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536C"/>
    <w:rsid w:val="66CA5E5F"/>
    <w:rsid w:val="66E710BA"/>
    <w:rsid w:val="66ED62BD"/>
    <w:rsid w:val="670A3373"/>
    <w:rsid w:val="67164009"/>
    <w:rsid w:val="671A520A"/>
    <w:rsid w:val="671B7213"/>
    <w:rsid w:val="67292A7D"/>
    <w:rsid w:val="673A2970"/>
    <w:rsid w:val="674B597F"/>
    <w:rsid w:val="67514E24"/>
    <w:rsid w:val="67620408"/>
    <w:rsid w:val="677878C6"/>
    <w:rsid w:val="677D444B"/>
    <w:rsid w:val="678F1C72"/>
    <w:rsid w:val="678F3A8F"/>
    <w:rsid w:val="6796048C"/>
    <w:rsid w:val="67A01BAC"/>
    <w:rsid w:val="67B32B67"/>
    <w:rsid w:val="67CE4F0A"/>
    <w:rsid w:val="67DC2FEE"/>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E2948"/>
    <w:rsid w:val="69C24AC2"/>
    <w:rsid w:val="69CC37CF"/>
    <w:rsid w:val="69D05E78"/>
    <w:rsid w:val="69D1682B"/>
    <w:rsid w:val="69E1087F"/>
    <w:rsid w:val="6A051933"/>
    <w:rsid w:val="6A112FF4"/>
    <w:rsid w:val="6A130B08"/>
    <w:rsid w:val="6A1D6053"/>
    <w:rsid w:val="6A2B356A"/>
    <w:rsid w:val="6A6641A9"/>
    <w:rsid w:val="6A90701E"/>
    <w:rsid w:val="6AAF7616"/>
    <w:rsid w:val="6AD5324E"/>
    <w:rsid w:val="6ADA4924"/>
    <w:rsid w:val="6ADA7CB9"/>
    <w:rsid w:val="6ADB0495"/>
    <w:rsid w:val="6AE15310"/>
    <w:rsid w:val="6AF92ED3"/>
    <w:rsid w:val="6B0A4E87"/>
    <w:rsid w:val="6B1105BA"/>
    <w:rsid w:val="6B3D6F5E"/>
    <w:rsid w:val="6B407F5A"/>
    <w:rsid w:val="6B5A41AF"/>
    <w:rsid w:val="6B6A7091"/>
    <w:rsid w:val="6B76598E"/>
    <w:rsid w:val="6BA3495E"/>
    <w:rsid w:val="6BC247A6"/>
    <w:rsid w:val="6BD92C40"/>
    <w:rsid w:val="6C3016AA"/>
    <w:rsid w:val="6C3D541F"/>
    <w:rsid w:val="6C415AEC"/>
    <w:rsid w:val="6C477A25"/>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4B7DAF"/>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2C4642"/>
    <w:rsid w:val="74315D5C"/>
    <w:rsid w:val="743C59CD"/>
    <w:rsid w:val="74465350"/>
    <w:rsid w:val="746B647F"/>
    <w:rsid w:val="747542D9"/>
    <w:rsid w:val="747E3B0E"/>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F03175"/>
    <w:rsid w:val="770850B6"/>
    <w:rsid w:val="77247AA0"/>
    <w:rsid w:val="772A11C8"/>
    <w:rsid w:val="772C60B7"/>
    <w:rsid w:val="774515AC"/>
    <w:rsid w:val="77623885"/>
    <w:rsid w:val="776B46B2"/>
    <w:rsid w:val="77786793"/>
    <w:rsid w:val="777965ED"/>
    <w:rsid w:val="77817EAC"/>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F52F0"/>
    <w:rsid w:val="7C447A03"/>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0C70783-C07E-4C5F-B070-C762073D0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Normal"/>
    <w:qFormat/>
    <w:rsid w:val="00EB05F1"/>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74DB4B-8B35-45D7-A812-C36CD7F8E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Words>
  <Characters>4481</Characters>
  <Application>Microsoft Office Word</Application>
  <DocSecurity>0</DocSecurity>
  <Lines>37</Lines>
  <Paragraphs>10</Paragraphs>
  <ScaleCrop>false</ScaleCrop>
  <Company>www.zte.com.cn</Company>
  <LinksUpToDate>false</LinksUpToDate>
  <CharactersWithSpaces>5257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4</cp:revision>
  <cp:lastPrinted>2113-01-01T00:00:00Z</cp:lastPrinted>
  <dcterms:created xsi:type="dcterms:W3CDTF">2019-08-15T10:02:00Z</dcterms:created>
  <dcterms:modified xsi:type="dcterms:W3CDTF">2019-08-15T14:20:00Z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