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13F013B" w:rsidR="00895250" w:rsidRPr="00B922AF"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922AF">
        <w:rPr>
          <w:rFonts w:ascii="Arial" w:eastAsia="MS Mincho" w:hAnsi="Arial"/>
          <w:b/>
          <w:sz w:val="24"/>
          <w:szCs w:val="24"/>
          <w:lang w:val="en-GB" w:eastAsia="x-none"/>
        </w:rPr>
        <w:t>3GPP TSG</w:t>
      </w:r>
      <w:r w:rsidR="005C1371">
        <w:rPr>
          <w:rFonts w:ascii="Arial" w:eastAsia="MS Mincho" w:hAnsi="Arial"/>
          <w:b/>
          <w:sz w:val="24"/>
          <w:szCs w:val="24"/>
          <w:lang w:val="en-GB" w:eastAsia="x-none"/>
        </w:rPr>
        <w:t>-RAN WG2 Meeting #107</w:t>
      </w:r>
      <w:r w:rsidR="005C1371">
        <w:rPr>
          <w:rFonts w:ascii="Arial" w:eastAsia="MS Mincho" w:hAnsi="Arial"/>
          <w:b/>
          <w:sz w:val="24"/>
          <w:szCs w:val="24"/>
          <w:lang w:val="en-GB" w:eastAsia="x-none"/>
        </w:rPr>
        <w:tab/>
        <w:t>R2-1909048</w:t>
      </w:r>
    </w:p>
    <w:p w14:paraId="6877EE3A" w14:textId="3F1800B7" w:rsidR="00895250" w:rsidRPr="00B922AF" w:rsidRDefault="00A40B1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6F7682" w:rsidRPr="00B922AF">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B35D43" w:rsidRPr="00B922AF">
        <w:rPr>
          <w:rFonts w:ascii="Arial" w:eastAsia="MS Mincho" w:hAnsi="Arial"/>
          <w:b/>
          <w:sz w:val="24"/>
          <w:szCs w:val="24"/>
          <w:lang w:val="en-GB" w:eastAsia="x-none"/>
        </w:rPr>
        <w:t xml:space="preserve"> 2019</w:t>
      </w:r>
      <w:r w:rsidR="00877765">
        <w:rPr>
          <w:rFonts w:ascii="Arial" w:eastAsia="MS Mincho" w:hAnsi="Arial"/>
          <w:b/>
          <w:sz w:val="24"/>
          <w:szCs w:val="24"/>
          <w:lang w:val="en-GB" w:eastAsia="x-none"/>
        </w:rPr>
        <w:tab/>
      </w:r>
      <w:r>
        <w:rPr>
          <w:rFonts w:ascii="Arial" w:eastAsia="MS Mincho" w:hAnsi="Arial"/>
          <w:b/>
          <w:sz w:val="18"/>
          <w:szCs w:val="24"/>
          <w:lang w:val="en-GB" w:eastAsia="x-none"/>
        </w:rPr>
        <w:t>(revision of R2-1906029</w:t>
      </w:r>
      <w:r w:rsidR="00877765" w:rsidRPr="00877765">
        <w:rPr>
          <w:rFonts w:ascii="Arial" w:eastAsia="MS Mincho" w:hAnsi="Arial"/>
          <w:b/>
          <w:sz w:val="18"/>
          <w:szCs w:val="24"/>
          <w:lang w:val="en-GB" w:eastAsia="x-none"/>
        </w:rPr>
        <w:t>)</w:t>
      </w:r>
    </w:p>
    <w:p w14:paraId="41F9B491" w14:textId="49EFE19E" w:rsidR="0097167E" w:rsidRPr="00B922AF"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922AF" w:rsidRDefault="00A07E02" w:rsidP="00A07E02">
      <w:pPr>
        <w:pStyle w:val="3GPPHeader"/>
        <w:rPr>
          <w:rFonts w:ascii="Arial" w:hAnsi="Arial" w:cs="Arial"/>
          <w:color w:val="FF0000"/>
          <w:szCs w:val="24"/>
          <w:lang w:eastAsia="zh-TW"/>
        </w:rPr>
      </w:pPr>
    </w:p>
    <w:p w14:paraId="027912C8" w14:textId="4B6BEFFF" w:rsidR="00A07E02" w:rsidRPr="00B922AF" w:rsidRDefault="00A07E02" w:rsidP="00A07E02">
      <w:pPr>
        <w:pStyle w:val="3GPPHeader"/>
        <w:rPr>
          <w:rFonts w:ascii="Arial" w:hAnsi="Arial" w:cs="Arial"/>
          <w:szCs w:val="24"/>
        </w:rPr>
      </w:pPr>
      <w:r w:rsidRPr="00B922AF">
        <w:rPr>
          <w:rFonts w:ascii="Arial" w:hAnsi="Arial" w:cs="Arial"/>
          <w:szCs w:val="24"/>
        </w:rPr>
        <w:t>Agenda Item:</w:t>
      </w:r>
      <w:r w:rsidRPr="00B922AF">
        <w:rPr>
          <w:rFonts w:ascii="Arial" w:hAnsi="Arial" w:cs="Arial"/>
          <w:szCs w:val="24"/>
        </w:rPr>
        <w:tab/>
      </w:r>
      <w:r w:rsidR="00EB5C3A">
        <w:rPr>
          <w:rFonts w:ascii="Arial" w:hAnsi="Arial" w:cs="Arial"/>
          <w:szCs w:val="24"/>
        </w:rPr>
        <w:t>11.5.4</w:t>
      </w:r>
    </w:p>
    <w:p w14:paraId="79D236BA" w14:textId="506178F4" w:rsidR="00A07E02" w:rsidRPr="00B922AF" w:rsidRDefault="00A07E02" w:rsidP="00A07E02">
      <w:pPr>
        <w:pStyle w:val="3GPPHeader"/>
        <w:rPr>
          <w:rFonts w:ascii="Arial" w:hAnsi="Arial" w:cs="Arial"/>
          <w:szCs w:val="24"/>
        </w:rPr>
      </w:pPr>
      <w:r w:rsidRPr="00B922AF">
        <w:rPr>
          <w:rFonts w:ascii="Arial" w:hAnsi="Arial" w:cs="Arial"/>
          <w:szCs w:val="24"/>
        </w:rPr>
        <w:t xml:space="preserve">Source: </w:t>
      </w:r>
      <w:r w:rsidRPr="00B922AF">
        <w:rPr>
          <w:rFonts w:ascii="Arial" w:hAnsi="Arial" w:cs="Arial"/>
          <w:szCs w:val="24"/>
        </w:rPr>
        <w:tab/>
        <w:t>MediaTek Inc.</w:t>
      </w:r>
      <w:r w:rsidR="00C8401D">
        <w:rPr>
          <w:rFonts w:ascii="Arial" w:hAnsi="Arial" w:cs="Arial"/>
          <w:szCs w:val="24"/>
        </w:rPr>
        <w:t>, OPPO</w:t>
      </w:r>
    </w:p>
    <w:p w14:paraId="108A86FF" w14:textId="6B11B865" w:rsidR="00A07E02" w:rsidRPr="00B922AF" w:rsidRDefault="00FF0668" w:rsidP="00A07E02">
      <w:pPr>
        <w:pStyle w:val="3GPPHeaderArial"/>
        <w:tabs>
          <w:tab w:val="left" w:pos="1701"/>
        </w:tabs>
        <w:rPr>
          <w:b/>
          <w:sz w:val="24"/>
          <w:lang w:val="en-GB" w:eastAsia="zh-TW"/>
        </w:rPr>
      </w:pPr>
      <w:r w:rsidRPr="00B922AF">
        <w:rPr>
          <w:b/>
          <w:sz w:val="24"/>
          <w:lang w:val="en-GB"/>
        </w:rPr>
        <w:t xml:space="preserve">Title:  </w:t>
      </w:r>
      <w:r w:rsidRPr="00B922AF">
        <w:rPr>
          <w:b/>
          <w:sz w:val="24"/>
          <w:lang w:val="en-GB"/>
        </w:rPr>
        <w:tab/>
      </w:r>
      <w:r w:rsidR="00376507" w:rsidRPr="00B922AF">
        <w:rPr>
          <w:b/>
          <w:sz w:val="24"/>
          <w:lang w:val="en-GB"/>
        </w:rPr>
        <w:t>Support of delta signalling for UE capability identity</w:t>
      </w:r>
    </w:p>
    <w:p w14:paraId="2D698DC6" w14:textId="77777777" w:rsidR="00A07E02" w:rsidRPr="00B922AF" w:rsidRDefault="00A07E02" w:rsidP="00A07E02">
      <w:pPr>
        <w:pStyle w:val="3GPPHeaderArial"/>
        <w:tabs>
          <w:tab w:val="left" w:pos="1701"/>
        </w:tabs>
        <w:rPr>
          <w:b/>
          <w:sz w:val="24"/>
          <w:lang w:val="en-GB" w:eastAsia="zh-TW"/>
        </w:rPr>
      </w:pPr>
    </w:p>
    <w:p w14:paraId="4570B40E" w14:textId="77777777" w:rsidR="00A07E02" w:rsidRPr="00B922AF" w:rsidRDefault="00A07E02" w:rsidP="00A07E02">
      <w:pPr>
        <w:pStyle w:val="3GPPHeader"/>
        <w:rPr>
          <w:rFonts w:ascii="Arial" w:hAnsi="Arial" w:cs="Arial"/>
          <w:szCs w:val="24"/>
        </w:rPr>
      </w:pPr>
      <w:r w:rsidRPr="00B922AF">
        <w:rPr>
          <w:rFonts w:ascii="Arial" w:hAnsi="Arial" w:cs="Arial"/>
          <w:szCs w:val="24"/>
        </w:rPr>
        <w:t>Document for:</w:t>
      </w:r>
      <w:r w:rsidRPr="00B922AF">
        <w:rPr>
          <w:rFonts w:ascii="Arial" w:hAnsi="Arial" w:cs="Arial"/>
          <w:szCs w:val="24"/>
        </w:rPr>
        <w:tab/>
        <w:t>Discussion and decision</w:t>
      </w:r>
    </w:p>
    <w:p w14:paraId="0FB84FBC" w14:textId="77777777" w:rsidR="00A07E02" w:rsidRPr="00B922AF" w:rsidRDefault="00A07E02" w:rsidP="00A07E02">
      <w:pPr>
        <w:pStyle w:val="Heading1"/>
        <w:overflowPunct w:val="0"/>
        <w:autoSpaceDE w:val="0"/>
        <w:autoSpaceDN w:val="0"/>
        <w:adjustRightInd w:val="0"/>
        <w:rPr>
          <w:rFonts w:eastAsia="PMingLiU" w:cs="Arial"/>
        </w:rPr>
      </w:pPr>
      <w:r w:rsidRPr="00B922AF">
        <w:rPr>
          <w:rFonts w:eastAsia="PMingLiU" w:cs="Arial"/>
        </w:rPr>
        <w:t>Introduction</w:t>
      </w:r>
      <w:bookmarkStart w:id="2" w:name="OLE_LINK39"/>
      <w:bookmarkStart w:id="3" w:name="OLE_LINK38"/>
      <w:bookmarkStart w:id="4" w:name="OLE_LINK37"/>
    </w:p>
    <w:p w14:paraId="54A8544A" w14:textId="0BB7142A" w:rsidR="00202DDC" w:rsidRPr="00B922AF" w:rsidRDefault="001A1FCC" w:rsidP="00820C96">
      <w:pPr>
        <w:spacing w:after="120"/>
        <w:jc w:val="both"/>
        <w:rPr>
          <w:rFonts w:ascii="Arial" w:hAnsi="Arial" w:cs="Arial"/>
          <w:sz w:val="20"/>
          <w:szCs w:val="20"/>
          <w:lang w:val="en-GB"/>
        </w:rPr>
      </w:pPr>
      <w:r w:rsidRPr="00B922AF">
        <w:rPr>
          <w:rFonts w:ascii="Arial" w:hAnsi="Arial" w:cs="Arial"/>
          <w:sz w:val="20"/>
          <w:szCs w:val="20"/>
          <w:lang w:val="en-GB"/>
        </w:rPr>
        <w:t xml:space="preserve">This document </w:t>
      </w:r>
      <w:r w:rsidR="00211DDB" w:rsidRPr="00B922AF">
        <w:rPr>
          <w:rFonts w:ascii="Arial" w:hAnsi="Arial" w:cs="Arial"/>
          <w:sz w:val="20"/>
          <w:szCs w:val="20"/>
          <w:lang w:val="en-GB"/>
        </w:rPr>
        <w:t xml:space="preserve">discusses </w:t>
      </w:r>
      <w:r w:rsidR="00376507" w:rsidRPr="00B922AF">
        <w:rPr>
          <w:rFonts w:ascii="Arial" w:hAnsi="Arial" w:cs="Arial"/>
          <w:sz w:val="20"/>
          <w:szCs w:val="20"/>
          <w:lang w:val="en-GB"/>
        </w:rPr>
        <w:t>the potential use of delta signalling for the UE capability identity</w:t>
      </w:r>
      <w:r w:rsidR="00C049AF" w:rsidRPr="00B922AF">
        <w:rPr>
          <w:rFonts w:ascii="Arial" w:hAnsi="Arial" w:cs="Arial"/>
          <w:sz w:val="20"/>
          <w:szCs w:val="20"/>
          <w:lang w:val="en-GB"/>
        </w:rPr>
        <w:t>.</w:t>
      </w:r>
    </w:p>
    <w:p w14:paraId="2E0A3C55" w14:textId="48FA9AED" w:rsidR="00DF345D" w:rsidRPr="00B922AF"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922AF">
        <w:rPr>
          <w:rFonts w:eastAsia="PMingLiU" w:cs="Arial"/>
        </w:rPr>
        <w:t>Discussio</w:t>
      </w:r>
      <w:r w:rsidR="00376507" w:rsidRPr="00B922AF">
        <w:rPr>
          <w:rFonts w:eastAsia="PMingLiU" w:cs="Arial"/>
        </w:rPr>
        <w:t>n</w:t>
      </w:r>
    </w:p>
    <w:p w14:paraId="16E0559C" w14:textId="3740EF14" w:rsidR="00A40B11" w:rsidRDefault="00A40B11" w:rsidP="00A40B11">
      <w:pPr>
        <w:pStyle w:val="Heading2"/>
      </w:pPr>
      <w:r>
        <w:t>Use cases</w:t>
      </w:r>
    </w:p>
    <w:p w14:paraId="00CF8998" w14:textId="17DBC4BF" w:rsidR="00F17D67" w:rsidRDefault="00B922AF" w:rsidP="00DF345D">
      <w:pPr>
        <w:spacing w:after="240"/>
        <w:rPr>
          <w:lang w:val="en-GB"/>
        </w:rPr>
      </w:pPr>
      <w:r w:rsidRPr="00B922AF">
        <w:rPr>
          <w:lang w:val="en-GB"/>
        </w:rPr>
        <w:t>As discussed in [1], SA2 already evaluated delta signalling and considered it desirable ([2], section 8), so it seems somewhat redundant for RAN2 to discuss the use cases at length.  However, it is worth noting th</w:t>
      </w:r>
      <w:r w:rsidR="00080C32">
        <w:rPr>
          <w:lang w:val="en-GB"/>
        </w:rPr>
        <w:t xml:space="preserve">at there are multiple use cases.  In particular, although delta signalling is useful for handling a change of UE capability as noted by several companies (see e.g. [5]), it is by no means limited </w:t>
      </w:r>
      <w:r w:rsidR="00080C32">
        <w:rPr>
          <w:i/>
          <w:lang w:val="en-GB"/>
        </w:rPr>
        <w:t>only</w:t>
      </w:r>
      <w:r w:rsidR="00080C32">
        <w:rPr>
          <w:lang w:val="en-GB"/>
        </w:rPr>
        <w:t xml:space="preserve"> to the change of UE capability, and in fact this is probably not even the most common use case.</w:t>
      </w:r>
    </w:p>
    <w:p w14:paraId="492184E8" w14:textId="00D994C1" w:rsidR="00580F08" w:rsidRPr="00080C32" w:rsidRDefault="00580F08" w:rsidP="00DF345D">
      <w:pPr>
        <w:spacing w:after="240"/>
        <w:rPr>
          <w:lang w:val="en-GB"/>
        </w:rPr>
      </w:pPr>
      <w:r>
        <w:rPr>
          <w:lang w:val="en-GB"/>
        </w:rPr>
        <w:t>The likely use cases for delta signalling include the following:</w:t>
      </w:r>
    </w:p>
    <w:p w14:paraId="412E1661" w14:textId="49C2AFF1" w:rsidR="00B922AF" w:rsidRPr="00B922AF" w:rsidRDefault="00B922AF" w:rsidP="00B922AF">
      <w:pPr>
        <w:pStyle w:val="ListParagraph"/>
        <w:numPr>
          <w:ilvl w:val="0"/>
          <w:numId w:val="19"/>
        </w:numPr>
      </w:pPr>
      <w:r w:rsidRPr="00B922AF">
        <w:t>Change of capability: The UE can signal its original capability ID corresponding to the previous capability, along with a delta set indicating the changes.</w:t>
      </w:r>
      <w:r w:rsidR="00C8401D">
        <w:t xml:space="preserve">  This may be a less frequent use case, especially considering that the case of overheating is already handled in the specification by other means.</w:t>
      </w:r>
    </w:p>
    <w:p w14:paraId="349C18B7" w14:textId="31A11BD0" w:rsidR="00B922AF" w:rsidRPr="00B922AF" w:rsidRDefault="00B922AF" w:rsidP="00B922AF">
      <w:pPr>
        <w:pStyle w:val="ListParagraph"/>
        <w:numPr>
          <w:ilvl w:val="0"/>
          <w:numId w:val="19"/>
        </w:numPr>
      </w:pPr>
      <w:r w:rsidRPr="00B922AF">
        <w:t>Variant capability, e.g. PLMN-specific settings: A UE equipped with a manufacturer-assigned capability ID can signal that capability ID, along with a delta set indicating the variances for the current environment (e.g. the serving PLMN).</w:t>
      </w:r>
    </w:p>
    <w:p w14:paraId="10AF56C9" w14:textId="74C14A83" w:rsidR="00B922AF" w:rsidRPr="00B922AF" w:rsidRDefault="00B922AF" w:rsidP="00B922AF">
      <w:pPr>
        <w:pStyle w:val="ListParagraph"/>
        <w:numPr>
          <w:ilvl w:val="0"/>
          <w:numId w:val="19"/>
        </w:numPr>
      </w:pPr>
      <w:r w:rsidRPr="00B922AF">
        <w:t>New UE models: A UE whose “native” manufacturer-assigned ID has not yet propagated to all databases could indicate its capability as a delta against a better-established model with similar capabilities.</w:t>
      </w:r>
    </w:p>
    <w:p w14:paraId="36547149" w14:textId="18AC8F79" w:rsidR="00B922AF" w:rsidRPr="00B922AF" w:rsidRDefault="00B922AF" w:rsidP="00B922AF">
      <w:pPr>
        <w:pStyle w:val="ListParagraph"/>
        <w:numPr>
          <w:ilvl w:val="0"/>
          <w:numId w:val="19"/>
        </w:numPr>
      </w:pPr>
      <w:r w:rsidRPr="00B922AF">
        <w:t xml:space="preserve">Response to different filters: </w:t>
      </w:r>
      <w:r w:rsidR="00080C32">
        <w:t xml:space="preserve">It has been established in RAN2 and SA2 discussion that the requested filters may not be the same across the entire PLMN.  </w:t>
      </w:r>
      <w:r w:rsidRPr="00B922AF">
        <w:t>If the network uses filter A in one region of the network and assigns a corresponding PLMN-assigned capability ID, then uses filter B in another region of the network, the UE may be able to respond to filter B by sending the capability ID along with a delta that accounts for the differences between A and B.</w:t>
      </w:r>
    </w:p>
    <w:p w14:paraId="488806D8" w14:textId="2F08C510" w:rsidR="00A40B11" w:rsidRDefault="00A40B11" w:rsidP="00B922AF">
      <w:pPr>
        <w:spacing w:after="240"/>
        <w:rPr>
          <w:lang w:val="en-GB"/>
        </w:rPr>
      </w:pPr>
      <w:r>
        <w:rPr>
          <w:lang w:val="en-GB"/>
        </w:rPr>
        <w:t xml:space="preserve">The last-mentioned case may in fact be the most frequent.  It seems clear from the discussion of filtering that typical filters </w:t>
      </w:r>
      <w:r w:rsidR="00080C32">
        <w:rPr>
          <w:lang w:val="en-GB"/>
        </w:rPr>
        <w:t xml:space="preserve">in many networks </w:t>
      </w:r>
      <w:r>
        <w:rPr>
          <w:lang w:val="en-GB"/>
        </w:rPr>
        <w:t>will not be PLMN-wide, meaning that UEs will commonly encounter changing filters between different regions of a PLMN.  It seems likely that many of these regional</w:t>
      </w:r>
      <w:r w:rsidR="00A76D39">
        <w:rPr>
          <w:lang w:val="en-GB"/>
        </w:rPr>
        <w:t xml:space="preserve"> variations will relate to band and </w:t>
      </w:r>
      <w:r>
        <w:rPr>
          <w:lang w:val="en-GB"/>
        </w:rPr>
        <w:t>band combination support, e.g. FR2 bands in urban areas.</w:t>
      </w:r>
    </w:p>
    <w:p w14:paraId="4454DF87" w14:textId="3B117182" w:rsidR="00A6221A" w:rsidRDefault="00C8401D" w:rsidP="00B922AF">
      <w:pPr>
        <w:spacing w:after="240"/>
        <w:rPr>
          <w:lang w:val="en-GB"/>
        </w:rPr>
      </w:pPr>
      <w:r>
        <w:rPr>
          <w:lang w:val="en-GB"/>
        </w:rPr>
        <w:lastRenderedPageBreak/>
        <w:t>Notably, these use cases could require both additions to and deletions from the “baseline” capability represented by the capability ID.  For instance, the “new UE models” use case might be used to capture deletions relative to a “parent” model, e.g. a lower-cost model descended from the “parent” with support for fewer band</w:t>
      </w:r>
      <w:r w:rsidR="00391E80">
        <w:rPr>
          <w:lang w:val="en-GB"/>
        </w:rPr>
        <w:t xml:space="preserve"> combination</w:t>
      </w:r>
      <w:r>
        <w:rPr>
          <w:lang w:val="en-GB"/>
        </w:rPr>
        <w:t>s</w:t>
      </w:r>
      <w:r w:rsidR="00A6221A">
        <w:rPr>
          <w:lang w:val="en-GB"/>
        </w:rPr>
        <w:t>, lower transmission capabilities such as no support for 2Tx, etc.</w:t>
      </w:r>
    </w:p>
    <w:p w14:paraId="1F2EE3DB" w14:textId="071012A4" w:rsidR="00C8401D" w:rsidRDefault="00C8401D" w:rsidP="00B922AF">
      <w:pPr>
        <w:spacing w:after="240"/>
        <w:rPr>
          <w:lang w:val="en-GB"/>
        </w:rPr>
      </w:pPr>
      <w:r>
        <w:rPr>
          <w:lang w:val="en-GB"/>
        </w:rPr>
        <w:t xml:space="preserve">On the other hand, regional filters within the PLMN could either add or remove support of various bands (or combine some additions with some deletions).  </w:t>
      </w:r>
      <w:r w:rsidRPr="00C8401D">
        <w:rPr>
          <w:lang w:val="en-GB"/>
        </w:rPr>
        <w:t>For example, if the PLMN’s filter in region 1 requests bands A, B, and C, and the filter in region 2 requests only bands A and B, the capability should be able to add band C (if the UE moves from region 2 to region 1) or remove band C (if the UE moves from region 1 to region 2).</w:t>
      </w:r>
    </w:p>
    <w:p w14:paraId="35B9548B" w14:textId="3FB71DC2" w:rsidR="00C8401D" w:rsidRDefault="00C8401D" w:rsidP="00B922AF">
      <w:pPr>
        <w:spacing w:after="240"/>
        <w:rPr>
          <w:lang w:val="en-GB"/>
        </w:rPr>
      </w:pPr>
      <w:r>
        <w:rPr>
          <w:lang w:val="en-GB"/>
        </w:rPr>
        <w:t>(Actually, in the example above, delta signalling can be avoided in the case of moving from region 1 to region 2, if the network applies the filter itself.  If the UE received ID X from the PLMN in region 1, it can then move to region 2 and continue using ID X, while the network itself applies the filter and stores only the needed capabilities, excluding band C.)</w:t>
      </w:r>
    </w:p>
    <w:p w14:paraId="234F7812" w14:textId="5267BFB9" w:rsidR="00A76D39" w:rsidRDefault="00A76D39" w:rsidP="00A76D39">
      <w:pPr>
        <w:pStyle w:val="Heading2"/>
      </w:pPr>
      <w:r>
        <w:t>Defining “simple”</w:t>
      </w:r>
    </w:p>
    <w:p w14:paraId="209A70FF" w14:textId="262425D0" w:rsidR="00B922AF" w:rsidRPr="00B922AF" w:rsidRDefault="00B922AF" w:rsidP="00B922AF">
      <w:pPr>
        <w:spacing w:after="240"/>
        <w:rPr>
          <w:lang w:val="en-GB"/>
        </w:rPr>
      </w:pPr>
      <w:r w:rsidRPr="00B922AF">
        <w:rPr>
          <w:lang w:val="en-GB"/>
        </w:rPr>
        <w:t xml:space="preserve">The RACS_RAN WID in [3] indicates that RAN2 will consider “simple” delta signalling, which inevitably raises the question of what is and is not “simple”.  At a minimum, it should be possible to agree that a set of flags indicating omission of support of individual RATs is adequately simple; the signalling impact is negligible and no significant implementation bookkeeping is needed to make the results consistent </w:t>
      </w:r>
      <w:r>
        <w:rPr>
          <w:lang w:val="en-GB"/>
        </w:rPr>
        <w:t>(as could be the case if e.g. the list of feature sets changed).</w:t>
      </w:r>
    </w:p>
    <w:p w14:paraId="69290D6F" w14:textId="64F4D73A" w:rsidR="00DF345D" w:rsidRDefault="00DF345D" w:rsidP="00DF345D">
      <w:pPr>
        <w:spacing w:after="240"/>
        <w:rPr>
          <w:lang w:val="en-GB"/>
        </w:rPr>
      </w:pPr>
      <w:r w:rsidRPr="00B922AF">
        <w:rPr>
          <w:b/>
          <w:lang w:val="en-GB"/>
        </w:rPr>
        <w:t>Proposal 1:</w:t>
      </w:r>
      <w:r w:rsidRPr="00B922AF">
        <w:rPr>
          <w:lang w:val="en-GB"/>
        </w:rPr>
        <w:t xml:space="preserve"> </w:t>
      </w:r>
      <w:r w:rsidR="00B922AF">
        <w:rPr>
          <w:lang w:val="en-GB"/>
        </w:rPr>
        <w:t>Flags indicating omission of support for individual RATs are a feasible form of delta signalling.</w:t>
      </w:r>
    </w:p>
    <w:p w14:paraId="3B0C52D2" w14:textId="7E063A5A" w:rsidR="00B922AF" w:rsidRDefault="00B922AF" w:rsidP="00DF345D">
      <w:pPr>
        <w:spacing w:after="240"/>
        <w:rPr>
          <w:lang w:val="en-GB"/>
        </w:rPr>
      </w:pPr>
      <w:r>
        <w:rPr>
          <w:lang w:val="en-GB"/>
        </w:rPr>
        <w:t>Similar reasoning applies to frequency ranges; the most likely use case would be to disable FR2, which can be done with a single flag in the signalling.  It could be discussed if there is any use case for a matching “disable FR1” flag.</w:t>
      </w:r>
    </w:p>
    <w:p w14:paraId="314EB282" w14:textId="4FF983E2" w:rsidR="00B922AF" w:rsidRDefault="00B922AF" w:rsidP="00DF345D">
      <w:pPr>
        <w:spacing w:after="240"/>
        <w:rPr>
          <w:lang w:val="en-GB"/>
        </w:rPr>
      </w:pPr>
      <w:r>
        <w:rPr>
          <w:b/>
          <w:lang w:val="en-GB"/>
        </w:rPr>
        <w:t>Proposal 2:</w:t>
      </w:r>
      <w:r>
        <w:rPr>
          <w:lang w:val="en-GB"/>
        </w:rPr>
        <w:t xml:space="preserve"> A flag indicating omission of support for FR2 is a feasible form of delta signalling.  FR1 can be discussed.</w:t>
      </w:r>
    </w:p>
    <w:p w14:paraId="1FF1BCB1" w14:textId="22235622" w:rsidR="00B922AF" w:rsidRDefault="00B922AF" w:rsidP="00DF345D">
      <w:pPr>
        <w:spacing w:after="240"/>
        <w:rPr>
          <w:lang w:val="en-GB"/>
        </w:rPr>
      </w:pPr>
      <w:r>
        <w:rPr>
          <w:lang w:val="en-GB"/>
        </w:rPr>
        <w:t>Going beyond this baseline would involve more signalling.  As noted in [4], the UE capabilities comprise four basic types of fields:</w:t>
      </w:r>
    </w:p>
    <w:p w14:paraId="5FD7B1EA" w14:textId="77777777" w:rsidR="00B922AF" w:rsidRPr="00043586" w:rsidRDefault="00B922AF" w:rsidP="00B922AF">
      <w:pPr>
        <w:pStyle w:val="ListParagraph"/>
        <w:numPr>
          <w:ilvl w:val="0"/>
          <w:numId w:val="20"/>
        </w:numPr>
      </w:pPr>
      <w:r w:rsidRPr="00043586">
        <w:t>Boolean indicators (“ENUMERATED {supported}” in ASN.1) where presence means support and absence means lack of support;</w:t>
      </w:r>
    </w:p>
    <w:p w14:paraId="70D13C0A" w14:textId="77777777" w:rsidR="00B922AF" w:rsidRPr="00043586" w:rsidRDefault="00B922AF" w:rsidP="00B922AF">
      <w:pPr>
        <w:pStyle w:val="ListParagraph"/>
        <w:numPr>
          <w:ilvl w:val="0"/>
          <w:numId w:val="20"/>
        </w:numPr>
      </w:pPr>
      <w:r w:rsidRPr="00043586">
        <w:t>Scalar or enumerated indicators where a maximum number of something, or one of several versions of the feature, is supported by the UE;</w:t>
      </w:r>
    </w:p>
    <w:p w14:paraId="25F94A43" w14:textId="77777777" w:rsidR="00B922AF" w:rsidRPr="00043586" w:rsidRDefault="00B922AF" w:rsidP="00B922AF">
      <w:pPr>
        <w:pStyle w:val="ListParagraph"/>
        <w:numPr>
          <w:ilvl w:val="0"/>
          <w:numId w:val="20"/>
        </w:numPr>
      </w:pPr>
      <w:r w:rsidRPr="00043586">
        <w:t xml:space="preserve">Bitmasks indicating a set of supported characteristics (e.g., the </w:t>
      </w:r>
      <w:proofErr w:type="spellStart"/>
      <w:r w:rsidRPr="00043586">
        <w:rPr>
          <w:i/>
        </w:rPr>
        <w:t>supportedGapPattern</w:t>
      </w:r>
      <w:proofErr w:type="spellEnd"/>
      <w:r w:rsidRPr="00043586">
        <w:t>);</w:t>
      </w:r>
    </w:p>
    <w:p w14:paraId="67A2C547" w14:textId="77777777" w:rsidR="00B922AF" w:rsidRPr="00043586" w:rsidRDefault="00B922AF" w:rsidP="00B922AF">
      <w:pPr>
        <w:pStyle w:val="ListParagraph"/>
        <w:numPr>
          <w:ilvl w:val="0"/>
          <w:numId w:val="20"/>
        </w:numPr>
      </w:pPr>
      <w:r w:rsidRPr="00043586">
        <w:t>Lists of supported characteristics (e.g., band combination lists).</w:t>
      </w:r>
    </w:p>
    <w:p w14:paraId="4CB71D45" w14:textId="3DEA706E" w:rsidR="00B922AF" w:rsidRPr="003C4894" w:rsidRDefault="00B922AF" w:rsidP="00DF345D">
      <w:pPr>
        <w:spacing w:after="240"/>
        <w:rPr>
          <w:lang w:val="en-GB"/>
        </w:rPr>
      </w:pPr>
      <w:r>
        <w:rPr>
          <w:lang w:val="en-GB"/>
        </w:rPr>
        <w:t xml:space="preserve">Based on previous discussion, we understand that the strongest objection to delta signalling on grounds of complexity relates to the fields of type 4, for which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would need to be defined</w:t>
      </w:r>
      <w:r w:rsidR="00A76D39">
        <w:rPr>
          <w:lang w:val="en-GB"/>
        </w:rPr>
        <w:t xml:space="preserve"> (see the following section)</w:t>
      </w:r>
      <w:r>
        <w:rPr>
          <w:lang w:val="en-GB"/>
        </w:rPr>
        <w:t>.  The other fields are relatively small in number, and as per the analysis of [4] it should be possible to use delta signalling at the list level—e.g., for delta signalling of the PDCP parameters, signal a</w:t>
      </w:r>
      <w:r w:rsidR="003C4894">
        <w:rPr>
          <w:lang w:val="en-GB"/>
        </w:rPr>
        <w:t>n OPTIONAL</w:t>
      </w:r>
      <w:r>
        <w:rPr>
          <w:lang w:val="en-GB"/>
        </w:rPr>
        <w:t xml:space="preserve"> version of the </w:t>
      </w:r>
      <w:r>
        <w:rPr>
          <w:i/>
          <w:lang w:val="en-GB"/>
        </w:rPr>
        <w:t>PDCP-Parameters</w:t>
      </w:r>
      <w:r>
        <w:rPr>
          <w:lang w:val="en-GB"/>
        </w:rPr>
        <w:t xml:space="preserve"> IE</w:t>
      </w:r>
      <w:r w:rsidR="003C4894">
        <w:rPr>
          <w:lang w:val="en-GB"/>
        </w:rPr>
        <w:t>,</w:t>
      </w:r>
      <w:r>
        <w:rPr>
          <w:lang w:val="en-GB"/>
        </w:rPr>
        <w:t xml:space="preserve"> which is included if changed and omitted if unchanged.</w:t>
      </w:r>
      <w:r w:rsidR="003C4894">
        <w:rPr>
          <w:lang w:val="en-GB"/>
        </w:rPr>
        <w:t xml:space="preserve">  If present, the IE for the deltas overrides the stored </w:t>
      </w:r>
      <w:r w:rsidR="003C4894">
        <w:rPr>
          <w:i/>
          <w:lang w:val="en-GB"/>
        </w:rPr>
        <w:t>PDCP-Parameters</w:t>
      </w:r>
      <w:r w:rsidR="003C4894">
        <w:rPr>
          <w:lang w:val="en-GB"/>
        </w:rPr>
        <w:t>.</w:t>
      </w:r>
      <w:r w:rsidR="00DE787C">
        <w:rPr>
          <w:lang w:val="en-GB"/>
        </w:rPr>
        <w:t xml:space="preserve">  This avoids the need to signal the entire capability in case support for one or a few parameters changed (this could be the case, for example, with MDT support, where the same model UE might support the feature when issued to an operator and not support it for retail sale).</w:t>
      </w:r>
    </w:p>
    <w:p w14:paraId="1CFE0DA5" w14:textId="4B251786" w:rsidR="00B922AF" w:rsidRDefault="00B922AF" w:rsidP="00DF345D">
      <w:pPr>
        <w:spacing w:after="240"/>
        <w:rPr>
          <w:lang w:val="en-GB"/>
        </w:rPr>
      </w:pPr>
      <w:r>
        <w:rPr>
          <w:b/>
          <w:lang w:val="en-GB"/>
        </w:rPr>
        <w:lastRenderedPageBreak/>
        <w:t>Proposal 3:</w:t>
      </w:r>
      <w:r>
        <w:rPr>
          <w:lang w:val="en-GB"/>
        </w:rPr>
        <w:t xml:space="preserve"> Capability fields that are not lists </w:t>
      </w:r>
      <w:r w:rsidR="00E0506C">
        <w:rPr>
          <w:lang w:val="en-GB"/>
        </w:rPr>
        <w:t xml:space="preserve">(types 1-3 in the list above) </w:t>
      </w:r>
      <w:r>
        <w:rPr>
          <w:lang w:val="en-GB"/>
        </w:rPr>
        <w:t>can be supported with delta signalling at the list level.</w:t>
      </w:r>
    </w:p>
    <w:p w14:paraId="0F9D534A" w14:textId="2190E7D9" w:rsidR="00A76D39" w:rsidRDefault="00A76D39" w:rsidP="00DF345D">
      <w:pPr>
        <w:spacing w:after="240"/>
        <w:rPr>
          <w:lang w:val="en-GB"/>
        </w:rPr>
      </w:pPr>
      <w:r>
        <w:rPr>
          <w:lang w:val="en-GB"/>
        </w:rPr>
        <w:t xml:space="preserve">This section has not addressed the case of delta signalling for bands and band combinations, where much of the gain of delta signalling would be expected to reside.  </w:t>
      </w:r>
    </w:p>
    <w:p w14:paraId="7132ED47" w14:textId="3F44332A" w:rsidR="00A76D39" w:rsidRDefault="00A76D39" w:rsidP="00A76D39">
      <w:pPr>
        <w:pStyle w:val="Heading2"/>
      </w:pPr>
      <w:r>
        <w:t>Delta signalling for bands and band combinations</w:t>
      </w:r>
    </w:p>
    <w:p w14:paraId="2B7475B4" w14:textId="77777777" w:rsidR="00487002" w:rsidRDefault="00A76D39" w:rsidP="00DF345D">
      <w:pPr>
        <w:spacing w:after="240"/>
        <w:rPr>
          <w:lang w:val="en-GB"/>
        </w:rPr>
      </w:pPr>
      <w:r>
        <w:rPr>
          <w:lang w:val="en-GB"/>
        </w:rPr>
        <w:t>As noted in section 2.1, it is likely that much of the benefit of delta signalling would come from bands and band combinations (these are also the fields responsible for most of the capability size).</w:t>
      </w:r>
    </w:p>
    <w:p w14:paraId="74BF8618" w14:textId="421E0A0E" w:rsidR="00A76D39" w:rsidRDefault="00A76D39" w:rsidP="00DF345D">
      <w:pPr>
        <w:spacing w:after="240"/>
        <w:rPr>
          <w:lang w:val="en-GB"/>
        </w:rPr>
      </w:pPr>
      <w:r>
        <w:rPr>
          <w:lang w:val="en-GB"/>
        </w:rPr>
        <w:t xml:space="preserve">An approach was discussed in [1] for delta signalling of bands and band combinations using the familiar mechanism of </w:t>
      </w:r>
      <w:proofErr w:type="spellStart"/>
      <w:r>
        <w:rPr>
          <w:lang w:val="en-GB"/>
        </w:rPr>
        <w:t>ToAddMod</w:t>
      </w:r>
      <w:proofErr w:type="spellEnd"/>
      <w:r>
        <w:rPr>
          <w:lang w:val="en-GB"/>
        </w:rPr>
        <w:t>/</w:t>
      </w:r>
      <w:proofErr w:type="spellStart"/>
      <w:r>
        <w:rPr>
          <w:lang w:val="en-GB"/>
        </w:rPr>
        <w:t>ToRemove</w:t>
      </w:r>
      <w:proofErr w:type="spellEnd"/>
      <w:r>
        <w:rPr>
          <w:lang w:val="en-GB"/>
        </w:rPr>
        <w:t xml:space="preserve"> lists.  To summarise that approach, the basic signalling mechanism would be to include “extra” band combinations in a </w:t>
      </w:r>
      <w:proofErr w:type="spellStart"/>
      <w:r>
        <w:rPr>
          <w:lang w:val="en-GB"/>
        </w:rPr>
        <w:t>ToAddMod</w:t>
      </w:r>
      <w:proofErr w:type="spellEnd"/>
      <w:r>
        <w:rPr>
          <w:lang w:val="en-GB"/>
        </w:rPr>
        <w:t xml:space="preserve"> list, and deleted band combinations in a </w:t>
      </w:r>
      <w:proofErr w:type="spellStart"/>
      <w:r>
        <w:rPr>
          <w:lang w:val="en-GB"/>
        </w:rPr>
        <w:t>ToRemove</w:t>
      </w:r>
      <w:proofErr w:type="spellEnd"/>
      <w:r>
        <w:rPr>
          <w:lang w:val="en-GB"/>
        </w:rPr>
        <w:t xml:space="preserve"> list; this would </w:t>
      </w:r>
      <w:r w:rsidR="00C8401D">
        <w:rPr>
          <w:lang w:val="en-GB"/>
        </w:rPr>
        <w:t xml:space="preserve">support the use cases discussed in section 2.1, and </w:t>
      </w:r>
      <w:r>
        <w:rPr>
          <w:lang w:val="en-GB"/>
        </w:rPr>
        <w:t xml:space="preserve">result in ASN.1 similar to the following snippet (which could, for example, appear </w:t>
      </w:r>
      <w:r w:rsidR="00C8401D">
        <w:rPr>
          <w:lang w:val="en-GB"/>
        </w:rPr>
        <w:t>in a new IE within</w:t>
      </w:r>
      <w:r>
        <w:rPr>
          <w:lang w:val="en-GB"/>
        </w:rPr>
        <w:t xml:space="preserve"> the </w:t>
      </w:r>
      <w:proofErr w:type="spellStart"/>
      <w:r>
        <w:rPr>
          <w:i/>
          <w:lang w:val="en-GB"/>
        </w:rPr>
        <w:t>UECapabilityInformation</w:t>
      </w:r>
      <w:proofErr w:type="spellEnd"/>
      <w:r>
        <w:rPr>
          <w:lang w:val="en-GB"/>
        </w:rPr>
        <w:t xml:space="preserve"> message):</w:t>
      </w:r>
    </w:p>
    <w:p w14:paraId="40D908EA"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ue-CapabilityID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UE-CapabilityID</w:t>
      </w:r>
      <w:r w:rsidRPr="00A41E85">
        <w:rPr>
          <w:rFonts w:ascii="Courier New" w:eastAsia="Batang" w:hAnsi="Courier New"/>
          <w:noProof/>
          <w:sz w:val="16"/>
          <w:szCs w:val="20"/>
          <w:lang w:val="en-GB" w:eastAsia="sv-SE"/>
        </w:rPr>
        <w:t>,</w:t>
      </w:r>
    </w:p>
    <w:p w14:paraId="6137D4B8"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35E87D46" w14:textId="77777777" w:rsidR="00A76D39" w:rsidRPr="00A41E85"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band combinations</w:t>
      </w:r>
    </w:p>
    <w:p w14:paraId="331AA585"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supportedBandCombinationToRemoveList</w:t>
      </w:r>
      <w:r>
        <w:rPr>
          <w:rFonts w:ascii="Courier New" w:eastAsia="Batang" w:hAnsi="Courier New"/>
          <w:noProof/>
          <w:sz w:val="16"/>
          <w:szCs w:val="20"/>
          <w:lang w:val="en-GB" w:eastAsia="sv-SE"/>
        </w:rPr>
        <w:tab/>
        <w:t>SEQUENCE (SIZE(1..maxBandComb)) OF INTEGER (0..maxBandComb-1)</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204CB6E9" w14:textId="3A11C915"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supportedBandCombinationToAddModList</w:t>
      </w:r>
      <w:r>
        <w:rPr>
          <w:rFonts w:ascii="Courier New" w:eastAsia="Batang" w:hAnsi="Courier New"/>
          <w:noProof/>
          <w:sz w:val="16"/>
          <w:szCs w:val="20"/>
          <w:lang w:val="en-GB" w:eastAsia="sv-SE"/>
        </w:rPr>
        <w:tab/>
        <w:t>SEQUENCE (SIZE(1..maxBandComb)) OF BandCombination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p>
    <w:p w14:paraId="44C5D711" w14:textId="77777777" w:rsidR="00A76D39" w:rsidRPr="00A76D39" w:rsidRDefault="00A76D39" w:rsidP="00DF345D">
      <w:pPr>
        <w:spacing w:after="240"/>
        <w:rPr>
          <w:lang w:val="en-GB"/>
        </w:rPr>
      </w:pPr>
    </w:p>
    <w:p w14:paraId="1D1F0ED0" w14:textId="65788233" w:rsidR="00A76D39" w:rsidRPr="00A76D39" w:rsidRDefault="00A76D39" w:rsidP="00B74855">
      <w:pPr>
        <w:spacing w:after="240"/>
      </w:pPr>
      <w:r>
        <w:rPr>
          <w:lang w:val="en-GB"/>
        </w:rPr>
        <w:t>This is not a complex addition to the signalling, and it can fully solve the problem of delta signalling for band combinations</w:t>
      </w:r>
      <w:r w:rsidR="007618C8">
        <w:rPr>
          <w:lang w:val="en-GB"/>
        </w:rPr>
        <w:t>, provided</w:t>
      </w:r>
      <w:r>
        <w:rPr>
          <w:lang w:val="en-GB"/>
        </w:rPr>
        <w:t xml:space="preserve"> </w:t>
      </w:r>
      <w:r w:rsidR="007618C8">
        <w:rPr>
          <w:lang w:val="en-GB"/>
        </w:rPr>
        <w:t>t</w:t>
      </w:r>
      <w:r>
        <w:t xml:space="preserve">he UE signals all of the needed feature sets and feature set combinations for all supported band combinations in each </w:t>
      </w:r>
      <w:proofErr w:type="spellStart"/>
      <w:r>
        <w:rPr>
          <w:i/>
        </w:rPr>
        <w:t>UECapabilityInformation</w:t>
      </w:r>
      <w:proofErr w:type="spellEnd"/>
      <w:r>
        <w:rPr>
          <w:i/>
        </w:rPr>
        <w:t xml:space="preserve"> </w:t>
      </w:r>
      <w:r>
        <w:t>message (when a capability ID is not used).</w:t>
      </w:r>
      <w:r w:rsidR="007618C8">
        <w:t xml:space="preserve">  Otherwise, there is the risk of adding a new band combination to the list, but not having the needed feature set combination to support it.</w:t>
      </w:r>
    </w:p>
    <w:p w14:paraId="7744F98D" w14:textId="3D2F7E9F" w:rsidR="00487002" w:rsidRDefault="00487002" w:rsidP="00DF345D">
      <w:pPr>
        <w:spacing w:after="240"/>
        <w:rPr>
          <w:lang w:val="en-GB"/>
        </w:rPr>
      </w:pPr>
      <w:r>
        <w:rPr>
          <w:lang w:val="en-GB"/>
        </w:rPr>
        <w:t>However, s</w:t>
      </w:r>
      <w:r w:rsidR="00A76D39">
        <w:rPr>
          <w:lang w:val="en-GB"/>
        </w:rPr>
        <w:t>ince the feature set combinations may account for a large portion of the capability size, it may be preferable not to signal them all in each capability transfer.  This suggests that it might be possible to use delta signalling also for the feature set combinations</w:t>
      </w:r>
      <w:r>
        <w:rPr>
          <w:lang w:val="en-GB"/>
        </w:rPr>
        <w:t>.</w:t>
      </w:r>
    </w:p>
    <w:p w14:paraId="64993F51" w14:textId="72432E6C" w:rsidR="00A76D39" w:rsidRDefault="00487002" w:rsidP="00DF345D">
      <w:pPr>
        <w:spacing w:after="240"/>
        <w:rPr>
          <w:lang w:val="en-GB"/>
        </w:rPr>
      </w:pPr>
      <w:r>
        <w:rPr>
          <w:lang w:val="en-GB"/>
        </w:rPr>
        <w:t>T</w:t>
      </w:r>
      <w:r w:rsidR="007618C8">
        <w:rPr>
          <w:lang w:val="en-GB"/>
        </w:rPr>
        <w:t xml:space="preserve">here is some complexity in using </w:t>
      </w:r>
      <w:proofErr w:type="spellStart"/>
      <w:r w:rsidR="007618C8">
        <w:rPr>
          <w:lang w:val="en-GB"/>
        </w:rPr>
        <w:t>ToRemove</w:t>
      </w:r>
      <w:proofErr w:type="spellEnd"/>
      <w:r w:rsidR="007618C8">
        <w:rPr>
          <w:lang w:val="en-GB"/>
        </w:rPr>
        <w:t xml:space="preserve"> lists with the feature set combinations: The </w:t>
      </w:r>
      <w:proofErr w:type="spellStart"/>
      <w:r w:rsidR="007618C8">
        <w:rPr>
          <w:i/>
          <w:lang w:val="en-GB"/>
        </w:rPr>
        <w:t>FeatureSetCombinationId</w:t>
      </w:r>
      <w:proofErr w:type="spellEnd"/>
      <w:r w:rsidR="007618C8">
        <w:rPr>
          <w:lang w:val="en-GB"/>
        </w:rPr>
        <w:t xml:space="preserve"> is the index of an FSC in the list, meaning that a removal can change the IDs of the remaining FSCs.</w:t>
      </w:r>
      <w:r>
        <w:rPr>
          <w:lang w:val="en-GB"/>
        </w:rPr>
        <w:t xml:space="preserve">  </w:t>
      </w:r>
      <w:r w:rsidR="007618C8">
        <w:rPr>
          <w:lang w:val="en-GB"/>
        </w:rPr>
        <w:t xml:space="preserve">Fortunately, it is not really critical to remove FSCs from the list.  If no BC points to an FSC, that FSC is simply unused.  </w:t>
      </w:r>
      <w:r w:rsidR="004022F6">
        <w:rPr>
          <w:lang w:val="en-GB"/>
        </w:rPr>
        <w:t xml:space="preserve">A similar concern applies to modifying the FSCs in place; there is no ID other than the position in the list, so it is difficult for a simple structure to indicate which FSC is being modified.  </w:t>
      </w:r>
      <w:r w:rsidR="007618C8">
        <w:rPr>
          <w:lang w:val="en-GB"/>
        </w:rPr>
        <w:t>This suggests that it could be possible for the FSC list to use delta signalling for additions only</w:t>
      </w:r>
      <w:r w:rsidR="00A76D39">
        <w:rPr>
          <w:lang w:val="en-GB"/>
        </w:rPr>
        <w:t>, resulting in ASN.1 similar to the following:</w:t>
      </w:r>
    </w:p>
    <w:p w14:paraId="3469E158"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ue-CapabilityID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UE-CapabilityID</w:t>
      </w:r>
      <w:r w:rsidRPr="00A41E85">
        <w:rPr>
          <w:rFonts w:ascii="Courier New" w:eastAsia="Batang" w:hAnsi="Courier New"/>
          <w:noProof/>
          <w:sz w:val="16"/>
          <w:szCs w:val="20"/>
          <w:lang w:val="en-GB" w:eastAsia="sv-SE"/>
        </w:rPr>
        <w:t>,</w:t>
      </w:r>
    </w:p>
    <w:p w14:paraId="5CF6C109"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01586ED5" w14:textId="77777777" w:rsidR="00A76D39" w:rsidRPr="00A41E85"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band combinations</w:t>
      </w:r>
    </w:p>
    <w:p w14:paraId="38A09ED2"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supportedBandCombinationToRemoveList</w:t>
      </w:r>
      <w:r>
        <w:rPr>
          <w:rFonts w:ascii="Courier New" w:eastAsia="Batang" w:hAnsi="Courier New"/>
          <w:noProof/>
          <w:sz w:val="16"/>
          <w:szCs w:val="20"/>
          <w:lang w:val="en-GB" w:eastAsia="sv-SE"/>
        </w:rPr>
        <w:tab/>
        <w:t>SEQUENCE (SIZE(1..maxBandComb)) OF INTEGER (0..maxBandComb-1)</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04F9B609"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supportedBandCombinationToAddModList</w:t>
      </w:r>
      <w:r>
        <w:rPr>
          <w:rFonts w:ascii="Courier New" w:eastAsia="Batang" w:hAnsi="Courier New"/>
          <w:noProof/>
          <w:sz w:val="16"/>
          <w:szCs w:val="20"/>
          <w:lang w:val="en-GB" w:eastAsia="sv-SE"/>
        </w:rPr>
        <w:tab/>
        <w:t>SEQUENCE (SIZE(1..maxBandComb)) OF BandCombination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7AC92ABE"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1279B310"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feature set combinations</w:t>
      </w:r>
    </w:p>
    <w:p w14:paraId="14F30913" w14:textId="65E7FFF4"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en-GB"/>
        </w:rPr>
      </w:pPr>
      <w:r>
        <w:rPr>
          <w:rFonts w:ascii="Courier New" w:eastAsia="Batang" w:hAnsi="Courier New"/>
          <w:noProof/>
          <w:sz w:val="16"/>
          <w:szCs w:val="20"/>
          <w:lang w:val="en-GB" w:eastAsia="sv-SE"/>
        </w:rPr>
        <w:tab/>
        <w:t>featureSetCombinationToAddList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(SIZE(1..maxFeatureSetCombinations)) OF FeatureSetCombination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p>
    <w:p w14:paraId="44838495" w14:textId="77777777" w:rsidR="00A76D39" w:rsidRPr="00A76D39" w:rsidRDefault="00A76D39" w:rsidP="00DF345D">
      <w:pPr>
        <w:spacing w:after="240"/>
        <w:rPr>
          <w:lang w:val="en-GB"/>
        </w:rPr>
      </w:pPr>
    </w:p>
    <w:p w14:paraId="223B76ED" w14:textId="56B96086" w:rsidR="007618C8" w:rsidRDefault="007618C8" w:rsidP="00DF345D">
      <w:pPr>
        <w:spacing w:after="240"/>
        <w:rPr>
          <w:lang w:val="en-GB"/>
        </w:rPr>
      </w:pPr>
      <w:r>
        <w:rPr>
          <w:b/>
          <w:lang w:val="en-GB"/>
        </w:rPr>
        <w:lastRenderedPageBreak/>
        <w:t>Proposal 4a:</w:t>
      </w:r>
      <w:r>
        <w:rPr>
          <w:lang w:val="en-GB"/>
        </w:rPr>
        <w:t xml:space="preserve"> Delta signalling of the band combination list (with the </w:t>
      </w:r>
      <w:proofErr w:type="spellStart"/>
      <w:r>
        <w:rPr>
          <w:lang w:val="en-GB"/>
        </w:rPr>
        <w:t>ToAddMod</w:t>
      </w:r>
      <w:proofErr w:type="spellEnd"/>
      <w:r>
        <w:rPr>
          <w:lang w:val="en-GB"/>
        </w:rPr>
        <w:t xml:space="preserve"> and </w:t>
      </w:r>
      <w:proofErr w:type="spellStart"/>
      <w:r>
        <w:rPr>
          <w:lang w:val="en-GB"/>
        </w:rPr>
        <w:t>ToRemove</w:t>
      </w:r>
      <w:proofErr w:type="spellEnd"/>
      <w:r>
        <w:rPr>
          <w:lang w:val="en-GB"/>
        </w:rPr>
        <w:t xml:space="preserve"> lists) is supported.</w:t>
      </w:r>
    </w:p>
    <w:p w14:paraId="7939050C" w14:textId="1053253C" w:rsidR="007618C8" w:rsidRPr="007618C8" w:rsidRDefault="007618C8" w:rsidP="00DF345D">
      <w:pPr>
        <w:spacing w:after="240"/>
        <w:rPr>
          <w:lang w:val="en-GB"/>
        </w:rPr>
      </w:pPr>
      <w:r>
        <w:rPr>
          <w:b/>
          <w:lang w:val="en-GB"/>
        </w:rPr>
        <w:t>Proposal 4b:</w:t>
      </w:r>
      <w:r>
        <w:rPr>
          <w:lang w:val="en-GB"/>
        </w:rPr>
        <w:t xml:space="preserve"> Delta signalling of the feature set combination list (with the </w:t>
      </w:r>
      <w:proofErr w:type="spellStart"/>
      <w:r>
        <w:rPr>
          <w:lang w:val="en-GB"/>
        </w:rPr>
        <w:t>ToAdd</w:t>
      </w:r>
      <w:proofErr w:type="spellEnd"/>
      <w:r>
        <w:rPr>
          <w:lang w:val="en-GB"/>
        </w:rPr>
        <w:t xml:space="preserve"> list only) is supported.</w:t>
      </w:r>
    </w:p>
    <w:p w14:paraId="4AAFE16A" w14:textId="21ED0AA2" w:rsidR="00A76D39" w:rsidRDefault="00A76D39" w:rsidP="00DF345D">
      <w:pPr>
        <w:spacing w:after="240"/>
        <w:rPr>
          <w:lang w:val="en-GB"/>
        </w:rPr>
      </w:pPr>
      <w:r>
        <w:rPr>
          <w:lang w:val="en-GB"/>
        </w:rPr>
        <w:t xml:space="preserve">This allows delta signalling of the feature set combinations, but not of the feature sets themselves.  </w:t>
      </w:r>
      <w:r w:rsidR="007618C8">
        <w:rPr>
          <w:lang w:val="en-GB"/>
        </w:rPr>
        <w:t>It</w:t>
      </w:r>
      <w:r>
        <w:rPr>
          <w:lang w:val="en-GB"/>
        </w:rPr>
        <w:t xml:space="preserve"> would require that the UE routinely signal all supported feature sets for all supported feature set combinations in the </w:t>
      </w:r>
      <w:proofErr w:type="spellStart"/>
      <w:r>
        <w:rPr>
          <w:i/>
          <w:lang w:val="en-GB"/>
        </w:rPr>
        <w:t>UECapabilityInformation</w:t>
      </w:r>
      <w:proofErr w:type="spellEnd"/>
      <w:r>
        <w:rPr>
          <w:lang w:val="en-GB"/>
        </w:rPr>
        <w:t xml:space="preserve"> message (when a capability ID is not used), in order to support delta signalling that could add more feature set combinations.</w:t>
      </w:r>
    </w:p>
    <w:p w14:paraId="5E645A97" w14:textId="46C2A97F" w:rsidR="00A76D39" w:rsidRPr="00A76D39" w:rsidRDefault="00A76D39" w:rsidP="00DF345D">
      <w:pPr>
        <w:spacing w:after="240"/>
        <w:rPr>
          <w:lang w:val="en-GB"/>
        </w:rPr>
      </w:pPr>
      <w:r>
        <w:rPr>
          <w:b/>
          <w:lang w:val="en-GB"/>
        </w:rPr>
        <w:t>Proposal 5:</w:t>
      </w:r>
      <w:r>
        <w:rPr>
          <w:lang w:val="en-GB"/>
        </w:rPr>
        <w:t xml:space="preserve"> To support delta signalling of feature set combinations, the UE signals all supported feature sets in the </w:t>
      </w:r>
      <w:proofErr w:type="spellStart"/>
      <w:proofErr w:type="gramStart"/>
      <w:r>
        <w:rPr>
          <w:i/>
          <w:lang w:val="en-GB"/>
        </w:rPr>
        <w:t>featureSets</w:t>
      </w:r>
      <w:proofErr w:type="spellEnd"/>
      <w:r>
        <w:rPr>
          <w:i/>
          <w:lang w:val="en-GB"/>
        </w:rPr>
        <w:t>[</w:t>
      </w:r>
      <w:proofErr w:type="gramEnd"/>
      <w:r>
        <w:rPr>
          <w:i/>
          <w:lang w:val="en-GB"/>
        </w:rPr>
        <w:t>EUTRA]</w:t>
      </w:r>
      <w:r>
        <w:rPr>
          <w:lang w:val="en-GB"/>
        </w:rPr>
        <w:t xml:space="preserve"> field.</w:t>
      </w:r>
    </w:p>
    <w:p w14:paraId="46F16321" w14:textId="34ED55E3" w:rsidR="00A76D39" w:rsidRDefault="00A76D39" w:rsidP="00DF345D">
      <w:pPr>
        <w:spacing w:after="240"/>
      </w:pPr>
      <w:r>
        <w:t xml:space="preserve">If proposal 5 is not accepted, there would be a further need to signal deltas for the feature set lists (for downlink and uplink, and including the per-CC feature sets) as shown in [1].  This would not make the </w:t>
      </w:r>
      <w:proofErr w:type="spellStart"/>
      <w:r>
        <w:t>signalling</w:t>
      </w:r>
      <w:proofErr w:type="spellEnd"/>
      <w:r>
        <w:t xml:space="preserve"> fundamentally more complex, but it would make the ASN.1 longer, and since the feature set lists have only a single level, the payoff in terms of reduced </w:t>
      </w:r>
      <w:proofErr w:type="spellStart"/>
      <w:r>
        <w:t>signalling</w:t>
      </w:r>
      <w:proofErr w:type="spellEnd"/>
      <w:r>
        <w:t xml:space="preserve"> </w:t>
      </w:r>
      <w:r w:rsidR="00E0506C">
        <w:t>might</w:t>
      </w:r>
      <w:r>
        <w:t xml:space="preserve"> not be worthwhile.  </w:t>
      </w:r>
      <w:r w:rsidR="007618C8">
        <w:t xml:space="preserve">The feature sets have the same ID issue as the FSCs, meaning that removals are not desirable but additions and modifications do not create a problem.  </w:t>
      </w:r>
      <w:r>
        <w:t xml:space="preserve">The additional snippet of ASN.1 </w:t>
      </w:r>
      <w:r w:rsidR="00973B8D">
        <w:t>could</w:t>
      </w:r>
      <w:r>
        <w:t xml:space="preserve"> be as follows:</w:t>
      </w:r>
    </w:p>
    <w:p w14:paraId="3383F7D3"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feature sets (including DL, UL, and per-CC)</w:t>
      </w:r>
    </w:p>
    <w:p w14:paraId="3C34C446"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(SIZE(1..maxDownlinkFeatureSets)) OF FeatureSetDownlink</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r>
        <w:rPr>
          <w:rFonts w:ascii="Courier New" w:eastAsia="Batang" w:hAnsi="Courier New"/>
          <w:noProof/>
          <w:sz w:val="16"/>
          <w:szCs w:val="20"/>
          <w:lang w:val="en-GB" w:eastAsia="sv-SE"/>
        </w:rPr>
        <w:t>,</w:t>
      </w:r>
    </w:p>
    <w:p w14:paraId="607DDDA6"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featureSetsDL-PerCC-ToAddModList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FeatureSetDownlinkPerCC</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26DF4BC4"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(SIZE(1..maxUplinkFeatureSets)) OF FeatureSetUplink</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0F83F297" w14:textId="77777777" w:rsidR="00A76D39" w:rsidRDefault="00A76D39" w:rsidP="00A7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featureSetsUL-PerCC-ToAddModList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FeatureSetUplinkPerCC</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74C8E0D8" w14:textId="77777777" w:rsidR="00A76D39" w:rsidRPr="00A76D39" w:rsidRDefault="00A76D39" w:rsidP="00DF345D">
      <w:pPr>
        <w:spacing w:after="240"/>
      </w:pPr>
    </w:p>
    <w:p w14:paraId="1E6D4950" w14:textId="69B49A72" w:rsidR="00B922AF" w:rsidRPr="00B922AF" w:rsidRDefault="00B922AF" w:rsidP="00DF345D">
      <w:pPr>
        <w:spacing w:after="240"/>
        <w:rPr>
          <w:lang w:val="en-GB"/>
        </w:rPr>
      </w:pPr>
      <w:r>
        <w:rPr>
          <w:b/>
          <w:lang w:val="en-GB"/>
        </w:rPr>
        <w:t xml:space="preserve">Proposal </w:t>
      </w:r>
      <w:r w:rsidR="00A76D39">
        <w:rPr>
          <w:b/>
          <w:lang w:val="en-GB"/>
        </w:rPr>
        <w:t>6</w:t>
      </w:r>
      <w:r>
        <w:rPr>
          <w:b/>
          <w:lang w:val="en-GB"/>
        </w:rPr>
        <w:t>:</w:t>
      </w:r>
      <w:r>
        <w:rPr>
          <w:lang w:val="en-GB"/>
        </w:rPr>
        <w:t xml:space="preserve"> </w:t>
      </w:r>
      <w:r w:rsidR="00A76D39">
        <w:rPr>
          <w:lang w:val="en-GB"/>
        </w:rPr>
        <w:t>Further discuss whether there is value in supporting delta signalling for the feature set lists</w:t>
      </w:r>
      <w:r>
        <w:rPr>
          <w:lang w:val="en-GB"/>
        </w:rPr>
        <w:t>.</w:t>
      </w:r>
    </w:p>
    <w:p w14:paraId="016302AC" w14:textId="5BC10B52" w:rsidR="00A17DB7" w:rsidRPr="00B922AF" w:rsidRDefault="001A1FCC" w:rsidP="00A17DB7">
      <w:pPr>
        <w:pStyle w:val="Heading1"/>
        <w:overflowPunct w:val="0"/>
        <w:autoSpaceDE w:val="0"/>
        <w:autoSpaceDN w:val="0"/>
        <w:adjustRightInd w:val="0"/>
        <w:rPr>
          <w:rFonts w:eastAsia="PMingLiU" w:cs="Arial"/>
        </w:rPr>
      </w:pPr>
      <w:r w:rsidRPr="00B922AF">
        <w:rPr>
          <w:rFonts w:eastAsia="PMingLiU" w:cs="Arial"/>
        </w:rPr>
        <w:t>Conc</w:t>
      </w:r>
      <w:r w:rsidR="00A17DB7" w:rsidRPr="00B922AF">
        <w:rPr>
          <w:rFonts w:eastAsia="PMingLiU" w:cs="Arial"/>
        </w:rPr>
        <w:t>l</w:t>
      </w:r>
      <w:r w:rsidRPr="00B922AF">
        <w:rPr>
          <w:rFonts w:eastAsia="PMingLiU" w:cs="Arial"/>
        </w:rPr>
        <w:t>usion</w:t>
      </w:r>
      <w:bookmarkEnd w:id="5"/>
      <w:bookmarkEnd w:id="6"/>
      <w:bookmarkEnd w:id="7"/>
      <w:bookmarkEnd w:id="8"/>
    </w:p>
    <w:bookmarkEnd w:id="0"/>
    <w:bookmarkEnd w:id="1"/>
    <w:p w14:paraId="73B531CE" w14:textId="0944B03D" w:rsidR="00F243A7" w:rsidRDefault="00F243A7" w:rsidP="00F243A7">
      <w:pPr>
        <w:spacing w:after="240"/>
        <w:rPr>
          <w:lang w:val="en-GB"/>
        </w:rPr>
      </w:pPr>
      <w:r>
        <w:rPr>
          <w:lang w:val="en-GB"/>
        </w:rPr>
        <w:t>This document promulgated the following proposals:</w:t>
      </w:r>
    </w:p>
    <w:p w14:paraId="55EF1F77" w14:textId="77777777" w:rsidR="005C1371" w:rsidRDefault="005C1371" w:rsidP="005C1371">
      <w:pPr>
        <w:spacing w:after="240"/>
        <w:rPr>
          <w:lang w:val="en-GB"/>
        </w:rPr>
      </w:pPr>
      <w:r w:rsidRPr="00B922AF">
        <w:rPr>
          <w:b/>
          <w:lang w:val="en-GB"/>
        </w:rPr>
        <w:t>Proposal 1:</w:t>
      </w:r>
      <w:r w:rsidRPr="00B922AF">
        <w:rPr>
          <w:lang w:val="en-GB"/>
        </w:rPr>
        <w:t xml:space="preserve"> </w:t>
      </w:r>
      <w:r>
        <w:rPr>
          <w:lang w:val="en-GB"/>
        </w:rPr>
        <w:t>Flags indicating omission of support for individual RATs are a feasible form of delta signalling.</w:t>
      </w:r>
    </w:p>
    <w:p w14:paraId="5196F5AA" w14:textId="77777777" w:rsidR="005C1371" w:rsidRDefault="005C1371" w:rsidP="005C1371">
      <w:pPr>
        <w:spacing w:after="240"/>
        <w:rPr>
          <w:lang w:val="en-GB"/>
        </w:rPr>
      </w:pPr>
      <w:r>
        <w:rPr>
          <w:b/>
          <w:lang w:val="en-GB"/>
        </w:rPr>
        <w:t>Proposal 2:</w:t>
      </w:r>
      <w:r>
        <w:rPr>
          <w:lang w:val="en-GB"/>
        </w:rPr>
        <w:t xml:space="preserve"> A flag indicating omission of support for FR2 is a feasible form of delta signalling.  FR1 can be discussed.</w:t>
      </w:r>
    </w:p>
    <w:p w14:paraId="275B6801" w14:textId="77777777" w:rsidR="005C1371" w:rsidRDefault="005C1371" w:rsidP="005C1371">
      <w:pPr>
        <w:spacing w:after="240"/>
        <w:rPr>
          <w:lang w:val="en-GB"/>
        </w:rPr>
      </w:pPr>
      <w:r>
        <w:rPr>
          <w:b/>
          <w:lang w:val="en-GB"/>
        </w:rPr>
        <w:t>Proposal 3:</w:t>
      </w:r>
      <w:r>
        <w:rPr>
          <w:lang w:val="en-GB"/>
        </w:rPr>
        <w:t xml:space="preserve"> Capability fields that are not lists (types 1-3 in the list above) can be supported with delta signalling at the list level.</w:t>
      </w:r>
    </w:p>
    <w:p w14:paraId="78B1C1C1" w14:textId="77777777" w:rsidR="005C1371" w:rsidRDefault="005C1371" w:rsidP="005C1371">
      <w:pPr>
        <w:spacing w:after="240"/>
        <w:rPr>
          <w:lang w:val="en-GB"/>
        </w:rPr>
      </w:pPr>
      <w:r>
        <w:rPr>
          <w:b/>
          <w:lang w:val="en-GB"/>
        </w:rPr>
        <w:t>Proposal 4a:</w:t>
      </w:r>
      <w:r>
        <w:rPr>
          <w:lang w:val="en-GB"/>
        </w:rPr>
        <w:t xml:space="preserve"> Delta signalling of the band combination list (with the </w:t>
      </w:r>
      <w:proofErr w:type="spellStart"/>
      <w:r>
        <w:rPr>
          <w:lang w:val="en-GB"/>
        </w:rPr>
        <w:t>ToAddMod</w:t>
      </w:r>
      <w:proofErr w:type="spellEnd"/>
      <w:r>
        <w:rPr>
          <w:lang w:val="en-GB"/>
        </w:rPr>
        <w:t xml:space="preserve"> and </w:t>
      </w:r>
      <w:proofErr w:type="spellStart"/>
      <w:r>
        <w:rPr>
          <w:lang w:val="en-GB"/>
        </w:rPr>
        <w:t>ToRemove</w:t>
      </w:r>
      <w:proofErr w:type="spellEnd"/>
      <w:r>
        <w:rPr>
          <w:lang w:val="en-GB"/>
        </w:rPr>
        <w:t xml:space="preserve"> lists) is supported.</w:t>
      </w:r>
    </w:p>
    <w:p w14:paraId="56630FAF" w14:textId="77777777" w:rsidR="005C1371" w:rsidRPr="007618C8" w:rsidRDefault="005C1371" w:rsidP="005C1371">
      <w:pPr>
        <w:spacing w:after="240"/>
        <w:rPr>
          <w:lang w:val="en-GB"/>
        </w:rPr>
      </w:pPr>
      <w:r>
        <w:rPr>
          <w:b/>
          <w:lang w:val="en-GB"/>
        </w:rPr>
        <w:t>Proposal 4b:</w:t>
      </w:r>
      <w:r>
        <w:rPr>
          <w:lang w:val="en-GB"/>
        </w:rPr>
        <w:t xml:space="preserve"> Delta signalling of the feature set combination list (with the </w:t>
      </w:r>
      <w:proofErr w:type="spellStart"/>
      <w:r>
        <w:rPr>
          <w:lang w:val="en-GB"/>
        </w:rPr>
        <w:t>ToAdd</w:t>
      </w:r>
      <w:proofErr w:type="spellEnd"/>
      <w:r>
        <w:rPr>
          <w:lang w:val="en-GB"/>
        </w:rPr>
        <w:t xml:space="preserve"> list only) is supported.</w:t>
      </w:r>
    </w:p>
    <w:p w14:paraId="315D8F1B" w14:textId="77777777" w:rsidR="005C1371" w:rsidRPr="00A76D39" w:rsidRDefault="005C1371" w:rsidP="005C1371">
      <w:pPr>
        <w:spacing w:after="240"/>
        <w:rPr>
          <w:lang w:val="en-GB"/>
        </w:rPr>
      </w:pPr>
      <w:r>
        <w:rPr>
          <w:b/>
          <w:lang w:val="en-GB"/>
        </w:rPr>
        <w:t>Proposal 5:</w:t>
      </w:r>
      <w:r>
        <w:rPr>
          <w:lang w:val="en-GB"/>
        </w:rPr>
        <w:t xml:space="preserve"> To support delta signalling of feature set combinations, the UE signals all supported feature sets in the </w:t>
      </w:r>
      <w:proofErr w:type="spellStart"/>
      <w:proofErr w:type="gramStart"/>
      <w:r>
        <w:rPr>
          <w:i/>
          <w:lang w:val="en-GB"/>
        </w:rPr>
        <w:t>featureSets</w:t>
      </w:r>
      <w:proofErr w:type="spellEnd"/>
      <w:r>
        <w:rPr>
          <w:i/>
          <w:lang w:val="en-GB"/>
        </w:rPr>
        <w:t>[</w:t>
      </w:r>
      <w:proofErr w:type="gramEnd"/>
      <w:r>
        <w:rPr>
          <w:i/>
          <w:lang w:val="en-GB"/>
        </w:rPr>
        <w:t>EUTRA]</w:t>
      </w:r>
      <w:r>
        <w:rPr>
          <w:lang w:val="en-GB"/>
        </w:rPr>
        <w:t xml:space="preserve"> field.</w:t>
      </w:r>
    </w:p>
    <w:p w14:paraId="6D47D32D" w14:textId="77777777" w:rsidR="005C1371" w:rsidRPr="00B922AF" w:rsidRDefault="005C1371" w:rsidP="005C1371">
      <w:pPr>
        <w:spacing w:after="240"/>
        <w:rPr>
          <w:lang w:val="en-GB"/>
        </w:rPr>
      </w:pPr>
      <w:r>
        <w:rPr>
          <w:b/>
          <w:lang w:val="en-GB"/>
        </w:rPr>
        <w:t>Proposal 6:</w:t>
      </w:r>
      <w:r>
        <w:rPr>
          <w:lang w:val="en-GB"/>
        </w:rPr>
        <w:t xml:space="preserve"> Further discuss whether there is value in supporting delta signalling for the feature set lists.</w:t>
      </w:r>
    </w:p>
    <w:p w14:paraId="7F37F751" w14:textId="5735CD44" w:rsidR="00732182" w:rsidRPr="00B922AF" w:rsidRDefault="00732182" w:rsidP="00732182">
      <w:pPr>
        <w:pStyle w:val="Heading1"/>
        <w:overflowPunct w:val="0"/>
        <w:autoSpaceDE w:val="0"/>
        <w:autoSpaceDN w:val="0"/>
        <w:adjustRightInd w:val="0"/>
        <w:rPr>
          <w:rFonts w:eastAsia="PMingLiU" w:cs="Arial"/>
        </w:rPr>
      </w:pPr>
      <w:bookmarkStart w:id="9" w:name="_GoBack"/>
      <w:bookmarkEnd w:id="9"/>
      <w:r w:rsidRPr="00B922AF">
        <w:rPr>
          <w:rFonts w:eastAsia="PMingLiU" w:cs="Arial"/>
        </w:rPr>
        <w:lastRenderedPageBreak/>
        <w:t>References</w:t>
      </w:r>
    </w:p>
    <w:p w14:paraId="2D48A6DA" w14:textId="2CCB60D2" w:rsidR="00732182" w:rsidRPr="00B922AF" w:rsidRDefault="001C15D5" w:rsidP="003861A1">
      <w:pPr>
        <w:ind w:left="450" w:hanging="450"/>
        <w:rPr>
          <w:lang w:val="en-GB" w:eastAsia="en-US"/>
        </w:rPr>
      </w:pPr>
      <w:r w:rsidRPr="00B922AF">
        <w:rPr>
          <w:lang w:val="en-GB" w:eastAsia="en-US"/>
        </w:rPr>
        <w:t>[1]</w:t>
      </w:r>
      <w:r w:rsidRPr="00B922AF">
        <w:rPr>
          <w:lang w:val="en-GB" w:eastAsia="en-US"/>
        </w:rPr>
        <w:tab/>
        <w:t>R2-19</w:t>
      </w:r>
      <w:r w:rsidR="00B922AF" w:rsidRPr="00B922AF">
        <w:rPr>
          <w:lang w:val="en-GB" w:eastAsia="en-US"/>
        </w:rPr>
        <w:t>00824, “Delta signalling for UE capability indication”, MediaTek Inc., RAN2#105</w:t>
      </w:r>
    </w:p>
    <w:p w14:paraId="3984FFF1" w14:textId="58815F8E" w:rsidR="00B922AF" w:rsidRPr="00B922AF" w:rsidRDefault="00B922AF" w:rsidP="003861A1">
      <w:pPr>
        <w:ind w:left="450" w:hanging="450"/>
        <w:rPr>
          <w:lang w:val="en-GB" w:eastAsia="en-US"/>
        </w:rPr>
      </w:pPr>
      <w:r w:rsidRPr="00B922AF">
        <w:rPr>
          <w:lang w:val="en-GB" w:eastAsia="en-US"/>
        </w:rPr>
        <w:t>[2]</w:t>
      </w:r>
      <w:r w:rsidRPr="00B922AF">
        <w:rPr>
          <w:lang w:val="en-GB" w:eastAsia="en-US"/>
        </w:rPr>
        <w:tab/>
        <w:t>TR 23.743</w:t>
      </w:r>
    </w:p>
    <w:p w14:paraId="3E5B881C" w14:textId="54AD5434" w:rsidR="00B922AF" w:rsidRDefault="00B922AF" w:rsidP="003861A1">
      <w:pPr>
        <w:ind w:left="450" w:hanging="450"/>
        <w:rPr>
          <w:lang w:val="en-GB" w:eastAsia="en-US"/>
        </w:rPr>
      </w:pPr>
      <w:r w:rsidRPr="00B922AF">
        <w:rPr>
          <w:lang w:val="en-GB" w:eastAsia="en-US"/>
        </w:rPr>
        <w:t>[3]</w:t>
      </w:r>
      <w:r w:rsidRPr="00B922AF">
        <w:rPr>
          <w:lang w:val="en-GB" w:eastAsia="en-US"/>
        </w:rPr>
        <w:tab/>
        <w:t>RP-190657, “New WI Proposal on optimisations on UE radio capability signalling – NR/E-UTRA Aspects”, MediaTek Inc., RAN#83</w:t>
      </w:r>
    </w:p>
    <w:p w14:paraId="40AC2208" w14:textId="7393AE8F" w:rsidR="00B922AF" w:rsidRDefault="00B922AF" w:rsidP="003861A1">
      <w:pPr>
        <w:ind w:left="450" w:hanging="450"/>
        <w:rPr>
          <w:lang w:val="en-GB" w:eastAsia="en-US"/>
        </w:rPr>
      </w:pPr>
      <w:r>
        <w:rPr>
          <w:lang w:val="en-GB" w:eastAsia="en-US"/>
        </w:rPr>
        <w:t>[4]</w:t>
      </w:r>
      <w:r>
        <w:rPr>
          <w:lang w:val="en-GB" w:eastAsia="en-US"/>
        </w:rPr>
        <w:tab/>
        <w:t>R2-1900822, “</w:t>
      </w:r>
      <w:r w:rsidRPr="00B922AF">
        <w:rPr>
          <w:lang w:val="en-GB" w:eastAsia="en-US"/>
        </w:rPr>
        <w:t>Open issues on RACS study item after email discussion [104#34]</w:t>
      </w:r>
      <w:r>
        <w:rPr>
          <w:lang w:val="en-GB" w:eastAsia="en-US"/>
        </w:rPr>
        <w:t>”, MediaTek Inc., RAN2#105</w:t>
      </w:r>
    </w:p>
    <w:p w14:paraId="75CFB0D4" w14:textId="2B63EAC7" w:rsidR="00080C32" w:rsidRPr="00B922AF" w:rsidRDefault="00080C32" w:rsidP="003861A1">
      <w:pPr>
        <w:ind w:left="450" w:hanging="450"/>
        <w:rPr>
          <w:lang w:val="en-GB" w:eastAsia="en-US"/>
        </w:rPr>
      </w:pPr>
      <w:r>
        <w:rPr>
          <w:lang w:val="en-GB" w:eastAsia="en-US"/>
        </w:rPr>
        <w:t>[5]</w:t>
      </w:r>
      <w:r>
        <w:rPr>
          <w:lang w:val="en-GB" w:eastAsia="en-US"/>
        </w:rPr>
        <w:tab/>
        <w:t>R2-1904261, “On delta signalling aspects with UE Capability ID”, Nokia/Nokia Shanghai Bell, RAN2#105bis</w:t>
      </w:r>
    </w:p>
    <w:p w14:paraId="0EFFC6D5" w14:textId="77777777" w:rsidR="00211DDB" w:rsidRPr="00B922AF" w:rsidRDefault="00211DDB" w:rsidP="00BB7841">
      <w:pPr>
        <w:spacing w:after="240"/>
        <w:rPr>
          <w:lang w:val="en-GB"/>
        </w:rPr>
      </w:pPr>
    </w:p>
    <w:sectPr w:rsidR="00211DDB" w:rsidRPr="00B922AF"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CBB4F" w14:textId="77777777" w:rsidR="00367F1D" w:rsidRDefault="00367F1D">
      <w:pPr>
        <w:pStyle w:val="TAL"/>
      </w:pPr>
      <w:r>
        <w:separator/>
      </w:r>
    </w:p>
  </w:endnote>
  <w:endnote w:type="continuationSeparator" w:id="0">
    <w:p w14:paraId="36BF46D5" w14:textId="77777777" w:rsidR="00367F1D" w:rsidRDefault="00367F1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5C1371">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17048" w14:textId="77777777" w:rsidR="00367F1D" w:rsidRDefault="00367F1D">
      <w:pPr>
        <w:pStyle w:val="TAL"/>
      </w:pPr>
      <w:r>
        <w:separator/>
      </w:r>
    </w:p>
  </w:footnote>
  <w:footnote w:type="continuationSeparator" w:id="0">
    <w:p w14:paraId="63BC441D" w14:textId="77777777" w:rsidR="00367F1D" w:rsidRDefault="00367F1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BE67980"/>
    <w:multiLevelType w:val="hybridMultilevel"/>
    <w:tmpl w:val="B7002D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4E9D2CA0"/>
    <w:multiLevelType w:val="hybridMultilevel"/>
    <w:tmpl w:val="F0EC1A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C3475F"/>
    <w:multiLevelType w:val="hybridMultilevel"/>
    <w:tmpl w:val="E4E82A72"/>
    <w:lvl w:ilvl="0" w:tplc="73FE3E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4"/>
  </w:num>
  <w:num w:numId="4">
    <w:abstractNumId w:val="9"/>
  </w:num>
  <w:num w:numId="5">
    <w:abstractNumId w:val="6"/>
  </w:num>
  <w:num w:numId="6">
    <w:abstractNumId w:val="4"/>
  </w:num>
  <w:num w:numId="7">
    <w:abstractNumId w:val="19"/>
  </w:num>
  <w:num w:numId="8">
    <w:abstractNumId w:val="18"/>
  </w:num>
  <w:num w:numId="9">
    <w:abstractNumId w:val="0"/>
  </w:num>
  <w:num w:numId="10">
    <w:abstractNumId w:val="3"/>
  </w:num>
  <w:num w:numId="11">
    <w:abstractNumId w:val="12"/>
  </w:num>
  <w:num w:numId="12">
    <w:abstractNumId w:val="17"/>
  </w:num>
  <w:num w:numId="13">
    <w:abstractNumId w:val="16"/>
  </w:num>
  <w:num w:numId="14">
    <w:abstractNumId w:val="2"/>
  </w:num>
  <w:num w:numId="15">
    <w:abstractNumId w:val="11"/>
  </w:num>
  <w:num w:numId="16">
    <w:abstractNumId w:val="7"/>
  </w:num>
  <w:num w:numId="17">
    <w:abstractNumId w:val="15"/>
  </w:num>
  <w:num w:numId="18">
    <w:abstractNumId w:val="1"/>
  </w:num>
  <w:num w:numId="19">
    <w:abstractNumId w:val="13"/>
  </w:num>
  <w:num w:numId="20">
    <w:abstractNumId w:val="10"/>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4FC"/>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0C32"/>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7F"/>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67F1D"/>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1A1"/>
    <w:rsid w:val="003862C9"/>
    <w:rsid w:val="0038721D"/>
    <w:rsid w:val="003874C3"/>
    <w:rsid w:val="003904DC"/>
    <w:rsid w:val="00390598"/>
    <w:rsid w:val="003907EA"/>
    <w:rsid w:val="00390B63"/>
    <w:rsid w:val="00390BD2"/>
    <w:rsid w:val="003912FD"/>
    <w:rsid w:val="003914B2"/>
    <w:rsid w:val="00391B9E"/>
    <w:rsid w:val="00391E80"/>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89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2F6"/>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002"/>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0F08"/>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83"/>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371"/>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1AC2"/>
    <w:rsid w:val="00633653"/>
    <w:rsid w:val="00633745"/>
    <w:rsid w:val="00634DF3"/>
    <w:rsid w:val="0063541D"/>
    <w:rsid w:val="006357FC"/>
    <w:rsid w:val="00635F88"/>
    <w:rsid w:val="00636056"/>
    <w:rsid w:val="006365AE"/>
    <w:rsid w:val="006368E2"/>
    <w:rsid w:val="00636CB6"/>
    <w:rsid w:val="00637454"/>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7"/>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8C8"/>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77765"/>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C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1A3"/>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584"/>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3B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0E11"/>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5C"/>
    <w:rsid w:val="009E25C3"/>
    <w:rsid w:val="009E288D"/>
    <w:rsid w:val="009E28E2"/>
    <w:rsid w:val="009E2A56"/>
    <w:rsid w:val="009E2F65"/>
    <w:rsid w:val="009E3FB6"/>
    <w:rsid w:val="009E4374"/>
    <w:rsid w:val="009E4A3F"/>
    <w:rsid w:val="009E4F4F"/>
    <w:rsid w:val="009E50D6"/>
    <w:rsid w:val="009E5972"/>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B11"/>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21A"/>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39"/>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485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2AF"/>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9B5"/>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01D"/>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A7F"/>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44F"/>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2F0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D65"/>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E787C"/>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06C"/>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6AF"/>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0F"/>
    <w:rsid w:val="00EB41BC"/>
    <w:rsid w:val="00EB4B20"/>
    <w:rsid w:val="00EB5B0D"/>
    <w:rsid w:val="00EB5B44"/>
    <w:rsid w:val="00EB5C3A"/>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A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3D4"/>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03208-E0F2-420C-81B4-D382FFDA1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2019-08-15T17:23:00Z</dcterms:created>
  <dcterms:modified xsi:type="dcterms:W3CDTF">2019-08-15T17:23:00Z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