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6EFAC" w14:textId="77777777" w:rsidR="005A24DE" w:rsidRDefault="005A24DE" w:rsidP="005A24DE">
      <w:pPr>
        <w:pStyle w:val="CRCoverPage"/>
        <w:tabs>
          <w:tab w:val="right" w:pos="8640"/>
        </w:tabs>
        <w:spacing w:after="0"/>
        <w:ind w:right="1260"/>
        <w:rPr>
          <w:b/>
          <w:noProof/>
          <w:sz w:val="24"/>
        </w:rPr>
      </w:pPr>
    </w:p>
    <w:p w14:paraId="3B056FCD" w14:textId="634BFC13" w:rsidR="005A24DE" w:rsidRDefault="005A24DE" w:rsidP="005A24DE">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4469BA">
        <w:rPr>
          <w:rFonts w:ascii="Arial" w:eastAsia="Times New Roman" w:hAnsi="Arial"/>
          <w:b/>
          <w:sz w:val="24"/>
          <w:szCs w:val="24"/>
        </w:rPr>
        <w:t>7</w:t>
      </w:r>
      <w:r w:rsidR="00D94E3C">
        <w:rPr>
          <w:rFonts w:ascii="Arial" w:eastAsia="Times New Roman" w:hAnsi="Arial"/>
          <w:b/>
          <w:bCs/>
          <w:sz w:val="24"/>
          <w:szCs w:val="24"/>
        </w:rPr>
        <w:t xml:space="preserve">                                                           </w:t>
      </w:r>
      <w:r w:rsidR="00D574A2" w:rsidRPr="00D574A2">
        <w:rPr>
          <w:rFonts w:ascii="Arial" w:hAnsi="Arial" w:cs="Arial"/>
          <w:b/>
          <w:bCs/>
          <w:color w:val="000000"/>
          <w:sz w:val="26"/>
          <w:szCs w:val="26"/>
        </w:rPr>
        <w:t>R2-1908911</w:t>
      </w:r>
    </w:p>
    <w:p w14:paraId="5A9EEEE7" w14:textId="3856D342" w:rsidR="005A24DE" w:rsidRDefault="004469BA" w:rsidP="005A24DE">
      <w:pPr>
        <w:widowControl w:val="0"/>
        <w:tabs>
          <w:tab w:val="right" w:pos="9639"/>
        </w:tabs>
        <w:spacing w:after="0"/>
        <w:rPr>
          <w:rFonts w:ascii="Arial" w:hAnsi="Arial"/>
          <w:b/>
          <w:sz w:val="24"/>
          <w:szCs w:val="24"/>
          <w:lang w:eastAsia="zh-CN"/>
        </w:rPr>
      </w:pPr>
      <w:r>
        <w:rPr>
          <w:rFonts w:ascii="Arial" w:hAnsi="Arial"/>
          <w:b/>
          <w:sz w:val="24"/>
          <w:szCs w:val="24"/>
          <w:lang w:eastAsia="zh-CN"/>
        </w:rPr>
        <w:t>Prague, CZ</w:t>
      </w:r>
      <w:r w:rsidR="00D94E3C">
        <w:rPr>
          <w:rFonts w:ascii="Arial" w:hAnsi="Arial"/>
          <w:b/>
          <w:sz w:val="24"/>
          <w:szCs w:val="24"/>
          <w:lang w:eastAsia="zh-CN"/>
        </w:rPr>
        <w:t>,</w:t>
      </w:r>
      <w:r>
        <w:rPr>
          <w:rFonts w:ascii="Arial" w:hAnsi="Arial"/>
          <w:b/>
          <w:sz w:val="24"/>
          <w:szCs w:val="24"/>
          <w:lang w:eastAsia="zh-CN"/>
        </w:rPr>
        <w:t xml:space="preserve"> Aug 26</w:t>
      </w:r>
      <w:r w:rsidRPr="004469BA">
        <w:rPr>
          <w:rFonts w:ascii="Arial" w:hAnsi="Arial"/>
          <w:b/>
          <w:sz w:val="24"/>
          <w:szCs w:val="24"/>
          <w:vertAlign w:val="superscript"/>
          <w:lang w:eastAsia="zh-CN"/>
        </w:rPr>
        <w:t>th</w:t>
      </w:r>
      <w:r>
        <w:rPr>
          <w:rFonts w:ascii="Arial" w:hAnsi="Arial"/>
          <w:b/>
          <w:sz w:val="24"/>
          <w:szCs w:val="24"/>
          <w:lang w:eastAsia="zh-CN"/>
        </w:rPr>
        <w:t xml:space="preserve"> – Aug 30</w:t>
      </w:r>
      <w:r w:rsidRPr="004469BA">
        <w:rPr>
          <w:rFonts w:ascii="Arial" w:hAnsi="Arial"/>
          <w:b/>
          <w:sz w:val="24"/>
          <w:szCs w:val="24"/>
          <w:vertAlign w:val="superscript"/>
          <w:lang w:eastAsia="zh-CN"/>
        </w:rPr>
        <w:t>th</w:t>
      </w:r>
      <w:proofErr w:type="gramStart"/>
      <w:r w:rsidR="00D94E3C" w:rsidRPr="00383F56">
        <w:rPr>
          <w:rFonts w:ascii="Arial" w:hAnsi="Arial"/>
          <w:b/>
          <w:sz w:val="24"/>
          <w:szCs w:val="24"/>
          <w:lang w:eastAsia="zh-CN"/>
        </w:rPr>
        <w:t xml:space="preserve"> 201</w:t>
      </w:r>
      <w:r w:rsidR="00D94E3C">
        <w:rPr>
          <w:rFonts w:ascii="Arial" w:hAnsi="Arial"/>
          <w:b/>
          <w:sz w:val="24"/>
          <w:szCs w:val="24"/>
          <w:lang w:eastAsia="zh-CN"/>
        </w:rPr>
        <w:t>9</w:t>
      </w:r>
      <w:proofErr w:type="gramEnd"/>
      <w:r w:rsidR="00D94E3C">
        <w:rPr>
          <w:rFonts w:ascii="Arial" w:hAnsi="Arial"/>
          <w:b/>
          <w:sz w:val="24"/>
          <w:szCs w:val="24"/>
          <w:lang w:eastAsia="zh-CN"/>
        </w:rPr>
        <w:t xml:space="preserve">                          </w:t>
      </w:r>
      <w:r>
        <w:rPr>
          <w:rFonts w:ascii="Arial" w:hAnsi="Arial"/>
          <w:b/>
          <w:sz w:val="24"/>
          <w:szCs w:val="24"/>
          <w:lang w:eastAsia="zh-CN"/>
        </w:rPr>
        <w:t xml:space="preserve"> </w:t>
      </w:r>
      <w:r w:rsidR="00313CC3">
        <w:rPr>
          <w:rFonts w:ascii="Arial" w:hAnsi="Arial"/>
          <w:b/>
          <w:sz w:val="24"/>
          <w:szCs w:val="24"/>
          <w:lang w:eastAsia="zh-CN"/>
        </w:rPr>
        <w:t>Re</w:t>
      </w:r>
      <w:r w:rsidR="009D3DBF">
        <w:rPr>
          <w:rFonts w:ascii="Arial" w:hAnsi="Arial"/>
          <w:b/>
          <w:sz w:val="24"/>
          <w:szCs w:val="24"/>
          <w:lang w:eastAsia="zh-CN"/>
        </w:rPr>
        <w:t>submissio</w:t>
      </w:r>
      <w:r w:rsidR="00313CC3">
        <w:rPr>
          <w:rFonts w:ascii="Arial" w:hAnsi="Arial"/>
          <w:b/>
          <w:sz w:val="24"/>
          <w:szCs w:val="24"/>
          <w:lang w:eastAsia="zh-CN"/>
        </w:rPr>
        <w:t xml:space="preserve">n of </w:t>
      </w:r>
      <w:r w:rsidRPr="00EA199E">
        <w:rPr>
          <w:rFonts w:ascii="Arial" w:hAnsi="Arial" w:cs="Arial"/>
          <w:b/>
          <w:bCs/>
          <w:color w:val="000000"/>
          <w:sz w:val="26"/>
          <w:szCs w:val="26"/>
        </w:rPr>
        <w:t>R2-1905783</w:t>
      </w:r>
      <w:r w:rsidR="005A24DE">
        <w:rPr>
          <w:rFonts w:ascii="Arial" w:hAnsi="Arial"/>
          <w:b/>
          <w:sz w:val="24"/>
          <w:szCs w:val="24"/>
          <w:lang w:eastAsia="zh-CN"/>
        </w:rPr>
        <w:tab/>
      </w:r>
    </w:p>
    <w:p w14:paraId="1E3FEF2F" w14:textId="77777777" w:rsidR="005A24DE" w:rsidRPr="006D3016" w:rsidRDefault="005A24DE" w:rsidP="005A24DE">
      <w:pPr>
        <w:widowControl w:val="0"/>
        <w:spacing w:after="0"/>
        <w:rPr>
          <w:rFonts w:ascii="Arial" w:eastAsia="Times New Roman" w:hAnsi="Arial"/>
          <w:b/>
          <w:bCs/>
          <w:sz w:val="24"/>
        </w:rPr>
      </w:pPr>
    </w:p>
    <w:p w14:paraId="15C79AB2" w14:textId="3EB0B95E" w:rsidR="005A24DE" w:rsidRPr="006D3016" w:rsidRDefault="005A24DE" w:rsidP="005A24D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574A2">
        <w:rPr>
          <w:rFonts w:ascii="Arial" w:eastAsia="MS Mincho" w:hAnsi="Arial" w:cs="Arial"/>
          <w:b/>
          <w:bCs/>
          <w:sz w:val="24"/>
        </w:rPr>
        <w:t>11.9.2.2</w:t>
      </w:r>
      <w:r>
        <w:rPr>
          <w:rFonts w:ascii="Arial" w:eastAsia="MS Mincho" w:hAnsi="Arial" w:cs="Arial"/>
          <w:b/>
          <w:bCs/>
          <w:sz w:val="24"/>
        </w:rPr>
        <w:t xml:space="preserve"> </w:t>
      </w:r>
    </w:p>
    <w:p w14:paraId="2586501E" w14:textId="77777777" w:rsidR="005A24DE" w:rsidRDefault="005A24DE" w:rsidP="005A24D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CBC643E" w14:textId="5A7BC8F8" w:rsidR="005A24DE" w:rsidRPr="006D3016"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Control Plane handling and procedures to support Dual Connectivity Role Switch (DCRS) based HO</w:t>
      </w:r>
    </w:p>
    <w:p w14:paraId="525E7417" w14:textId="77777777" w:rsidR="005A24DE"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C9880D5" w14:textId="67929198" w:rsidR="005A24DE" w:rsidRPr="006D3016"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1932320" w14:textId="7BD868C8" w:rsidR="005A24DE" w:rsidRDefault="00AA547F" w:rsidP="005A24DE">
      <w:pPr>
        <w:pStyle w:val="Heading1"/>
        <w:numPr>
          <w:ilvl w:val="0"/>
          <w:numId w:val="1"/>
        </w:numPr>
        <w:pBdr>
          <w:top w:val="single" w:sz="12" w:space="2" w:color="auto"/>
        </w:pBdr>
      </w:pPr>
      <w:r>
        <w:t>Introduction</w:t>
      </w:r>
      <w:r w:rsidR="005A24DE">
        <w:t xml:space="preserve"> </w:t>
      </w:r>
    </w:p>
    <w:p w14:paraId="14B761DD" w14:textId="337D8460" w:rsidR="005A24DE" w:rsidRDefault="00D305DA" w:rsidP="005A24DE">
      <w:r w:rsidRPr="00D305DA">
        <w:t xml:space="preserve">In this contribution, we discuss the </w:t>
      </w:r>
      <w:r w:rsidR="00E03CE5">
        <w:t>dual connectivity (DC)</w:t>
      </w:r>
      <w:r w:rsidRPr="00D305DA">
        <w:t xml:space="preserve"> signaling procedure enhancements required to support </w:t>
      </w:r>
      <w:r w:rsidR="00E03CE5">
        <w:t>Dual Connectivity Role Switch (DCRS) based HO</w:t>
      </w:r>
      <w:r w:rsidR="005A24DE" w:rsidRPr="005809C8">
        <w:t>.</w:t>
      </w:r>
    </w:p>
    <w:p w14:paraId="37B8A78D" w14:textId="206B80AD" w:rsidR="00692D10" w:rsidRPr="00692D10" w:rsidRDefault="005A24DE" w:rsidP="00692D10">
      <w:pPr>
        <w:pStyle w:val="Heading1"/>
        <w:numPr>
          <w:ilvl w:val="0"/>
          <w:numId w:val="1"/>
        </w:numPr>
        <w:pBdr>
          <w:top w:val="single" w:sz="12" w:space="2" w:color="auto"/>
        </w:pBdr>
      </w:pPr>
      <w:r>
        <w:t>Discussion</w:t>
      </w:r>
    </w:p>
    <w:p w14:paraId="4463185C" w14:textId="3A58B651" w:rsidR="00692D10" w:rsidRPr="00F50F3D" w:rsidRDefault="00692D10" w:rsidP="00692D10">
      <w:pPr>
        <w:pStyle w:val="Heading2"/>
      </w:pPr>
      <w:r>
        <w:t>2.1 DCRS based HO applicable scenarios</w:t>
      </w:r>
    </w:p>
    <w:p w14:paraId="0F947515" w14:textId="4336DCAB" w:rsidR="00E03CE5" w:rsidRPr="00E03CE5" w:rsidRDefault="00E03CE5" w:rsidP="00E03CE5">
      <w:r>
        <w:t>New WI “NR mobility enhancements” [1] specifies in the objectives to study solutions for “H</w:t>
      </w:r>
      <w:r w:rsidRPr="009A5940">
        <w:t>andover</w:t>
      </w:r>
      <w:r>
        <w:t xml:space="preserve">/SCG change with simultaneous </w:t>
      </w:r>
      <w:r w:rsidRPr="009A5940">
        <w:t>connectivity</w:t>
      </w:r>
      <w:r w:rsidRPr="00CC73B5">
        <w:t xml:space="preserve"> </w:t>
      </w:r>
      <w:r>
        <w:t>with source cell and target cell</w:t>
      </w:r>
      <w:r w:rsidRPr="009A5940">
        <w:t>.</w:t>
      </w:r>
      <w:r>
        <w:t>” Multiple companies have proposed during the email discussions for</w:t>
      </w:r>
      <w:r w:rsidR="00F50865">
        <w:t xml:space="preserve"> </w:t>
      </w:r>
      <w:r>
        <w:t>[1] to consider using dual connectivity feature, which already supports simultaneous connectivity with MCG and SCG, for supporting 0ms HO. We agree that using the dual connectivity feature</w:t>
      </w:r>
      <w:r w:rsidR="00F50865">
        <w:t xml:space="preserve"> to connect to the target cell while keeping the source cell connection as the MCG, </w:t>
      </w:r>
      <w:r>
        <w:t xml:space="preserve">and performing role switch of SCG to MCG is a possible solution for supporting minimal interruption during HO. </w:t>
      </w:r>
      <w:r w:rsidR="00F50865">
        <w:t xml:space="preserve">However, we would like to point out that in NR Rel.15 DC is supported only for dual connectivity with cells corresponding to different frequencies. </w:t>
      </w:r>
    </w:p>
    <w:p w14:paraId="278ABEB2" w14:textId="427A45FC" w:rsidR="00CC086C" w:rsidRDefault="009D05E0" w:rsidP="009D05E0">
      <w:pPr>
        <w:pStyle w:val="Caption"/>
        <w:rPr>
          <w:b/>
          <w:i w:val="0"/>
          <w:color w:val="auto"/>
          <w:sz w:val="20"/>
          <w:szCs w:val="20"/>
        </w:rPr>
      </w:pPr>
      <w:bookmarkStart w:id="1" w:name="_Ref536803009"/>
      <w:r w:rsidRPr="009D05E0">
        <w:rPr>
          <w:b/>
          <w:i w:val="0"/>
          <w:color w:val="auto"/>
          <w:sz w:val="20"/>
          <w:szCs w:val="20"/>
        </w:rPr>
        <w:t xml:space="preserve">Observation </w:t>
      </w:r>
      <w:r w:rsidRPr="009D05E0">
        <w:rPr>
          <w:b/>
          <w:i w:val="0"/>
          <w:color w:val="auto"/>
          <w:sz w:val="20"/>
          <w:szCs w:val="20"/>
        </w:rPr>
        <w:fldChar w:fldCharType="begin"/>
      </w:r>
      <w:r w:rsidRPr="009D05E0">
        <w:rPr>
          <w:b/>
          <w:i w:val="0"/>
          <w:color w:val="auto"/>
          <w:sz w:val="20"/>
          <w:szCs w:val="20"/>
        </w:rPr>
        <w:instrText xml:space="preserve"> SEQ Observation \* ARABIC </w:instrText>
      </w:r>
      <w:r w:rsidRPr="009D05E0">
        <w:rPr>
          <w:b/>
          <w:i w:val="0"/>
          <w:color w:val="auto"/>
          <w:sz w:val="20"/>
          <w:szCs w:val="20"/>
        </w:rPr>
        <w:fldChar w:fldCharType="separate"/>
      </w:r>
      <w:r w:rsidR="007A5E52">
        <w:rPr>
          <w:b/>
          <w:i w:val="0"/>
          <w:noProof/>
          <w:color w:val="auto"/>
          <w:sz w:val="20"/>
          <w:szCs w:val="20"/>
        </w:rPr>
        <w:t>1</w:t>
      </w:r>
      <w:r w:rsidRPr="009D05E0">
        <w:rPr>
          <w:b/>
          <w:i w:val="0"/>
          <w:color w:val="auto"/>
          <w:sz w:val="20"/>
          <w:szCs w:val="20"/>
        </w:rPr>
        <w:fldChar w:fldCharType="end"/>
      </w:r>
      <w:r w:rsidRPr="009D05E0">
        <w:rPr>
          <w:b/>
          <w:i w:val="0"/>
          <w:color w:val="auto"/>
          <w:sz w:val="20"/>
          <w:szCs w:val="20"/>
        </w:rPr>
        <w:t>.</w:t>
      </w:r>
      <w:r>
        <w:rPr>
          <w:b/>
          <w:i w:val="0"/>
          <w:color w:val="auto"/>
          <w:sz w:val="20"/>
          <w:szCs w:val="20"/>
        </w:rPr>
        <w:t xml:space="preserve"> O</w:t>
      </w:r>
      <w:r w:rsidR="00CC086C" w:rsidRPr="009D05E0">
        <w:rPr>
          <w:b/>
          <w:i w:val="0"/>
          <w:color w:val="auto"/>
          <w:sz w:val="20"/>
          <w:szCs w:val="20"/>
        </w:rPr>
        <w:t xml:space="preserve">ne possible solution </w:t>
      </w:r>
      <w:r w:rsidR="000D3B3D">
        <w:rPr>
          <w:b/>
          <w:i w:val="0"/>
          <w:color w:val="auto"/>
          <w:sz w:val="20"/>
          <w:szCs w:val="20"/>
        </w:rPr>
        <w:t>to support</w:t>
      </w:r>
      <w:r w:rsidR="00CC086C" w:rsidRPr="009D05E0">
        <w:rPr>
          <w:b/>
          <w:i w:val="0"/>
          <w:color w:val="auto"/>
          <w:sz w:val="20"/>
          <w:szCs w:val="20"/>
        </w:rPr>
        <w:t xml:space="preserve"> simultaneous </w:t>
      </w:r>
      <w:r w:rsidRPr="009D05E0">
        <w:rPr>
          <w:b/>
          <w:i w:val="0"/>
          <w:color w:val="auto"/>
          <w:sz w:val="20"/>
          <w:szCs w:val="20"/>
        </w:rPr>
        <w:t xml:space="preserve">connectivity during handover </w:t>
      </w:r>
      <w:r w:rsidR="000D3B3D">
        <w:rPr>
          <w:b/>
          <w:i w:val="0"/>
          <w:color w:val="auto"/>
          <w:sz w:val="20"/>
          <w:szCs w:val="20"/>
        </w:rPr>
        <w:t>is to use</w:t>
      </w:r>
      <w:r w:rsidR="00CC086C" w:rsidRPr="009D05E0">
        <w:rPr>
          <w:b/>
          <w:i w:val="0"/>
          <w:color w:val="auto"/>
          <w:sz w:val="20"/>
          <w:szCs w:val="20"/>
        </w:rPr>
        <w:t xml:space="preserve"> the Dual Connectivity feature with Role Switch (i.e. MN change via role switch of SCG to MCG) during handover (DCRS based HO)</w:t>
      </w:r>
      <w:r w:rsidR="007D7A1A">
        <w:rPr>
          <w:b/>
          <w:i w:val="0"/>
          <w:color w:val="auto"/>
          <w:sz w:val="20"/>
          <w:szCs w:val="20"/>
        </w:rPr>
        <w:t>.</w:t>
      </w:r>
      <w:bookmarkEnd w:id="1"/>
    </w:p>
    <w:p w14:paraId="07FE38A6" w14:textId="0EBE7519" w:rsidR="000D3B3D" w:rsidRDefault="00A07079" w:rsidP="000D3B3D">
      <w:pPr>
        <w:pStyle w:val="Caption"/>
        <w:rPr>
          <w:b/>
          <w:i w:val="0"/>
          <w:color w:val="auto"/>
          <w:sz w:val="20"/>
          <w:szCs w:val="20"/>
        </w:rPr>
      </w:pPr>
      <w:bookmarkStart w:id="2" w:name="_Ref536803010"/>
      <w:r w:rsidRPr="000D3B3D">
        <w:rPr>
          <w:b/>
          <w:i w:val="0"/>
          <w:color w:val="auto"/>
          <w:sz w:val="20"/>
          <w:szCs w:val="20"/>
        </w:rPr>
        <w:t xml:space="preserve">Observation </w:t>
      </w:r>
      <w:r w:rsidRPr="000D3B3D">
        <w:rPr>
          <w:b/>
          <w:i w:val="0"/>
          <w:color w:val="auto"/>
          <w:sz w:val="20"/>
          <w:szCs w:val="20"/>
        </w:rPr>
        <w:fldChar w:fldCharType="begin"/>
      </w:r>
      <w:r w:rsidRPr="000D3B3D">
        <w:rPr>
          <w:b/>
          <w:i w:val="0"/>
          <w:color w:val="auto"/>
          <w:sz w:val="20"/>
          <w:szCs w:val="20"/>
        </w:rPr>
        <w:instrText xml:space="preserve"> SEQ Observation \* ARABIC </w:instrText>
      </w:r>
      <w:r w:rsidRPr="000D3B3D">
        <w:rPr>
          <w:b/>
          <w:i w:val="0"/>
          <w:color w:val="auto"/>
          <w:sz w:val="20"/>
          <w:szCs w:val="20"/>
        </w:rPr>
        <w:fldChar w:fldCharType="separate"/>
      </w:r>
      <w:r w:rsidR="007A5E52">
        <w:rPr>
          <w:b/>
          <w:i w:val="0"/>
          <w:noProof/>
          <w:color w:val="auto"/>
          <w:sz w:val="20"/>
          <w:szCs w:val="20"/>
        </w:rPr>
        <w:t>2</w:t>
      </w:r>
      <w:r w:rsidRPr="000D3B3D">
        <w:rPr>
          <w:b/>
          <w:i w:val="0"/>
          <w:color w:val="auto"/>
          <w:sz w:val="20"/>
          <w:szCs w:val="20"/>
        </w:rPr>
        <w:fldChar w:fldCharType="end"/>
      </w:r>
      <w:r w:rsidRPr="000D3B3D">
        <w:rPr>
          <w:b/>
          <w:i w:val="0"/>
          <w:color w:val="auto"/>
          <w:sz w:val="20"/>
          <w:szCs w:val="20"/>
        </w:rPr>
        <w:t>.</w:t>
      </w:r>
      <w:r w:rsidR="000D3B3D" w:rsidRPr="000D3B3D">
        <w:rPr>
          <w:b/>
          <w:i w:val="0"/>
          <w:color w:val="auto"/>
          <w:sz w:val="20"/>
          <w:szCs w:val="20"/>
        </w:rPr>
        <w:t xml:space="preserve"> In</w:t>
      </w:r>
      <w:r w:rsidR="000D3B3D">
        <w:rPr>
          <w:b/>
          <w:i w:val="0"/>
          <w:color w:val="auto"/>
          <w:sz w:val="20"/>
          <w:szCs w:val="20"/>
        </w:rPr>
        <w:t xml:space="preserve"> NR</w:t>
      </w:r>
      <w:r w:rsidR="000D3B3D" w:rsidRPr="000D3B3D">
        <w:rPr>
          <w:b/>
          <w:i w:val="0"/>
          <w:color w:val="auto"/>
          <w:sz w:val="20"/>
          <w:szCs w:val="20"/>
        </w:rPr>
        <w:t xml:space="preserve"> Rel.15</w:t>
      </w:r>
      <w:r w:rsidR="000D3B3D">
        <w:rPr>
          <w:b/>
          <w:i w:val="0"/>
          <w:color w:val="auto"/>
          <w:sz w:val="20"/>
          <w:szCs w:val="20"/>
        </w:rPr>
        <w:t xml:space="preserve">, </w:t>
      </w:r>
      <w:r w:rsidR="000D3B3D" w:rsidRPr="000D3B3D">
        <w:rPr>
          <w:b/>
          <w:i w:val="0"/>
          <w:color w:val="auto"/>
          <w:sz w:val="20"/>
          <w:szCs w:val="20"/>
        </w:rPr>
        <w:t>NR-DC is supported only</w:t>
      </w:r>
      <w:r w:rsidR="000D3B3D">
        <w:rPr>
          <w:b/>
          <w:i w:val="0"/>
          <w:color w:val="auto"/>
          <w:sz w:val="20"/>
          <w:szCs w:val="20"/>
        </w:rPr>
        <w:t xml:space="preserve"> for </w:t>
      </w:r>
      <w:r w:rsidR="000D3B3D" w:rsidRPr="000D3B3D">
        <w:rPr>
          <w:b/>
          <w:i w:val="0"/>
          <w:color w:val="auto"/>
          <w:sz w:val="20"/>
          <w:szCs w:val="20"/>
        </w:rPr>
        <w:t>Inter-Freq DC.</w:t>
      </w:r>
      <w:bookmarkEnd w:id="2"/>
      <w:r w:rsidR="000D3B3D" w:rsidRPr="000D3B3D">
        <w:rPr>
          <w:b/>
          <w:i w:val="0"/>
          <w:color w:val="auto"/>
          <w:sz w:val="20"/>
          <w:szCs w:val="20"/>
        </w:rPr>
        <w:t xml:space="preserve"> </w:t>
      </w:r>
    </w:p>
    <w:p w14:paraId="3B9F0624" w14:textId="20DC6D44" w:rsidR="00E03CE5" w:rsidRPr="00E03CE5" w:rsidRDefault="00F50865" w:rsidP="00BA4371">
      <w:r>
        <w:t xml:space="preserve">New WI “NR mobility enhancements” [1] also specifies in the objectives to study solutions that can support both intra-Freq and Inter-Freq HO. If we </w:t>
      </w:r>
      <w:proofErr w:type="gramStart"/>
      <w:r>
        <w:t>have to</w:t>
      </w:r>
      <w:proofErr w:type="gramEnd"/>
      <w:r>
        <w:t xml:space="preserve"> support Intra-Freq HO using the DCRS based HO solution, then it should be discussed whether NR-DC should be extended to support Intra-Freq DC sync and async cases as well. </w:t>
      </w:r>
      <w:r w:rsidR="00BA4371">
        <w:t xml:space="preserve">We think that as Make-Before-Break (MBB) HO solution is also being studied for 0ms HO support for different types of HO scenarios, enhancing DC to support Intra-Freq </w:t>
      </w:r>
      <w:r w:rsidR="00DF4AAD">
        <w:t xml:space="preserve">HO </w:t>
      </w:r>
      <w:r w:rsidR="00BA4371">
        <w:t>i</w:t>
      </w:r>
      <w:r w:rsidR="00DF4AAD">
        <w:t>s not necessary</w:t>
      </w:r>
      <w:r w:rsidR="00BA4371">
        <w:t xml:space="preserve">.  </w:t>
      </w:r>
      <w:r>
        <w:t xml:space="preserve"> </w:t>
      </w:r>
    </w:p>
    <w:p w14:paraId="0B96996C" w14:textId="78571378" w:rsidR="000D3B3D" w:rsidRDefault="000D3B3D" w:rsidP="000D3B3D">
      <w:pPr>
        <w:pStyle w:val="Caption"/>
        <w:rPr>
          <w:b/>
          <w:i w:val="0"/>
          <w:color w:val="auto"/>
          <w:sz w:val="20"/>
          <w:szCs w:val="20"/>
        </w:rPr>
      </w:pPr>
      <w:bookmarkStart w:id="3" w:name="_Ref536803014"/>
      <w:r w:rsidRPr="000D3B3D">
        <w:rPr>
          <w:b/>
          <w:i w:val="0"/>
          <w:color w:val="auto"/>
          <w:sz w:val="20"/>
          <w:szCs w:val="20"/>
        </w:rPr>
        <w:t xml:space="preserve">Proposal </w:t>
      </w:r>
      <w:r w:rsidRPr="000D3B3D">
        <w:rPr>
          <w:b/>
          <w:i w:val="0"/>
          <w:color w:val="auto"/>
          <w:sz w:val="20"/>
          <w:szCs w:val="20"/>
        </w:rPr>
        <w:fldChar w:fldCharType="begin"/>
      </w:r>
      <w:r w:rsidRPr="000D3B3D">
        <w:rPr>
          <w:b/>
          <w:i w:val="0"/>
          <w:color w:val="auto"/>
          <w:sz w:val="20"/>
          <w:szCs w:val="20"/>
        </w:rPr>
        <w:instrText xml:space="preserve"> SEQ Proposal \* ARABIC </w:instrText>
      </w:r>
      <w:r w:rsidRPr="000D3B3D">
        <w:rPr>
          <w:b/>
          <w:i w:val="0"/>
          <w:color w:val="auto"/>
          <w:sz w:val="20"/>
          <w:szCs w:val="20"/>
        </w:rPr>
        <w:fldChar w:fldCharType="separate"/>
      </w:r>
      <w:r w:rsidRPr="000D3B3D">
        <w:rPr>
          <w:b/>
          <w:i w:val="0"/>
          <w:color w:val="auto"/>
          <w:sz w:val="20"/>
          <w:szCs w:val="20"/>
        </w:rPr>
        <w:t>1</w:t>
      </w:r>
      <w:r w:rsidRPr="000D3B3D">
        <w:rPr>
          <w:b/>
          <w:i w:val="0"/>
          <w:color w:val="auto"/>
          <w:sz w:val="20"/>
          <w:szCs w:val="20"/>
        </w:rPr>
        <w:fldChar w:fldCharType="end"/>
      </w:r>
      <w:r>
        <w:rPr>
          <w:b/>
          <w:i w:val="0"/>
          <w:color w:val="auto"/>
          <w:sz w:val="20"/>
          <w:szCs w:val="20"/>
        </w:rPr>
        <w:t>.</w:t>
      </w:r>
      <w:r w:rsidR="001A207B" w:rsidRPr="001A207B">
        <w:rPr>
          <w:b/>
          <w:i w:val="0"/>
          <w:color w:val="auto"/>
          <w:sz w:val="20"/>
          <w:szCs w:val="20"/>
        </w:rPr>
        <w:t xml:space="preserve"> Support DCRS based HO only to perform Inter-Freq HO.</w:t>
      </w:r>
      <w:bookmarkEnd w:id="3"/>
    </w:p>
    <w:p w14:paraId="3F92DED3" w14:textId="50C7CFE0" w:rsidR="00692D10" w:rsidRPr="005D2709" w:rsidRDefault="00692D10" w:rsidP="005D2709">
      <w:pPr>
        <w:pStyle w:val="Heading2"/>
        <w:spacing w:before="40" w:after="0"/>
        <w:ind w:left="720" w:hanging="720"/>
        <w:rPr>
          <w:rFonts w:cs="Arial"/>
          <w:sz w:val="28"/>
          <w:szCs w:val="36"/>
          <w:lang w:eastAsia="ja-JP"/>
        </w:rPr>
      </w:pPr>
      <w:r>
        <w:rPr>
          <w:rFonts w:cs="Arial"/>
          <w:sz w:val="28"/>
          <w:szCs w:val="36"/>
          <w:lang w:eastAsia="ja-JP"/>
        </w:rPr>
        <w:t xml:space="preserve">2.2 Role switch necessity </w:t>
      </w:r>
    </w:p>
    <w:p w14:paraId="012D7B76" w14:textId="2D40D078" w:rsidR="00BA4371" w:rsidRPr="00BA4371" w:rsidRDefault="00DF4AAD" w:rsidP="00BA4371">
      <w:r>
        <w:t>Based on our understanding of the MR-DC procedures</w:t>
      </w:r>
      <w:r w:rsidR="00692D10">
        <w:t xml:space="preserve"> defined under section 10 of [2]</w:t>
      </w:r>
      <w:r>
        <w:t>, it seems like the only way SCG can be made the MCG is by releasing the SCG first, then performing an Inter-Master node handover to the previous SCG to make it the Master node. This</w:t>
      </w:r>
      <w:r w:rsidR="00692D10">
        <w:t xml:space="preserve"> Inter-Master node </w:t>
      </w:r>
      <w:proofErr w:type="gramStart"/>
      <w:r w:rsidR="00692D10">
        <w:t xml:space="preserve">handover </w:t>
      </w:r>
      <w:r>
        <w:t>based</w:t>
      </w:r>
      <w:proofErr w:type="gramEnd"/>
      <w:r>
        <w:t xml:space="preserve"> role switch without supporting MBB HO between the current MN and the target MN would result in mobility interruption. Thus, it is necessary to define an optimized role switch procedure to make the current SN as target MN without performing handover.</w:t>
      </w:r>
    </w:p>
    <w:p w14:paraId="5D7D200E" w14:textId="3F0D3711" w:rsidR="00427A77" w:rsidRDefault="007D7A1A" w:rsidP="000E6191">
      <w:pPr>
        <w:rPr>
          <w:b/>
          <w:iCs/>
        </w:rPr>
      </w:pPr>
      <w:bookmarkStart w:id="4" w:name="_Ref536803011"/>
      <w:r w:rsidRPr="000E6191">
        <w:rPr>
          <w:b/>
          <w:iCs/>
        </w:rPr>
        <w:t xml:space="preserve">Observation </w:t>
      </w:r>
      <w:r w:rsidRPr="000E6191">
        <w:rPr>
          <w:b/>
          <w:iCs/>
        </w:rPr>
        <w:fldChar w:fldCharType="begin"/>
      </w:r>
      <w:r w:rsidRPr="000E6191">
        <w:rPr>
          <w:b/>
          <w:iCs/>
        </w:rPr>
        <w:instrText xml:space="preserve"> SEQ Observation \* ARABIC </w:instrText>
      </w:r>
      <w:r w:rsidRPr="000E6191">
        <w:rPr>
          <w:b/>
          <w:iCs/>
        </w:rPr>
        <w:fldChar w:fldCharType="separate"/>
      </w:r>
      <w:r w:rsidR="007A5E52">
        <w:rPr>
          <w:b/>
          <w:iCs/>
          <w:noProof/>
        </w:rPr>
        <w:t>3</w:t>
      </w:r>
      <w:r w:rsidRPr="000E6191">
        <w:rPr>
          <w:b/>
          <w:iCs/>
        </w:rPr>
        <w:fldChar w:fldCharType="end"/>
      </w:r>
      <w:r w:rsidRPr="000E6191">
        <w:rPr>
          <w:b/>
          <w:iCs/>
        </w:rPr>
        <w:t xml:space="preserve">. </w:t>
      </w:r>
      <w:r w:rsidR="001C6B52">
        <w:rPr>
          <w:b/>
          <w:iCs/>
        </w:rPr>
        <w:t xml:space="preserve">Switching the role of SCG to MCG using the </w:t>
      </w:r>
      <w:r w:rsidRPr="000E6191">
        <w:rPr>
          <w:b/>
          <w:iCs/>
        </w:rPr>
        <w:t>Rel.15 MR-DC</w:t>
      </w:r>
      <w:r w:rsidR="001C6B52">
        <w:rPr>
          <w:b/>
          <w:iCs/>
        </w:rPr>
        <w:t xml:space="preserve"> procedures requires releasing the SCG and then performing a</w:t>
      </w:r>
      <w:r w:rsidR="00427A77">
        <w:rPr>
          <w:b/>
          <w:iCs/>
        </w:rPr>
        <w:t>n</w:t>
      </w:r>
      <w:r w:rsidR="001C6B52">
        <w:rPr>
          <w:b/>
          <w:iCs/>
        </w:rPr>
        <w:t xml:space="preserve"> Inter-Master node handover to the target cell</w:t>
      </w:r>
      <w:r w:rsidR="00427A77">
        <w:rPr>
          <w:b/>
          <w:iCs/>
        </w:rPr>
        <w:t>, which results in mobility interruption.</w:t>
      </w:r>
      <w:bookmarkEnd w:id="4"/>
      <w:r w:rsidR="00427A77">
        <w:rPr>
          <w:b/>
          <w:iCs/>
        </w:rPr>
        <w:t xml:space="preserve"> </w:t>
      </w:r>
    </w:p>
    <w:p w14:paraId="691CF78A" w14:textId="439092BC" w:rsidR="007A5E52" w:rsidRDefault="007A5E52" w:rsidP="007A5E52">
      <w:pPr>
        <w:pStyle w:val="Caption"/>
        <w:rPr>
          <w:b/>
          <w:i w:val="0"/>
          <w:color w:val="auto"/>
          <w:sz w:val="20"/>
          <w:szCs w:val="20"/>
        </w:rPr>
      </w:pPr>
      <w:bookmarkStart w:id="5" w:name="_Ref536803012"/>
      <w:r w:rsidRPr="007A5E52">
        <w:rPr>
          <w:b/>
          <w:i w:val="0"/>
          <w:color w:val="auto"/>
          <w:sz w:val="20"/>
          <w:szCs w:val="20"/>
        </w:rPr>
        <w:t xml:space="preserve">Observation </w:t>
      </w:r>
      <w:r w:rsidRPr="007A5E52">
        <w:rPr>
          <w:b/>
          <w:i w:val="0"/>
          <w:color w:val="auto"/>
          <w:sz w:val="20"/>
          <w:szCs w:val="20"/>
        </w:rPr>
        <w:fldChar w:fldCharType="begin"/>
      </w:r>
      <w:r w:rsidRPr="007A5E52">
        <w:rPr>
          <w:b/>
          <w:i w:val="0"/>
          <w:color w:val="auto"/>
          <w:sz w:val="20"/>
          <w:szCs w:val="20"/>
        </w:rPr>
        <w:instrText xml:space="preserve"> SEQ Observation \* ARABIC </w:instrText>
      </w:r>
      <w:r w:rsidRPr="007A5E52">
        <w:rPr>
          <w:b/>
          <w:i w:val="0"/>
          <w:color w:val="auto"/>
          <w:sz w:val="20"/>
          <w:szCs w:val="20"/>
        </w:rPr>
        <w:fldChar w:fldCharType="separate"/>
      </w:r>
      <w:r>
        <w:rPr>
          <w:b/>
          <w:i w:val="0"/>
          <w:noProof/>
          <w:color w:val="auto"/>
          <w:sz w:val="20"/>
          <w:szCs w:val="20"/>
        </w:rPr>
        <w:t>4</w:t>
      </w:r>
      <w:r w:rsidRPr="007A5E52">
        <w:rPr>
          <w:b/>
          <w:i w:val="0"/>
          <w:color w:val="auto"/>
          <w:sz w:val="20"/>
          <w:szCs w:val="20"/>
        </w:rPr>
        <w:fldChar w:fldCharType="end"/>
      </w:r>
      <w:r w:rsidRPr="007A5E52">
        <w:rPr>
          <w:b/>
          <w:i w:val="0"/>
          <w:color w:val="auto"/>
          <w:sz w:val="20"/>
          <w:szCs w:val="20"/>
        </w:rPr>
        <w:t>.</w:t>
      </w:r>
      <w:r>
        <w:t xml:space="preserve"> </w:t>
      </w:r>
      <w:r w:rsidRPr="007A5E52">
        <w:rPr>
          <w:b/>
          <w:i w:val="0"/>
          <w:color w:val="auto"/>
          <w:sz w:val="20"/>
          <w:szCs w:val="20"/>
        </w:rPr>
        <w:t>Optimizing the role switch procedure is necessary to eliminate interruption due to role switch during the DCRS based HO.</w:t>
      </w:r>
      <w:bookmarkEnd w:id="5"/>
      <w:r w:rsidRPr="007A5E52">
        <w:rPr>
          <w:b/>
          <w:i w:val="0"/>
          <w:color w:val="auto"/>
          <w:sz w:val="20"/>
          <w:szCs w:val="20"/>
        </w:rPr>
        <w:t> </w:t>
      </w:r>
    </w:p>
    <w:p w14:paraId="1C5A0F8A" w14:textId="1AD18A92" w:rsidR="00692D10" w:rsidRPr="005D2709" w:rsidRDefault="00692D10" w:rsidP="005D2709">
      <w:pPr>
        <w:pStyle w:val="Heading2"/>
        <w:spacing w:before="40" w:after="0"/>
        <w:ind w:left="720" w:hanging="720"/>
        <w:rPr>
          <w:rFonts w:cs="Arial"/>
          <w:sz w:val="28"/>
          <w:szCs w:val="36"/>
          <w:lang w:eastAsia="ja-JP"/>
        </w:rPr>
      </w:pPr>
      <w:r>
        <w:rPr>
          <w:rFonts w:cs="Arial"/>
          <w:sz w:val="28"/>
          <w:szCs w:val="36"/>
          <w:lang w:eastAsia="ja-JP"/>
        </w:rPr>
        <w:lastRenderedPageBreak/>
        <w:t>2.3 DCRS based HO procedures</w:t>
      </w:r>
    </w:p>
    <w:p w14:paraId="03122BB6" w14:textId="2A8A5088" w:rsidR="00F604AD" w:rsidRDefault="00F604AD" w:rsidP="00F604AD">
      <w:pPr>
        <w:rPr>
          <w:lang w:val="en-US"/>
        </w:rPr>
      </w:pPr>
      <w:r>
        <w:rPr>
          <w:lang w:val="en-US"/>
        </w:rPr>
        <w:fldChar w:fldCharType="begin"/>
      </w:r>
      <w:r>
        <w:rPr>
          <w:lang w:val="en-US"/>
        </w:rPr>
        <w:instrText xml:space="preserve"> REF _Ref536802999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optimized role switch during Inter-CU DCRS based HO scenario. Intra-CU DCRS based HO signaling procedures are less complex as the source cell and target cell are controlled by the same CU and hence not covered in this document. However, it should be noted that the signaling messages sent to the UE during an Intra-CU HO would be </w:t>
      </w:r>
      <w:proofErr w:type="gramStart"/>
      <w:r>
        <w:rPr>
          <w:lang w:val="en-US"/>
        </w:rPr>
        <w:t>similar to</w:t>
      </w:r>
      <w:proofErr w:type="gramEnd"/>
      <w:r>
        <w:rPr>
          <w:lang w:val="en-US"/>
        </w:rPr>
        <w:t xml:space="preserve"> the messages described in this document, except for the security key change would not happen during Intra-CU DCRS based HO. Other than that, the key observations and proposals made in this contribution apply for Intra-CU DCRS based HO scenario as well. </w:t>
      </w:r>
    </w:p>
    <w:p w14:paraId="280B06C4" w14:textId="729B4673" w:rsidR="00F604AD" w:rsidRPr="00F604AD" w:rsidRDefault="004469BA" w:rsidP="00F604AD">
      <w:r>
        <w:object w:dxaOrig="10215" w:dyaOrig="7335" w14:anchorId="5FFE4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5pt" o:ole="">
            <v:imagedata r:id="rId8" o:title=""/>
          </v:shape>
          <o:OLEObject Type="Embed" ProgID="Visio.Drawing.15" ShapeID="_x0000_i1025" DrawAspect="Content" ObjectID="_1627299575" r:id="rId9"/>
        </w:object>
      </w:r>
    </w:p>
    <w:p w14:paraId="68F34A0F" w14:textId="17402915" w:rsidR="000F56E4" w:rsidRPr="00E25F90" w:rsidRDefault="000F56E4" w:rsidP="000F56E4">
      <w:r w:rsidRPr="00E25F90">
        <w:t xml:space="preserve">Below </w:t>
      </w:r>
      <w:r w:rsidR="00692D10">
        <w:t>are</w:t>
      </w:r>
      <w:r w:rsidR="00FD3ACB">
        <w:t xml:space="preserve"> the key</w:t>
      </w:r>
      <w:r w:rsidRPr="00E25F90">
        <w:t xml:space="preserve"> enhancements</w:t>
      </w:r>
      <w:r>
        <w:t xml:space="preserve"> to </w:t>
      </w:r>
      <w:r w:rsidR="001243D2">
        <w:t xml:space="preserve">support </w:t>
      </w:r>
      <w:r>
        <w:t>DCRS based HO:</w:t>
      </w:r>
    </w:p>
    <w:p w14:paraId="308DAD19" w14:textId="013DD5B7" w:rsidR="00692D10" w:rsidRPr="005D2709" w:rsidRDefault="00692D10" w:rsidP="005D2709">
      <w:pPr>
        <w:rPr>
          <w:b/>
          <w:u w:val="single"/>
          <w:lang w:eastAsia="ja-JP"/>
        </w:rPr>
      </w:pPr>
      <w:r w:rsidRPr="005D2709">
        <w:rPr>
          <w:b/>
          <w:u w:val="single"/>
          <w:lang w:eastAsia="ja-JP"/>
        </w:rPr>
        <w:t>DCRS based HO indication support</w:t>
      </w:r>
    </w:p>
    <w:p w14:paraId="7265C0D7" w14:textId="77777777" w:rsidR="00692D10" w:rsidRDefault="000F56E4" w:rsidP="00692D10">
      <w:pPr>
        <w:pStyle w:val="ListParagraph"/>
        <w:numPr>
          <w:ilvl w:val="0"/>
          <w:numId w:val="13"/>
        </w:numPr>
        <w:overflowPunct w:val="0"/>
        <w:autoSpaceDE w:val="0"/>
        <w:autoSpaceDN w:val="0"/>
        <w:adjustRightInd w:val="0"/>
        <w:textAlignment w:val="baseline"/>
      </w:pPr>
      <w:r>
        <w:t>At step 3, the RRC Reconfiguration message includes the ‘</w:t>
      </w:r>
      <w:proofErr w:type="spellStart"/>
      <w:r w:rsidR="001243D2">
        <w:t>dcrs</w:t>
      </w:r>
      <w:proofErr w:type="spellEnd"/>
      <w:r w:rsidR="001243D2">
        <w:t>-based-</w:t>
      </w:r>
      <w:r>
        <w:t xml:space="preserve">HO’ indication to request the UE to perform </w:t>
      </w:r>
      <w:r w:rsidR="001243D2">
        <w:t>DCRS based</w:t>
      </w:r>
      <w:r>
        <w:t xml:space="preserve"> HO procedures. </w:t>
      </w:r>
    </w:p>
    <w:p w14:paraId="385E9DA8" w14:textId="1E360F5F" w:rsidR="000F56E4" w:rsidRDefault="000F56E4" w:rsidP="005D2709">
      <w:pPr>
        <w:pStyle w:val="ListParagraph"/>
        <w:numPr>
          <w:ilvl w:val="0"/>
          <w:numId w:val="13"/>
        </w:numPr>
        <w:overflowPunct w:val="0"/>
        <w:autoSpaceDE w:val="0"/>
        <w:autoSpaceDN w:val="0"/>
        <w:adjustRightInd w:val="0"/>
        <w:textAlignment w:val="baseline"/>
      </w:pPr>
      <w:r>
        <w:t>On</w:t>
      </w:r>
      <w:r w:rsidRPr="00E25F90">
        <w:t xml:space="preserve"> receiving the ‘</w:t>
      </w:r>
      <w:proofErr w:type="spellStart"/>
      <w:r w:rsidR="001243D2">
        <w:t>dcrs</w:t>
      </w:r>
      <w:proofErr w:type="spellEnd"/>
      <w:r w:rsidR="001243D2">
        <w:t>-based</w:t>
      </w:r>
      <w:r>
        <w:t>-HO</w:t>
      </w:r>
      <w:r w:rsidRPr="00E25F90">
        <w:t xml:space="preserve">’ indication, UE </w:t>
      </w:r>
      <w:r w:rsidR="001243D2">
        <w:t xml:space="preserve">supports the user plane enhancements to minimize mobility interruption due to security key change as proposed in our contribution on user plane handling for DCRS based </w:t>
      </w:r>
      <w:proofErr w:type="gramStart"/>
      <w:r w:rsidR="001243D2">
        <w:t>HO[</w:t>
      </w:r>
      <w:proofErr w:type="gramEnd"/>
      <w:r w:rsidR="001243D2">
        <w:t>3].</w:t>
      </w:r>
    </w:p>
    <w:p w14:paraId="4783B04C" w14:textId="4B1EE21F" w:rsidR="00FD3ACB" w:rsidRPr="00FD3ACB" w:rsidRDefault="00FD3ACB" w:rsidP="00FD3ACB">
      <w:pPr>
        <w:rPr>
          <w:b/>
          <w:iCs/>
        </w:rPr>
      </w:pPr>
      <w:bookmarkStart w:id="6" w:name="_Ref536803015"/>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sidRPr="00FD3ACB">
        <w:rPr>
          <w:b/>
          <w:iCs/>
          <w:noProof/>
        </w:rPr>
        <w:t>2</w:t>
      </w:r>
      <w:r w:rsidRPr="00FD3ACB">
        <w:rPr>
          <w:b/>
          <w:iCs/>
        </w:rPr>
        <w:fldChar w:fldCharType="end"/>
      </w:r>
      <w:r w:rsidRPr="00FD3ACB">
        <w:rPr>
          <w:b/>
          <w:iCs/>
        </w:rPr>
        <w:t>. When the condition for handover preparation is met, Source cell requests the UE to add target cell as SCG and indicates the UE to support</w:t>
      </w:r>
      <w:r>
        <w:t xml:space="preserve"> </w:t>
      </w:r>
      <w:r w:rsidRPr="00FD3ACB">
        <w:rPr>
          <w:b/>
          <w:iCs/>
        </w:rPr>
        <w:t>‘</w:t>
      </w:r>
      <w:proofErr w:type="spellStart"/>
      <w:r w:rsidRPr="00FD3ACB">
        <w:rPr>
          <w:b/>
          <w:iCs/>
        </w:rPr>
        <w:t>dcrs</w:t>
      </w:r>
      <w:proofErr w:type="spellEnd"/>
      <w:r w:rsidRPr="00FD3ACB">
        <w:rPr>
          <w:b/>
          <w:iCs/>
        </w:rPr>
        <w:t>-based-HO’ via the RRC reconfiguration sent to the UE</w:t>
      </w:r>
      <w:bookmarkEnd w:id="6"/>
      <w:r w:rsidRPr="00FD3ACB">
        <w:rPr>
          <w:b/>
          <w:iCs/>
        </w:rPr>
        <w:t xml:space="preserve"> </w:t>
      </w:r>
      <w:r w:rsidRPr="00FD3ACB">
        <w:rPr>
          <w:b/>
          <w:i/>
        </w:rPr>
        <w:t xml:space="preserve"> </w:t>
      </w:r>
    </w:p>
    <w:p w14:paraId="0408167B" w14:textId="383599BD" w:rsidR="00692D10" w:rsidRPr="005D2709" w:rsidRDefault="00692D10" w:rsidP="005D2709">
      <w:pPr>
        <w:rPr>
          <w:b/>
          <w:u w:val="single"/>
          <w:lang w:eastAsia="x-none"/>
        </w:rPr>
      </w:pPr>
      <w:r w:rsidRPr="005D2709">
        <w:rPr>
          <w:b/>
          <w:u w:val="single"/>
          <w:lang w:eastAsia="x-none"/>
        </w:rPr>
        <w:t>Role switch handling</w:t>
      </w:r>
    </w:p>
    <w:p w14:paraId="3ED39CAC" w14:textId="4D6D13E0" w:rsidR="00B433B9" w:rsidRDefault="005F3978" w:rsidP="005D2709">
      <w:pPr>
        <w:pStyle w:val="ListParagraph"/>
        <w:numPr>
          <w:ilvl w:val="0"/>
          <w:numId w:val="14"/>
        </w:numPr>
        <w:overflowPunct w:val="0"/>
        <w:autoSpaceDE w:val="0"/>
        <w:autoSpaceDN w:val="0"/>
        <w:adjustRightInd w:val="0"/>
        <w:textAlignment w:val="baseline"/>
      </w:pPr>
      <w:r>
        <w:t xml:space="preserve">In NR-DC, MCG handles the control signaling. We propose to follow the same behaviour and thus the source cell controls when the role switch procedure </w:t>
      </w:r>
      <w:proofErr w:type="gramStart"/>
      <w:r>
        <w:t>has to</w:t>
      </w:r>
      <w:proofErr w:type="gramEnd"/>
      <w:r>
        <w:t xml:space="preserve"> be initiated.</w:t>
      </w:r>
      <w:r w:rsidR="00B433B9">
        <w:t xml:space="preserve"> </w:t>
      </w:r>
      <w:r w:rsidR="000F56E4">
        <w:t xml:space="preserve">On receiving the RRC Reconfiguration complete message indicating the successful </w:t>
      </w:r>
      <w:r>
        <w:t>SCG addition</w:t>
      </w:r>
      <w:r w:rsidR="000F56E4">
        <w:t xml:space="preserve"> of the UE, the </w:t>
      </w:r>
      <w:r>
        <w:t xml:space="preserve">source cell initiates </w:t>
      </w:r>
      <w:r w:rsidR="001F2356">
        <w:t>the SN modification procedure</w:t>
      </w:r>
      <w:r w:rsidR="00FD3ACB">
        <w:t xml:space="preserve"> </w:t>
      </w:r>
      <w:r w:rsidR="001F2356">
        <w:t>(step 6) to change the bearer termination point from source cell to target cell,</w:t>
      </w:r>
      <w:r w:rsidR="00FD3ACB">
        <w:t xml:space="preserve"> </w:t>
      </w:r>
      <w:r w:rsidR="001F2356">
        <w:t xml:space="preserve">and, then performs </w:t>
      </w:r>
      <w:r>
        <w:t xml:space="preserve">the role switch procedure (steps </w:t>
      </w:r>
      <w:r w:rsidR="001F2356">
        <w:t>7,8)</w:t>
      </w:r>
      <w:r>
        <w:t xml:space="preserve"> with the target cell to transfer the UE RRC context to the target cell. At this point, the HO execution is successful and thus the source cell can even consider </w:t>
      </w:r>
      <w:r w:rsidR="00FD3ACB">
        <w:t>stopping</w:t>
      </w:r>
      <w:r>
        <w:t xml:space="preserve"> data </w:t>
      </w:r>
      <w:proofErr w:type="spellStart"/>
      <w:r>
        <w:t>tx</w:t>
      </w:r>
      <w:proofErr w:type="spellEnd"/>
      <w:r>
        <w:t xml:space="preserve"> to the UE. </w:t>
      </w:r>
      <w:r w:rsidR="000F56E4">
        <w:t xml:space="preserve">The source cell sends SN Status Transfer message (step </w:t>
      </w:r>
      <w:r w:rsidR="001F2356">
        <w:t>9</w:t>
      </w:r>
      <w:r w:rsidR="000F56E4">
        <w:t xml:space="preserve">) to assist the target cell with the DL PDCP SN to use and the PDCP Status for the PDUs that have not been acknowledged. Once the target cell receives the SN Status Transfer message, it knows that source cell has </w:t>
      </w:r>
      <w:r w:rsidR="000F56E4">
        <w:lastRenderedPageBreak/>
        <w:t xml:space="preserve">stopped data </w:t>
      </w:r>
      <w:proofErr w:type="spellStart"/>
      <w:r w:rsidR="000F56E4">
        <w:t>tx</w:t>
      </w:r>
      <w:proofErr w:type="spellEnd"/>
      <w:r w:rsidR="000F56E4">
        <w:t xml:space="preserve"> on the source cell connection. Thus, the target cell </w:t>
      </w:r>
      <w:r>
        <w:t>can</w:t>
      </w:r>
      <w:r w:rsidR="000F56E4">
        <w:t xml:space="preserve"> indicate the UE to release the source cell connection</w:t>
      </w:r>
      <w:r>
        <w:t xml:space="preserve">. The target cell sends an RRC Reconfiguration message (step </w:t>
      </w:r>
      <w:r w:rsidR="001F2356">
        <w:t>10</w:t>
      </w:r>
      <w:r>
        <w:t>) to indicate the UE to switch the Master Cell Group to the target cell Group b</w:t>
      </w:r>
      <w:r w:rsidR="00B433B9">
        <w:t>y including the master cell group ID IE in the RRC reconfiguration message. The target cell can also request the UE to release the source cell group connection in the same RRC Reconfiguration messag</w:t>
      </w:r>
      <w:r w:rsidR="003E2A84">
        <w:t>e</w:t>
      </w:r>
    </w:p>
    <w:p w14:paraId="0F6DF7C2" w14:textId="77777777" w:rsidR="00FD3ACB" w:rsidRPr="00F711AB" w:rsidRDefault="00FD3ACB" w:rsidP="00FD3ACB">
      <w:pPr>
        <w:spacing w:after="0"/>
        <w:rPr>
          <w:b/>
          <w:iCs/>
        </w:rPr>
      </w:pPr>
      <w:bookmarkStart w:id="7" w:name="_Ref536803016"/>
      <w:r w:rsidRPr="00F711AB">
        <w:rPr>
          <w:b/>
          <w:iCs/>
        </w:rPr>
        <w:t xml:space="preserve">Proposal </w:t>
      </w:r>
      <w:r w:rsidRPr="00F711AB">
        <w:rPr>
          <w:b/>
          <w:iCs/>
        </w:rPr>
        <w:fldChar w:fldCharType="begin"/>
      </w:r>
      <w:r w:rsidRPr="00F711AB">
        <w:rPr>
          <w:b/>
          <w:iCs/>
        </w:rPr>
        <w:instrText xml:space="preserve"> SEQ Proposal \* ARABIC </w:instrText>
      </w:r>
      <w:r w:rsidRPr="00F711AB">
        <w:rPr>
          <w:b/>
          <w:iCs/>
        </w:rPr>
        <w:fldChar w:fldCharType="separate"/>
      </w:r>
      <w:r>
        <w:rPr>
          <w:b/>
          <w:iCs/>
          <w:noProof/>
        </w:rPr>
        <w:t>3</w:t>
      </w:r>
      <w:r w:rsidRPr="00F711AB">
        <w:rPr>
          <w:b/>
          <w:iCs/>
        </w:rPr>
        <w:fldChar w:fldCharType="end"/>
      </w:r>
      <w:r w:rsidRPr="00F711AB">
        <w:rPr>
          <w:b/>
          <w:iCs/>
        </w:rPr>
        <w:t>. Support the below procedures as part of the role switch procedure during DCRS based HO:</w:t>
      </w:r>
      <w:bookmarkEnd w:id="7"/>
    </w:p>
    <w:p w14:paraId="08C689CC" w14:textId="77777777" w:rsidR="00FD3ACB" w:rsidRDefault="00FD3ACB" w:rsidP="00FD3ACB">
      <w:pPr>
        <w:pStyle w:val="ListParagraph"/>
        <w:numPr>
          <w:ilvl w:val="0"/>
          <w:numId w:val="7"/>
        </w:numPr>
        <w:spacing w:after="0"/>
        <w:rPr>
          <w:b/>
          <w:iCs/>
        </w:rPr>
      </w:pPr>
      <w:r w:rsidRPr="00F711AB">
        <w:rPr>
          <w:b/>
          <w:iCs/>
        </w:rPr>
        <w:t>On receiving the RRC Reconfiguration complete message (in response to configuration</w:t>
      </w:r>
      <w:r>
        <w:rPr>
          <w:b/>
          <w:iCs/>
        </w:rPr>
        <w:t xml:space="preserve"> of target cell as SCG</w:t>
      </w:r>
      <w:r w:rsidRPr="00F711AB">
        <w:rPr>
          <w:b/>
          <w:iCs/>
        </w:rPr>
        <w:t xml:space="preserve">) from UE, source cell </w:t>
      </w:r>
      <w:r>
        <w:rPr>
          <w:b/>
          <w:iCs/>
        </w:rPr>
        <w:t>coordinates with target cell</w:t>
      </w:r>
      <w:r w:rsidRPr="00F711AB">
        <w:rPr>
          <w:b/>
          <w:iCs/>
        </w:rPr>
        <w:t xml:space="preserve"> on </w:t>
      </w:r>
      <w:r>
        <w:rPr>
          <w:b/>
          <w:iCs/>
        </w:rPr>
        <w:t xml:space="preserve">bearer termination point change, </w:t>
      </w:r>
      <w:r w:rsidRPr="00F711AB">
        <w:rPr>
          <w:b/>
          <w:iCs/>
        </w:rPr>
        <w:t xml:space="preserve">Role </w:t>
      </w:r>
      <w:r>
        <w:rPr>
          <w:b/>
          <w:iCs/>
        </w:rPr>
        <w:t>S</w:t>
      </w:r>
      <w:r w:rsidRPr="00F711AB">
        <w:rPr>
          <w:b/>
          <w:iCs/>
        </w:rPr>
        <w:t>witch support and initiate data forwarding/PDCP SN status transfer</w:t>
      </w:r>
      <w:r>
        <w:rPr>
          <w:b/>
          <w:iCs/>
        </w:rPr>
        <w:t>.</w:t>
      </w:r>
    </w:p>
    <w:p w14:paraId="6B7555EB" w14:textId="1CFFFEEF" w:rsidR="00FD3ACB" w:rsidRPr="00FD3ACB" w:rsidRDefault="00FD3ACB" w:rsidP="00FD3ACB">
      <w:pPr>
        <w:pStyle w:val="ListParagraph"/>
        <w:numPr>
          <w:ilvl w:val="0"/>
          <w:numId w:val="7"/>
        </w:numPr>
        <w:spacing w:after="0"/>
        <w:rPr>
          <w:b/>
          <w:iCs/>
        </w:rPr>
      </w:pPr>
      <w:r w:rsidRPr="00F711AB">
        <w:rPr>
          <w:b/>
          <w:iCs/>
        </w:rPr>
        <w:t>On completion of Role Switch coordination, source cell indicates the UE to</w:t>
      </w:r>
      <w:r w:rsidRPr="00F711AB">
        <w:rPr>
          <w:rFonts w:eastAsia="Times New Roman"/>
          <w:b/>
        </w:rPr>
        <w:t xml:space="preserve"> perform role switch of SCG (target cell) to MCG</w:t>
      </w:r>
      <w:r>
        <w:rPr>
          <w:rFonts w:eastAsia="Times New Roman"/>
          <w:b/>
        </w:rPr>
        <w:t xml:space="preserve"> via the RRC Reconfiguration message.</w:t>
      </w:r>
    </w:p>
    <w:p w14:paraId="23E3CC8D" w14:textId="77777777" w:rsidR="00FD3ACB" w:rsidRPr="00FD3ACB" w:rsidRDefault="00FD3ACB" w:rsidP="00FD3ACB">
      <w:pPr>
        <w:pStyle w:val="ListParagraph"/>
        <w:spacing w:after="0"/>
        <w:rPr>
          <w:b/>
          <w:iCs/>
        </w:rPr>
      </w:pPr>
    </w:p>
    <w:p w14:paraId="4E388C95" w14:textId="53952DF3" w:rsidR="00FD3ACB" w:rsidRDefault="00FD3ACB" w:rsidP="00FD3ACB">
      <w:pPr>
        <w:rPr>
          <w:b/>
          <w:iCs/>
        </w:rPr>
      </w:pPr>
      <w:bookmarkStart w:id="8" w:name="_Ref536803018"/>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Pr>
          <w:b/>
          <w:iCs/>
          <w:noProof/>
        </w:rPr>
        <w:t>4</w:t>
      </w:r>
      <w:r w:rsidRPr="00FD3ACB">
        <w:rPr>
          <w:b/>
          <w:iCs/>
        </w:rPr>
        <w:fldChar w:fldCharType="end"/>
      </w:r>
      <w:r w:rsidRPr="00FD3ACB">
        <w:rPr>
          <w:b/>
          <w:iCs/>
        </w:rPr>
        <w:t>. On receiving RRC Reconfiguration complete message in response to the Role Switch related RRC Reconfiguration message during DCRS based HO, target cell indicates the release of source cell connection to the UE.</w:t>
      </w:r>
      <w:bookmarkEnd w:id="8"/>
    </w:p>
    <w:p w14:paraId="1D10A4E9" w14:textId="69A561EF" w:rsidR="00321A6D" w:rsidRPr="00321A6D" w:rsidRDefault="00321A6D" w:rsidP="00FD3ACB">
      <w:r w:rsidRPr="00321A6D">
        <w:t xml:space="preserve">Below is the definition of </w:t>
      </w:r>
      <w:proofErr w:type="spellStart"/>
      <w:r w:rsidRPr="00321A6D">
        <w:t>CellGroupId</w:t>
      </w:r>
      <w:proofErr w:type="spellEnd"/>
      <w:r>
        <w:t xml:space="preserve"> IE</w:t>
      </w:r>
      <w:r w:rsidRPr="00321A6D">
        <w:t xml:space="preserve"> </w:t>
      </w:r>
      <w:r w:rsidR="003E2A84">
        <w:t>in [4]</w:t>
      </w:r>
      <w:r w:rsidRPr="00321A6D">
        <w:t xml:space="preserve">, which restricts master cell group id to be ‘0’ always. </w:t>
      </w:r>
    </w:p>
    <w:p w14:paraId="30E05A94" w14:textId="3E3FC0F3" w:rsidR="00321A6D" w:rsidRPr="005D2709" w:rsidRDefault="003E2A84" w:rsidP="005D2709">
      <w:pPr>
        <w:rPr>
          <w:i/>
        </w:rPr>
      </w:pPr>
      <w:r>
        <w:t xml:space="preserve">               </w:t>
      </w:r>
      <w:proofErr w:type="spellStart"/>
      <w:r w:rsidR="00321A6D" w:rsidRPr="003E2A84">
        <w:rPr>
          <w:highlight w:val="lightGray"/>
        </w:rPr>
        <w:t>CellGroupId</w:t>
      </w:r>
      <w:proofErr w:type="spellEnd"/>
    </w:p>
    <w:p w14:paraId="29FFB782" w14:textId="77777777" w:rsidR="00321A6D" w:rsidRPr="00A470D9" w:rsidRDefault="00321A6D" w:rsidP="00321A6D">
      <w:pPr>
        <w:ind w:left="720"/>
      </w:pPr>
      <w:r w:rsidRPr="00321A6D">
        <w:rPr>
          <w:highlight w:val="lightGray"/>
        </w:rPr>
        <w:t xml:space="preserve">The IE </w:t>
      </w:r>
      <w:proofErr w:type="spellStart"/>
      <w:r w:rsidRPr="00321A6D">
        <w:rPr>
          <w:i/>
          <w:highlight w:val="lightGray"/>
        </w:rPr>
        <w:t>CellGroupId</w:t>
      </w:r>
      <w:proofErr w:type="spellEnd"/>
      <w:r w:rsidRPr="00321A6D">
        <w:rPr>
          <w:highlight w:val="lightGray"/>
        </w:rPr>
        <w:t xml:space="preserve"> is used to identify a cell group. 0 identifies the master cell group. Other values identify secondary cell groups. In this version of the specification only values 0 and 1 are supported.</w:t>
      </w:r>
    </w:p>
    <w:p w14:paraId="37CDE817" w14:textId="6CADE7FD" w:rsidR="000F56E4" w:rsidRPr="00321A6D" w:rsidRDefault="00321A6D" w:rsidP="00321A6D">
      <w:r w:rsidRPr="00321A6D">
        <w:t xml:space="preserve">This would </w:t>
      </w:r>
      <w:r>
        <w:t xml:space="preserve">require the target cell group id to be changed to 0 during the role switch procedure. However, it is not possible to change the cell group id to 0 without releasing the target cell (SCG) first and then performing an Inter-Master node handover to the target cell, which results in mobility interruption. </w:t>
      </w:r>
      <w:r w:rsidR="00FD2E0C">
        <w:t xml:space="preserve">To provide flexibility and seamless role switch procedure, standards should </w:t>
      </w:r>
      <w:r>
        <w:t>remove restriction on the master cell group to be 0 always and allow any cell group id to be assigned as the master cell group Id</w:t>
      </w:r>
      <w:r w:rsidR="000F56E4" w:rsidRPr="00E25F90">
        <w:t xml:space="preserve">. </w:t>
      </w:r>
    </w:p>
    <w:p w14:paraId="704BE358" w14:textId="0A02FB77" w:rsidR="00FD3ACB" w:rsidRDefault="00FD3ACB" w:rsidP="00321A6D">
      <w:pPr>
        <w:spacing w:after="0"/>
        <w:rPr>
          <w:b/>
          <w:iCs/>
        </w:rPr>
      </w:pPr>
      <w:bookmarkStart w:id="9" w:name="_Ref536803017"/>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Pr>
          <w:b/>
          <w:iCs/>
          <w:noProof/>
        </w:rPr>
        <w:t>5</w:t>
      </w:r>
      <w:r w:rsidRPr="00FD3ACB">
        <w:rPr>
          <w:b/>
          <w:iCs/>
        </w:rPr>
        <w:fldChar w:fldCharType="end"/>
      </w:r>
      <w:r w:rsidRPr="00FD3ACB">
        <w:rPr>
          <w:b/>
          <w:iCs/>
        </w:rPr>
        <w:t>. Remove restrictions on the Master Cell Group Id to be 0 always and allow flexibility to configure any Cell Group Id to be the Master Cell Group.</w:t>
      </w:r>
      <w:bookmarkEnd w:id="9"/>
    </w:p>
    <w:p w14:paraId="2F75C3B2" w14:textId="77777777" w:rsidR="00321A6D" w:rsidRPr="00321A6D" w:rsidRDefault="00321A6D" w:rsidP="00321A6D">
      <w:pPr>
        <w:spacing w:after="0"/>
        <w:rPr>
          <w:b/>
          <w:iCs/>
        </w:rPr>
      </w:pPr>
    </w:p>
    <w:p w14:paraId="14FD7CD5" w14:textId="5B7E34EF" w:rsidR="005F3978" w:rsidRPr="00321A6D" w:rsidRDefault="00321A6D" w:rsidP="00321A6D">
      <w:pPr>
        <w:pStyle w:val="Heading2"/>
        <w:spacing w:before="40" w:after="0"/>
        <w:ind w:left="720" w:hanging="720"/>
        <w:rPr>
          <w:rFonts w:cs="Arial"/>
          <w:sz w:val="28"/>
          <w:szCs w:val="36"/>
          <w:lang w:eastAsia="ja-JP"/>
        </w:rPr>
      </w:pPr>
      <w:r>
        <w:rPr>
          <w:rFonts w:cs="Arial"/>
          <w:sz w:val="28"/>
          <w:szCs w:val="36"/>
          <w:lang w:eastAsia="ja-JP"/>
        </w:rPr>
        <w:t xml:space="preserve">2.3 </w:t>
      </w:r>
      <w:r w:rsidR="005F3978" w:rsidRPr="00321A6D">
        <w:rPr>
          <w:rFonts w:cs="Arial"/>
          <w:sz w:val="28"/>
          <w:szCs w:val="36"/>
          <w:lang w:eastAsia="ja-JP"/>
        </w:rPr>
        <w:t xml:space="preserve">SRB/DRB </w:t>
      </w:r>
      <w:r w:rsidRPr="00321A6D">
        <w:rPr>
          <w:rFonts w:cs="Arial"/>
          <w:sz w:val="28"/>
          <w:szCs w:val="36"/>
          <w:lang w:eastAsia="ja-JP"/>
        </w:rPr>
        <w:t>handling</w:t>
      </w:r>
      <w:r w:rsidR="003E2A84">
        <w:rPr>
          <w:rFonts w:cs="Arial"/>
          <w:sz w:val="28"/>
          <w:szCs w:val="36"/>
          <w:lang w:eastAsia="ja-JP"/>
        </w:rPr>
        <w:t xml:space="preserve"> during DCRS based HO</w:t>
      </w:r>
    </w:p>
    <w:p w14:paraId="044FDA6E" w14:textId="578A34AF" w:rsidR="001D03F5" w:rsidRPr="00FD3ACB" w:rsidRDefault="005F3978" w:rsidP="00321A6D">
      <w:pPr>
        <w:overflowPunct w:val="0"/>
        <w:autoSpaceDE w:val="0"/>
        <w:autoSpaceDN w:val="0"/>
        <w:adjustRightInd w:val="0"/>
        <w:textAlignment w:val="baseline"/>
      </w:pPr>
      <w:r>
        <w:t xml:space="preserve">NR-DC supports </w:t>
      </w:r>
      <w:r w:rsidR="00321A6D">
        <w:t xml:space="preserve">different bearer types and bearer </w:t>
      </w:r>
      <w:r w:rsidR="001462CC">
        <w:t xml:space="preserve">type </w:t>
      </w:r>
      <w:r w:rsidR="00321A6D">
        <w:t>change</w:t>
      </w:r>
      <w:r w:rsidR="00EA3744">
        <w:t>. It also provides</w:t>
      </w:r>
      <w:r>
        <w:t xml:space="preserve"> </w:t>
      </w:r>
      <w:r w:rsidR="00EA3744">
        <w:t>the</w:t>
      </w:r>
      <w:r>
        <w:t xml:space="preserve"> flexibility to duplicate or selectively transmit on either link. We think th</w:t>
      </w:r>
      <w:r w:rsidR="008D7DE3">
        <w:t>e</w:t>
      </w:r>
      <w:r>
        <w:t xml:space="preserve"> existing NR-DC</w:t>
      </w:r>
      <w:r w:rsidR="00321A6D">
        <w:t xml:space="preserve"> bearer</w:t>
      </w:r>
      <w:r>
        <w:t xml:space="preserve"> handling is </w:t>
      </w:r>
      <w:proofErr w:type="gramStart"/>
      <w:r>
        <w:t>sufficient</w:t>
      </w:r>
      <w:proofErr w:type="gramEnd"/>
      <w:r>
        <w:t xml:space="preserve"> and no special handling is necessary to support DCRS based HO. </w:t>
      </w:r>
    </w:p>
    <w:p w14:paraId="3FD6BA0A" w14:textId="6EEE7875" w:rsidR="005A24DE" w:rsidRPr="00B433B9" w:rsidRDefault="000E6191" w:rsidP="005A24DE">
      <w:pPr>
        <w:rPr>
          <w:b/>
          <w:iCs/>
        </w:rPr>
      </w:pPr>
      <w:bookmarkStart w:id="10" w:name="_Ref536803013"/>
      <w:r w:rsidRPr="007D7A1A">
        <w:rPr>
          <w:b/>
          <w:iCs/>
        </w:rPr>
        <w:t xml:space="preserve">Observation </w:t>
      </w:r>
      <w:r w:rsidRPr="007D7A1A">
        <w:rPr>
          <w:b/>
          <w:iCs/>
        </w:rPr>
        <w:fldChar w:fldCharType="begin"/>
      </w:r>
      <w:r w:rsidRPr="007D7A1A">
        <w:rPr>
          <w:b/>
          <w:iCs/>
        </w:rPr>
        <w:instrText xml:space="preserve"> SEQ Observation \* ARABIC </w:instrText>
      </w:r>
      <w:r w:rsidRPr="007D7A1A">
        <w:rPr>
          <w:b/>
          <w:iCs/>
        </w:rPr>
        <w:fldChar w:fldCharType="separate"/>
      </w:r>
      <w:r w:rsidR="007A5E52">
        <w:rPr>
          <w:b/>
          <w:iCs/>
          <w:noProof/>
        </w:rPr>
        <w:t>5</w:t>
      </w:r>
      <w:r w:rsidRPr="007D7A1A">
        <w:rPr>
          <w:b/>
          <w:iCs/>
        </w:rPr>
        <w:fldChar w:fldCharType="end"/>
      </w:r>
      <w:r w:rsidRPr="007D7A1A">
        <w:rPr>
          <w:b/>
          <w:iCs/>
        </w:rPr>
        <w:t xml:space="preserve">. </w:t>
      </w:r>
      <w:r w:rsidRPr="009D05E0">
        <w:rPr>
          <w:b/>
          <w:iCs/>
        </w:rPr>
        <w:t xml:space="preserve">RRC Configuration/SRB/DRB handling </w:t>
      </w:r>
      <w:r w:rsidRPr="007D7A1A">
        <w:rPr>
          <w:b/>
          <w:iCs/>
        </w:rPr>
        <w:t>when more than one connection is active is already defined as part of</w:t>
      </w:r>
      <w:r w:rsidRPr="009D05E0">
        <w:rPr>
          <w:b/>
          <w:iCs/>
        </w:rPr>
        <w:t xml:space="preserve"> MR-D</w:t>
      </w:r>
      <w:r w:rsidRPr="007D7A1A">
        <w:rPr>
          <w:b/>
          <w:iCs/>
        </w:rPr>
        <w:t xml:space="preserve">C, and, </w:t>
      </w:r>
      <w:r>
        <w:rPr>
          <w:b/>
          <w:iCs/>
        </w:rPr>
        <w:t>can be applied</w:t>
      </w:r>
      <w:r w:rsidRPr="007D7A1A">
        <w:rPr>
          <w:b/>
          <w:iCs/>
        </w:rPr>
        <w:t xml:space="preserve"> for DCRS based HO</w:t>
      </w:r>
      <w:r>
        <w:rPr>
          <w:b/>
          <w:iCs/>
        </w:rPr>
        <w:t>.</w:t>
      </w:r>
      <w:bookmarkEnd w:id="10"/>
    </w:p>
    <w:p w14:paraId="2BABD572" w14:textId="77777777" w:rsidR="005A24DE" w:rsidRDefault="005A24DE" w:rsidP="005A24DE">
      <w:pPr>
        <w:pStyle w:val="Heading1"/>
      </w:pPr>
      <w:r>
        <w:t>3. Conclusion</w:t>
      </w:r>
    </w:p>
    <w:p w14:paraId="7A2838A6" w14:textId="77777777" w:rsidR="005A24DE" w:rsidRDefault="005A24DE" w:rsidP="005A24DE">
      <w:pPr>
        <w:spacing w:before="120" w:after="0"/>
      </w:pPr>
      <w:bookmarkStart w:id="11" w:name="_Hlk512894710"/>
      <w:r>
        <w:t>Based on the above discussions, we recommend RAN2 discusses the following observations and proposals:</w:t>
      </w:r>
      <w:bookmarkEnd w:id="11"/>
    </w:p>
    <w:p w14:paraId="74122805" w14:textId="406830ED" w:rsidR="005A24DE" w:rsidRPr="007C66D6" w:rsidRDefault="007C66D6" w:rsidP="005A24DE">
      <w:pPr>
        <w:spacing w:before="120" w:after="0"/>
      </w:pPr>
      <w:r w:rsidRPr="007C66D6">
        <w:fldChar w:fldCharType="begin"/>
      </w:r>
      <w:r w:rsidRPr="007C66D6">
        <w:instrText xml:space="preserve"> REF _Ref536803009 \h  \* MERGEFORMAT </w:instrText>
      </w:r>
      <w:r w:rsidRPr="007C66D6">
        <w:fldChar w:fldCharType="separate"/>
      </w:r>
      <w:r w:rsidR="003E2A84" w:rsidRPr="009D05E0">
        <w:rPr>
          <w:b/>
        </w:rPr>
        <w:t xml:space="preserve">Observation </w:t>
      </w:r>
      <w:r w:rsidR="003E2A84">
        <w:rPr>
          <w:b/>
          <w:noProof/>
        </w:rPr>
        <w:t>1</w:t>
      </w:r>
      <w:r w:rsidR="003E2A84" w:rsidRPr="009D05E0">
        <w:rPr>
          <w:b/>
          <w:noProof/>
        </w:rPr>
        <w:t>.</w:t>
      </w:r>
      <w:r w:rsidR="003E2A84">
        <w:rPr>
          <w:b/>
        </w:rPr>
        <w:t xml:space="preserve"> O</w:t>
      </w:r>
      <w:r w:rsidR="003E2A84" w:rsidRPr="009D05E0">
        <w:rPr>
          <w:b/>
        </w:rPr>
        <w:t xml:space="preserve">ne possible solution </w:t>
      </w:r>
      <w:r w:rsidR="003E2A84">
        <w:rPr>
          <w:b/>
        </w:rPr>
        <w:t>to support</w:t>
      </w:r>
      <w:r w:rsidR="003E2A84" w:rsidRPr="009D05E0">
        <w:rPr>
          <w:b/>
        </w:rPr>
        <w:t xml:space="preserve"> simultaneous connectivity during handover </w:t>
      </w:r>
      <w:r w:rsidR="003E2A84">
        <w:rPr>
          <w:b/>
        </w:rPr>
        <w:t>is to use</w:t>
      </w:r>
      <w:r w:rsidR="003E2A84" w:rsidRPr="009D05E0">
        <w:rPr>
          <w:b/>
        </w:rPr>
        <w:t xml:space="preserve"> the Dual Connectivity feature with Role Switch (i.e. MN change via role switch of SCG to MCG) during handover (DCRS based HO)</w:t>
      </w:r>
      <w:r w:rsidR="003E2A84">
        <w:rPr>
          <w:b/>
        </w:rPr>
        <w:t>.</w:t>
      </w:r>
      <w:r w:rsidRPr="007C66D6">
        <w:fldChar w:fldCharType="end"/>
      </w:r>
    </w:p>
    <w:p w14:paraId="7F75033F" w14:textId="713E8233" w:rsidR="007C66D6" w:rsidRPr="007C66D6" w:rsidRDefault="007C66D6" w:rsidP="005A24DE">
      <w:pPr>
        <w:spacing w:before="120" w:after="0"/>
      </w:pPr>
      <w:r w:rsidRPr="007C66D6">
        <w:fldChar w:fldCharType="begin"/>
      </w:r>
      <w:r w:rsidRPr="007C66D6">
        <w:instrText xml:space="preserve"> REF _Ref536803010 \h  \* MERGEFORMAT </w:instrText>
      </w:r>
      <w:r w:rsidRPr="007C66D6">
        <w:fldChar w:fldCharType="separate"/>
      </w:r>
      <w:r w:rsidR="00FD3ACB" w:rsidRPr="000D3B3D">
        <w:rPr>
          <w:b/>
        </w:rPr>
        <w:t xml:space="preserve">Observation </w:t>
      </w:r>
      <w:r w:rsidR="00FD3ACB">
        <w:rPr>
          <w:b/>
          <w:noProof/>
        </w:rPr>
        <w:t>2</w:t>
      </w:r>
      <w:r w:rsidR="00FD3ACB" w:rsidRPr="000D3B3D">
        <w:rPr>
          <w:b/>
          <w:noProof/>
        </w:rPr>
        <w:t>.</w:t>
      </w:r>
      <w:r w:rsidR="00FD3ACB" w:rsidRPr="000D3B3D">
        <w:rPr>
          <w:b/>
        </w:rPr>
        <w:t xml:space="preserve"> In</w:t>
      </w:r>
      <w:r w:rsidR="00FD3ACB">
        <w:rPr>
          <w:b/>
        </w:rPr>
        <w:t xml:space="preserve"> NR</w:t>
      </w:r>
      <w:r w:rsidR="00FD3ACB" w:rsidRPr="000D3B3D">
        <w:rPr>
          <w:b/>
        </w:rPr>
        <w:t xml:space="preserve"> Rel.15</w:t>
      </w:r>
      <w:r w:rsidR="00FD3ACB">
        <w:rPr>
          <w:b/>
        </w:rPr>
        <w:t xml:space="preserve">, </w:t>
      </w:r>
      <w:r w:rsidR="00FD3ACB" w:rsidRPr="000D3B3D">
        <w:rPr>
          <w:b/>
        </w:rPr>
        <w:t>NR-DC is supported only</w:t>
      </w:r>
      <w:r w:rsidR="00FD3ACB">
        <w:rPr>
          <w:b/>
        </w:rPr>
        <w:t xml:space="preserve"> for </w:t>
      </w:r>
      <w:r w:rsidR="00FD3ACB" w:rsidRPr="000D3B3D">
        <w:rPr>
          <w:b/>
        </w:rPr>
        <w:t>Inter-Freq DC.</w:t>
      </w:r>
      <w:r w:rsidRPr="007C66D6">
        <w:fldChar w:fldCharType="end"/>
      </w:r>
    </w:p>
    <w:p w14:paraId="3884F2F7" w14:textId="4FEE422C" w:rsidR="007C66D6" w:rsidRPr="007C66D6" w:rsidRDefault="007C66D6" w:rsidP="005A24DE">
      <w:pPr>
        <w:spacing w:before="120" w:after="0"/>
      </w:pPr>
      <w:r w:rsidRPr="007C66D6">
        <w:fldChar w:fldCharType="begin"/>
      </w:r>
      <w:r w:rsidRPr="007C66D6">
        <w:instrText xml:space="preserve"> REF _Ref536803011 \h  \* MERGEFORMAT </w:instrText>
      </w:r>
      <w:r w:rsidRPr="007C66D6">
        <w:fldChar w:fldCharType="separate"/>
      </w:r>
      <w:r w:rsidR="00FD3ACB" w:rsidRPr="000E6191">
        <w:rPr>
          <w:b/>
          <w:iCs/>
        </w:rPr>
        <w:t xml:space="preserve">Observation </w:t>
      </w:r>
      <w:r w:rsidR="00FD3ACB">
        <w:rPr>
          <w:b/>
          <w:iCs/>
          <w:noProof/>
        </w:rPr>
        <w:t>3</w:t>
      </w:r>
      <w:r w:rsidR="00FD3ACB" w:rsidRPr="000E6191">
        <w:rPr>
          <w:b/>
          <w:iCs/>
          <w:noProof/>
        </w:rPr>
        <w:t>.</w:t>
      </w:r>
      <w:r w:rsidR="00FD3ACB" w:rsidRPr="000E6191">
        <w:rPr>
          <w:b/>
          <w:iCs/>
        </w:rPr>
        <w:t xml:space="preserve"> </w:t>
      </w:r>
      <w:r w:rsidR="00FD3ACB">
        <w:rPr>
          <w:b/>
          <w:iCs/>
        </w:rPr>
        <w:t xml:space="preserve">Switching the role of SCG to MCG using the </w:t>
      </w:r>
      <w:r w:rsidR="00FD3ACB" w:rsidRPr="000E6191">
        <w:rPr>
          <w:b/>
          <w:iCs/>
        </w:rPr>
        <w:t>Rel.15 MR-DC</w:t>
      </w:r>
      <w:r w:rsidR="00FD3ACB">
        <w:rPr>
          <w:b/>
          <w:iCs/>
        </w:rPr>
        <w:t xml:space="preserve"> procedures requires releasing the SCG and then performing an Inter-Master node handover to the target cell, which results in mobility interruption.</w:t>
      </w:r>
      <w:r w:rsidRPr="007C66D6">
        <w:fldChar w:fldCharType="end"/>
      </w:r>
    </w:p>
    <w:p w14:paraId="25996AF3" w14:textId="44A42908" w:rsidR="007C66D6" w:rsidRPr="007C66D6" w:rsidRDefault="007C66D6" w:rsidP="005A24DE">
      <w:pPr>
        <w:spacing w:before="120" w:after="0"/>
      </w:pPr>
      <w:r w:rsidRPr="007C66D6">
        <w:fldChar w:fldCharType="begin"/>
      </w:r>
      <w:r w:rsidRPr="007C66D6">
        <w:instrText xml:space="preserve"> REF _Ref536803012 \h  \* MERGEFORMAT </w:instrText>
      </w:r>
      <w:r w:rsidRPr="007C66D6">
        <w:fldChar w:fldCharType="separate"/>
      </w:r>
      <w:r w:rsidR="00FD3ACB" w:rsidRPr="007A5E52">
        <w:rPr>
          <w:b/>
        </w:rPr>
        <w:t xml:space="preserve">Observation </w:t>
      </w:r>
      <w:r w:rsidR="00FD3ACB">
        <w:rPr>
          <w:b/>
          <w:noProof/>
        </w:rPr>
        <w:t>4</w:t>
      </w:r>
      <w:r w:rsidR="00FD3ACB" w:rsidRPr="007A5E52">
        <w:rPr>
          <w:b/>
          <w:noProof/>
        </w:rPr>
        <w:t>.</w:t>
      </w:r>
      <w:r w:rsidR="00FD3ACB">
        <w:t xml:space="preserve"> </w:t>
      </w:r>
      <w:r w:rsidR="00FD3ACB" w:rsidRPr="007A5E52">
        <w:rPr>
          <w:b/>
        </w:rPr>
        <w:t>Optimizing the role switch procedure is necessary to eliminate interruption due to role switch during the DCRS based HO.</w:t>
      </w:r>
      <w:r w:rsidRPr="007C66D6">
        <w:fldChar w:fldCharType="end"/>
      </w:r>
    </w:p>
    <w:p w14:paraId="075CEB99" w14:textId="75A1D03F" w:rsidR="007C66D6" w:rsidRPr="007C66D6" w:rsidRDefault="007C66D6" w:rsidP="005A24DE">
      <w:pPr>
        <w:spacing w:before="120" w:after="0"/>
      </w:pPr>
      <w:r w:rsidRPr="007C66D6">
        <w:fldChar w:fldCharType="begin"/>
      </w:r>
      <w:r w:rsidRPr="007C66D6">
        <w:instrText xml:space="preserve"> REF _Ref536803013 \h  \* MERGEFORMAT </w:instrText>
      </w:r>
      <w:r w:rsidRPr="007C66D6">
        <w:fldChar w:fldCharType="separate"/>
      </w:r>
      <w:r w:rsidR="00FD3ACB" w:rsidRPr="007D7A1A">
        <w:rPr>
          <w:b/>
          <w:iCs/>
        </w:rPr>
        <w:t xml:space="preserve">Observation </w:t>
      </w:r>
      <w:r w:rsidR="00FD3ACB">
        <w:rPr>
          <w:b/>
          <w:iCs/>
          <w:noProof/>
        </w:rPr>
        <w:t>5</w:t>
      </w:r>
      <w:r w:rsidR="00FD3ACB" w:rsidRPr="007D7A1A">
        <w:rPr>
          <w:b/>
          <w:iCs/>
          <w:noProof/>
        </w:rPr>
        <w:t>.</w:t>
      </w:r>
      <w:r w:rsidR="00FD3ACB" w:rsidRPr="007D7A1A">
        <w:rPr>
          <w:b/>
          <w:iCs/>
        </w:rPr>
        <w:t xml:space="preserve"> </w:t>
      </w:r>
      <w:r w:rsidR="00FD3ACB" w:rsidRPr="009D05E0">
        <w:rPr>
          <w:b/>
          <w:iCs/>
        </w:rPr>
        <w:t xml:space="preserve">RRC Configuration/SRB/DRB handling </w:t>
      </w:r>
      <w:r w:rsidR="00FD3ACB" w:rsidRPr="007D7A1A">
        <w:rPr>
          <w:b/>
          <w:iCs/>
        </w:rPr>
        <w:t>when more than one connection is active is already defined as part of</w:t>
      </w:r>
      <w:r w:rsidR="00FD3ACB" w:rsidRPr="009D05E0">
        <w:rPr>
          <w:b/>
          <w:iCs/>
        </w:rPr>
        <w:t xml:space="preserve"> MR-D</w:t>
      </w:r>
      <w:r w:rsidR="00FD3ACB" w:rsidRPr="007D7A1A">
        <w:rPr>
          <w:b/>
          <w:iCs/>
        </w:rPr>
        <w:t xml:space="preserve">C, and, </w:t>
      </w:r>
      <w:r w:rsidR="00FD3ACB">
        <w:rPr>
          <w:b/>
          <w:iCs/>
        </w:rPr>
        <w:t>can be applied</w:t>
      </w:r>
      <w:r w:rsidR="00FD3ACB" w:rsidRPr="007D7A1A">
        <w:rPr>
          <w:b/>
          <w:iCs/>
        </w:rPr>
        <w:t xml:space="preserve"> for DCRS based HO</w:t>
      </w:r>
      <w:r w:rsidR="00FD3ACB">
        <w:rPr>
          <w:b/>
          <w:iCs/>
        </w:rPr>
        <w:t>.</w:t>
      </w:r>
      <w:r w:rsidRPr="007C66D6">
        <w:fldChar w:fldCharType="end"/>
      </w:r>
    </w:p>
    <w:p w14:paraId="4E5C9B2C" w14:textId="4B03D34B" w:rsidR="007C66D6" w:rsidRPr="007C66D6" w:rsidRDefault="007C66D6" w:rsidP="005A24DE">
      <w:pPr>
        <w:spacing w:before="120" w:after="0"/>
      </w:pPr>
      <w:r w:rsidRPr="007C66D6">
        <w:fldChar w:fldCharType="begin"/>
      </w:r>
      <w:r w:rsidRPr="007C66D6">
        <w:instrText xml:space="preserve"> REF _Ref536803014 \h  \* MERGEFORMAT </w:instrText>
      </w:r>
      <w:r w:rsidRPr="007C66D6">
        <w:fldChar w:fldCharType="separate"/>
      </w:r>
      <w:r w:rsidR="00FD3ACB" w:rsidRPr="000D3B3D">
        <w:rPr>
          <w:b/>
        </w:rPr>
        <w:t>Proposal 1</w:t>
      </w:r>
      <w:r w:rsidR="00FD3ACB">
        <w:rPr>
          <w:b/>
        </w:rPr>
        <w:t>.</w:t>
      </w:r>
      <w:r w:rsidR="00FD3ACB" w:rsidRPr="001A207B">
        <w:rPr>
          <w:b/>
        </w:rPr>
        <w:t xml:space="preserve"> Support DCRS based HO only to perform Inter-Freq HO.</w:t>
      </w:r>
      <w:r w:rsidRPr="007C66D6">
        <w:fldChar w:fldCharType="end"/>
      </w:r>
    </w:p>
    <w:p w14:paraId="7A026170" w14:textId="1DD1EDDE" w:rsidR="007C66D6" w:rsidRPr="007C66D6" w:rsidRDefault="007C66D6" w:rsidP="005A24DE">
      <w:pPr>
        <w:spacing w:before="120" w:after="0"/>
      </w:pPr>
      <w:r w:rsidRPr="007C66D6">
        <w:fldChar w:fldCharType="begin"/>
      </w:r>
      <w:r w:rsidRPr="007C66D6">
        <w:instrText xml:space="preserve"> REF _Ref536803015 \h  \* MERGEFORMAT </w:instrText>
      </w:r>
      <w:r w:rsidRPr="007C66D6">
        <w:fldChar w:fldCharType="separate"/>
      </w:r>
      <w:r w:rsidR="00FD3ACB" w:rsidRPr="00FD3ACB">
        <w:rPr>
          <w:b/>
          <w:iCs/>
        </w:rPr>
        <w:t xml:space="preserve">Proposal </w:t>
      </w:r>
      <w:r w:rsidR="00FD3ACB" w:rsidRPr="00FD3ACB">
        <w:rPr>
          <w:b/>
          <w:iCs/>
          <w:noProof/>
        </w:rPr>
        <w:t>2.</w:t>
      </w:r>
      <w:r w:rsidR="00FD3ACB" w:rsidRPr="00FD3ACB">
        <w:rPr>
          <w:b/>
          <w:iCs/>
        </w:rPr>
        <w:t xml:space="preserve"> When the condition for handover preparation is met, Source cell requests the UE to add target cell as SCG and indicates the UE to support</w:t>
      </w:r>
      <w:r w:rsidR="00FD3ACB">
        <w:t xml:space="preserve"> </w:t>
      </w:r>
      <w:r w:rsidR="00FD3ACB" w:rsidRPr="00FD3ACB">
        <w:rPr>
          <w:b/>
          <w:iCs/>
        </w:rPr>
        <w:t>‘</w:t>
      </w:r>
      <w:proofErr w:type="spellStart"/>
      <w:r w:rsidR="00FD3ACB" w:rsidRPr="00FD3ACB">
        <w:rPr>
          <w:b/>
          <w:iCs/>
        </w:rPr>
        <w:t>dcrs</w:t>
      </w:r>
      <w:proofErr w:type="spellEnd"/>
      <w:r w:rsidR="00FD3ACB" w:rsidRPr="00FD3ACB">
        <w:rPr>
          <w:b/>
          <w:iCs/>
        </w:rPr>
        <w:t>-based-HO’ via the RRC reconfiguration sent to the UE</w:t>
      </w:r>
      <w:r w:rsidRPr="007C66D6">
        <w:fldChar w:fldCharType="end"/>
      </w:r>
      <w:r w:rsidRPr="007C66D6">
        <w:t>.</w:t>
      </w:r>
    </w:p>
    <w:p w14:paraId="07DCA6D7" w14:textId="383271CF" w:rsidR="007C66D6" w:rsidRPr="007C66D6" w:rsidRDefault="007C66D6" w:rsidP="005A24DE">
      <w:pPr>
        <w:spacing w:before="120" w:after="0"/>
      </w:pPr>
      <w:r w:rsidRPr="007C66D6">
        <w:lastRenderedPageBreak/>
        <w:fldChar w:fldCharType="begin"/>
      </w:r>
      <w:r w:rsidRPr="007C66D6">
        <w:instrText xml:space="preserve"> REF _Ref536803016 \h  \* MERGEFORMAT </w:instrText>
      </w:r>
      <w:r w:rsidRPr="007C66D6">
        <w:fldChar w:fldCharType="separate"/>
      </w:r>
      <w:r w:rsidR="00FD3ACB" w:rsidRPr="00F711AB">
        <w:rPr>
          <w:b/>
          <w:iCs/>
        </w:rPr>
        <w:t xml:space="preserve">Proposal </w:t>
      </w:r>
      <w:r w:rsidR="00FD3ACB">
        <w:rPr>
          <w:b/>
          <w:iCs/>
          <w:noProof/>
        </w:rPr>
        <w:t>3</w:t>
      </w:r>
      <w:r w:rsidR="00FD3ACB" w:rsidRPr="00F711AB">
        <w:rPr>
          <w:b/>
          <w:iCs/>
          <w:noProof/>
        </w:rPr>
        <w:t>.</w:t>
      </w:r>
      <w:r w:rsidR="00FD3ACB" w:rsidRPr="00F711AB">
        <w:rPr>
          <w:b/>
          <w:iCs/>
        </w:rPr>
        <w:t xml:space="preserve"> Support the below procedures as part of the role switch procedure during DCRS based HO:</w:t>
      </w:r>
      <w:r w:rsidRPr="007C66D6">
        <w:fldChar w:fldCharType="end"/>
      </w:r>
    </w:p>
    <w:p w14:paraId="6B95E48B" w14:textId="77777777" w:rsidR="007C66D6" w:rsidRPr="007C66D6" w:rsidRDefault="007C66D6" w:rsidP="007C66D6">
      <w:pPr>
        <w:pStyle w:val="ListParagraph"/>
        <w:numPr>
          <w:ilvl w:val="0"/>
          <w:numId w:val="7"/>
        </w:numPr>
        <w:spacing w:after="0"/>
        <w:rPr>
          <w:b/>
          <w:iCs/>
        </w:rPr>
      </w:pPr>
      <w:r w:rsidRPr="007C66D6">
        <w:rPr>
          <w:b/>
          <w:iCs/>
        </w:rPr>
        <w:t>On receiving the RRC Reconfiguration complete message (in response to configuration of target cell as SCG) from UE, source cell coordinates with target cell on Role Switch support and initiate data forwarding/PDCP SN status transfer.</w:t>
      </w:r>
    </w:p>
    <w:p w14:paraId="443CCD1F" w14:textId="331C76EF" w:rsidR="007C66D6" w:rsidRPr="007C66D6" w:rsidRDefault="007C66D6" w:rsidP="007C66D6">
      <w:pPr>
        <w:pStyle w:val="ListParagraph"/>
        <w:numPr>
          <w:ilvl w:val="0"/>
          <w:numId w:val="7"/>
        </w:numPr>
        <w:spacing w:after="0"/>
        <w:rPr>
          <w:b/>
          <w:iCs/>
        </w:rPr>
      </w:pPr>
      <w:r w:rsidRPr="007C66D6">
        <w:rPr>
          <w:b/>
          <w:iCs/>
        </w:rPr>
        <w:t>On completion of Role Switch coordination, source cell indicates the UE to</w:t>
      </w:r>
      <w:r w:rsidRPr="007C66D6">
        <w:rPr>
          <w:rFonts w:eastAsia="Times New Roman"/>
          <w:b/>
        </w:rPr>
        <w:t xml:space="preserve"> perform role switch of SCG (target cell) to MCG via the RRC Reconfiguration message.</w:t>
      </w:r>
    </w:p>
    <w:p w14:paraId="78168049" w14:textId="628E43F4" w:rsidR="007C66D6" w:rsidRDefault="007C66D6" w:rsidP="005A24DE">
      <w:pPr>
        <w:spacing w:before="120" w:after="0"/>
      </w:pPr>
      <w:r w:rsidRPr="007C66D6">
        <w:fldChar w:fldCharType="begin"/>
      </w:r>
      <w:r w:rsidRPr="007C66D6">
        <w:instrText xml:space="preserve"> REF _Ref536803018 \h  \* MERGEFORMAT </w:instrText>
      </w:r>
      <w:r w:rsidRPr="007C66D6">
        <w:fldChar w:fldCharType="separate"/>
      </w:r>
      <w:r w:rsidR="00FD3ACB" w:rsidRPr="00FD3ACB">
        <w:rPr>
          <w:b/>
          <w:iCs/>
        </w:rPr>
        <w:t xml:space="preserve">Proposal </w:t>
      </w:r>
      <w:r w:rsidR="00FD3ACB">
        <w:rPr>
          <w:b/>
          <w:iCs/>
          <w:noProof/>
        </w:rPr>
        <w:t>4</w:t>
      </w:r>
      <w:r w:rsidR="00FD3ACB" w:rsidRPr="00FD3ACB">
        <w:rPr>
          <w:b/>
          <w:iCs/>
          <w:noProof/>
        </w:rPr>
        <w:t>.</w:t>
      </w:r>
      <w:r w:rsidR="00FD3ACB" w:rsidRPr="00FD3ACB">
        <w:rPr>
          <w:b/>
          <w:iCs/>
        </w:rPr>
        <w:t xml:space="preserve"> On receiving RRC Reconfiguration complete message in response to the Role Switch related RRC Reconfiguration message during DCRS based HO, target cell indicates the release of source cell connection to the UE.</w:t>
      </w:r>
      <w:r w:rsidRPr="007C66D6">
        <w:fldChar w:fldCharType="end"/>
      </w:r>
    </w:p>
    <w:p w14:paraId="06D1E5C0" w14:textId="6B9AB0ED" w:rsidR="00FD3ACB" w:rsidRPr="007C66D6" w:rsidRDefault="00FD3ACB" w:rsidP="005A24DE">
      <w:pPr>
        <w:spacing w:before="120" w:after="0"/>
      </w:pPr>
      <w:r w:rsidRPr="007C66D6">
        <w:fldChar w:fldCharType="begin"/>
      </w:r>
      <w:r w:rsidRPr="007C66D6">
        <w:instrText xml:space="preserve"> REF _Ref536803017 \h  \* MERGEFORMAT </w:instrText>
      </w:r>
      <w:r w:rsidRPr="007C66D6">
        <w:fldChar w:fldCharType="separate"/>
      </w:r>
      <w:r w:rsidRPr="00FD3ACB">
        <w:rPr>
          <w:b/>
          <w:iCs/>
        </w:rPr>
        <w:t xml:space="preserve">Proposal </w:t>
      </w:r>
      <w:r>
        <w:rPr>
          <w:b/>
          <w:iCs/>
          <w:noProof/>
        </w:rPr>
        <w:t>5</w:t>
      </w:r>
      <w:r w:rsidRPr="00FD3ACB">
        <w:rPr>
          <w:b/>
          <w:iCs/>
          <w:noProof/>
        </w:rPr>
        <w:t>.</w:t>
      </w:r>
      <w:r w:rsidRPr="00FD3ACB">
        <w:rPr>
          <w:b/>
          <w:iCs/>
        </w:rPr>
        <w:t xml:space="preserve"> Remove restrictions on the Master Cell Group Id to be 0 always and allow flexibility to configure any Cell Group Id to be the Master Cell Group.</w:t>
      </w:r>
      <w:r w:rsidRPr="007C66D6">
        <w:fldChar w:fldCharType="end"/>
      </w:r>
      <w:r w:rsidRPr="007C66D6">
        <w:t xml:space="preserve"> </w:t>
      </w:r>
    </w:p>
    <w:p w14:paraId="7796416C" w14:textId="3F93D75B" w:rsidR="005A24DE" w:rsidRDefault="003E2A84" w:rsidP="005A24DE">
      <w:pPr>
        <w:pStyle w:val="Heading1"/>
      </w:pPr>
      <w:r>
        <w:t xml:space="preserve">4. </w:t>
      </w:r>
      <w:r w:rsidR="005A24DE">
        <w:t>References</w:t>
      </w:r>
    </w:p>
    <w:p w14:paraId="7843BEF7" w14:textId="77777777" w:rsidR="005D2709" w:rsidRDefault="005A24DE" w:rsidP="005D2709">
      <w:pPr>
        <w:spacing w:after="0"/>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5F0D1B9" w14:textId="0D646F2C" w:rsidR="000F56E4" w:rsidRPr="005D2709" w:rsidRDefault="005A24DE" w:rsidP="005D2709">
      <w:pPr>
        <w:spacing w:after="0"/>
        <w:ind w:left="1350" w:hanging="1350"/>
        <w:rPr>
          <w:rFonts w:ascii="Arial" w:hAnsi="Arial" w:cs="Arial"/>
          <w:bCs/>
        </w:rPr>
      </w:pPr>
      <w:r w:rsidRPr="005D2709">
        <w:rPr>
          <w:rFonts w:ascii="Arial" w:hAnsi="Arial" w:cs="Arial"/>
          <w:bCs/>
        </w:rPr>
        <w:t xml:space="preserve">[2] </w:t>
      </w:r>
      <w:r w:rsidR="000F56E4" w:rsidRPr="005D2709">
        <w:rPr>
          <w:rFonts w:ascii="Arial" w:hAnsi="Arial" w:cs="Arial"/>
          <w:bCs/>
        </w:rPr>
        <w:t>TS 37.340 Evolved Universal Terrestrial Radio</w:t>
      </w:r>
      <w:r w:rsidR="005D2709">
        <w:rPr>
          <w:rFonts w:ascii="Arial" w:hAnsi="Arial" w:cs="Arial"/>
          <w:bCs/>
        </w:rPr>
        <w:t xml:space="preserve"> </w:t>
      </w:r>
      <w:r w:rsidR="000F56E4" w:rsidRPr="005D2709">
        <w:rPr>
          <w:rFonts w:ascii="Arial" w:hAnsi="Arial" w:cs="Arial"/>
          <w:bCs/>
        </w:rPr>
        <w:t>Access (E-UTRA) and NR; Multi-connectivity; Stage 2</w:t>
      </w:r>
    </w:p>
    <w:p w14:paraId="29098405" w14:textId="1B2A1488" w:rsidR="005D2709" w:rsidRDefault="007C66D6"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[3] </w:t>
      </w:r>
      <w:r w:rsidR="00D574A2" w:rsidRPr="00D574A2">
        <w:rPr>
          <w:rFonts w:eastAsia="Malgun Gothic" w:cs="Arial"/>
          <w:b w:val="0"/>
          <w:bCs/>
          <w:sz w:val="20"/>
          <w:lang w:eastAsia="en-US"/>
        </w:rPr>
        <w:t>R2-1908913</w:t>
      </w:r>
      <w:r w:rsidR="00D574A2" w:rsidRPr="00D574A2">
        <w:rPr>
          <w:rFonts w:eastAsia="Malgun Gothic" w:cs="Arial"/>
          <w:b w:val="0"/>
          <w:bCs/>
          <w:sz w:val="20"/>
          <w:lang w:eastAsia="en-US"/>
        </w:rPr>
        <w:t xml:space="preserve"> </w:t>
      </w:r>
      <w:bookmarkStart w:id="12" w:name="_GoBack"/>
      <w:bookmarkEnd w:id="12"/>
      <w:r w:rsidR="003E2A84" w:rsidRPr="003E2A84">
        <w:rPr>
          <w:rFonts w:eastAsia="Malgun Gothic" w:cs="Arial"/>
          <w:b w:val="0"/>
          <w:bCs/>
          <w:sz w:val="20"/>
          <w:lang w:eastAsia="en-US"/>
        </w:rPr>
        <w:t xml:space="preserve">User Plane changes to minimize the mobility interruption during Dual Connectivity Role </w:t>
      </w:r>
      <w:r w:rsidR="005D2709">
        <w:rPr>
          <w:rFonts w:eastAsia="Malgun Gothic" w:cs="Arial"/>
          <w:b w:val="0"/>
          <w:bCs/>
          <w:sz w:val="20"/>
          <w:lang w:eastAsia="en-US"/>
        </w:rPr>
        <w:t xml:space="preserve">   </w:t>
      </w:r>
    </w:p>
    <w:p w14:paraId="1B6B7782" w14:textId="0AFFBC30" w:rsidR="007C66D6" w:rsidRDefault="005D2709"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     </w:t>
      </w:r>
      <w:r w:rsidR="003E2A84" w:rsidRPr="003E2A84">
        <w:rPr>
          <w:rFonts w:eastAsia="Malgun Gothic" w:cs="Arial"/>
          <w:b w:val="0"/>
          <w:bCs/>
          <w:sz w:val="20"/>
          <w:lang w:eastAsia="en-US"/>
        </w:rPr>
        <w:t>Switch (DCRS) based HO</w:t>
      </w:r>
    </w:p>
    <w:p w14:paraId="2BBD1B52" w14:textId="593CBF89" w:rsidR="003E2A84" w:rsidRPr="000F56E4" w:rsidRDefault="003E2A84"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[4] </w:t>
      </w:r>
      <w:r w:rsidRPr="003E2A84">
        <w:rPr>
          <w:rFonts w:eastAsia="Malgun Gothic" w:cs="Arial"/>
          <w:b w:val="0"/>
          <w:bCs/>
          <w:sz w:val="20"/>
          <w:lang w:eastAsia="en-US"/>
        </w:rPr>
        <w:t>3GPP TS 38.331 V15.3.0 (2018-09)</w:t>
      </w:r>
      <w:r>
        <w:rPr>
          <w:rFonts w:eastAsia="Malgun Gothic" w:cs="Arial"/>
          <w:b w:val="0"/>
          <w:bCs/>
          <w:sz w:val="20"/>
          <w:lang w:eastAsia="en-US"/>
        </w:rPr>
        <w:t xml:space="preserve">, </w:t>
      </w:r>
      <w:r w:rsidRPr="003E2A84">
        <w:rPr>
          <w:rFonts w:eastAsia="Malgun Gothic" w:cs="Arial"/>
          <w:b w:val="0"/>
          <w:bCs/>
          <w:sz w:val="20"/>
          <w:lang w:eastAsia="en-US"/>
        </w:rPr>
        <w:t>Radio Resource Control (RRC) protocol specification</w:t>
      </w:r>
    </w:p>
    <w:p w14:paraId="1A88435F" w14:textId="24600CEC" w:rsidR="005A24DE" w:rsidRDefault="005A24DE" w:rsidP="005A24DE">
      <w:pPr>
        <w:ind w:left="1350" w:hanging="1350"/>
        <w:rPr>
          <w:rFonts w:ascii="Arial" w:hAnsi="Arial" w:cs="Arial"/>
          <w:bCs/>
        </w:rPr>
      </w:pPr>
    </w:p>
    <w:p w14:paraId="788D439D" w14:textId="77777777" w:rsidR="005A24DE" w:rsidRDefault="005A24DE" w:rsidP="005A24DE"/>
    <w:p w14:paraId="5E67CF66" w14:textId="77777777" w:rsidR="005A24DE" w:rsidRDefault="005A24DE" w:rsidP="005A24DE"/>
    <w:p w14:paraId="1D4C6307"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AF028" w14:textId="77777777" w:rsidR="00F40711" w:rsidRDefault="007C66D6">
      <w:pPr>
        <w:spacing w:after="0"/>
      </w:pPr>
      <w:r>
        <w:separator/>
      </w:r>
    </w:p>
  </w:endnote>
  <w:endnote w:type="continuationSeparator" w:id="0">
    <w:p w14:paraId="067467E4" w14:textId="77777777" w:rsidR="00F40711" w:rsidRDefault="007C6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C7583" w14:textId="77777777" w:rsidR="007F626A" w:rsidRDefault="000D3B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CDE68" w14:textId="77777777" w:rsidR="00F40711" w:rsidRDefault="007C66D6">
      <w:pPr>
        <w:spacing w:after="0"/>
      </w:pPr>
      <w:r>
        <w:separator/>
      </w:r>
    </w:p>
  </w:footnote>
  <w:footnote w:type="continuationSeparator" w:id="0">
    <w:p w14:paraId="4983623B" w14:textId="77777777" w:rsidR="00F40711" w:rsidRDefault="007C66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722"/>
    <w:multiLevelType w:val="hybridMultilevel"/>
    <w:tmpl w:val="FC64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6A00"/>
    <w:multiLevelType w:val="hybridMultilevel"/>
    <w:tmpl w:val="B32C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B748D"/>
    <w:multiLevelType w:val="hybridMultilevel"/>
    <w:tmpl w:val="2D0C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B3D0B"/>
    <w:multiLevelType w:val="hybridMultilevel"/>
    <w:tmpl w:val="C7BA9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353069"/>
    <w:multiLevelType w:val="hybridMultilevel"/>
    <w:tmpl w:val="8AA44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823A18"/>
    <w:multiLevelType w:val="hybridMultilevel"/>
    <w:tmpl w:val="DAF2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377E6"/>
    <w:multiLevelType w:val="hybridMultilevel"/>
    <w:tmpl w:val="0714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7C38D7"/>
    <w:multiLevelType w:val="hybridMultilevel"/>
    <w:tmpl w:val="C03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4"/>
  </w:num>
  <w:num w:numId="5">
    <w:abstractNumId w:val="3"/>
  </w:num>
  <w:num w:numId="6">
    <w:abstractNumId w:val="10"/>
  </w:num>
  <w:num w:numId="7">
    <w:abstractNumId w:val="11"/>
  </w:num>
  <w:num w:numId="8">
    <w:abstractNumId w:val="12"/>
  </w:num>
  <w:num w:numId="9">
    <w:abstractNumId w:val="6"/>
  </w:num>
  <w:num w:numId="10">
    <w:abstractNumId w:val="2"/>
  </w:num>
  <w:num w:numId="11">
    <w:abstractNumId w:val="5"/>
  </w:num>
  <w:num w:numId="12">
    <w:abstractNumId w:val="8"/>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4DE"/>
    <w:rsid w:val="000D3B3D"/>
    <w:rsid w:val="000E6191"/>
    <w:rsid w:val="000F56E4"/>
    <w:rsid w:val="001243D2"/>
    <w:rsid w:val="001462CC"/>
    <w:rsid w:val="001A207B"/>
    <w:rsid w:val="001C6B52"/>
    <w:rsid w:val="001D03F5"/>
    <w:rsid w:val="001F2356"/>
    <w:rsid w:val="002070FC"/>
    <w:rsid w:val="002E3A01"/>
    <w:rsid w:val="00313CC3"/>
    <w:rsid w:val="00321A6D"/>
    <w:rsid w:val="003E2A84"/>
    <w:rsid w:val="00412E17"/>
    <w:rsid w:val="00427A77"/>
    <w:rsid w:val="004469BA"/>
    <w:rsid w:val="004A03B4"/>
    <w:rsid w:val="004A1AD7"/>
    <w:rsid w:val="00515154"/>
    <w:rsid w:val="005A24DE"/>
    <w:rsid w:val="005D2709"/>
    <w:rsid w:val="005E053F"/>
    <w:rsid w:val="005F3978"/>
    <w:rsid w:val="00692D10"/>
    <w:rsid w:val="006F3FC7"/>
    <w:rsid w:val="006F61F3"/>
    <w:rsid w:val="007A5E52"/>
    <w:rsid w:val="007C66D6"/>
    <w:rsid w:val="007D7A1A"/>
    <w:rsid w:val="00837F8F"/>
    <w:rsid w:val="008C057F"/>
    <w:rsid w:val="008D7DE3"/>
    <w:rsid w:val="009D05E0"/>
    <w:rsid w:val="009D3DBF"/>
    <w:rsid w:val="009F376D"/>
    <w:rsid w:val="00A07079"/>
    <w:rsid w:val="00AA547F"/>
    <w:rsid w:val="00B433B9"/>
    <w:rsid w:val="00B67EC9"/>
    <w:rsid w:val="00BA4371"/>
    <w:rsid w:val="00C23A0E"/>
    <w:rsid w:val="00CC086C"/>
    <w:rsid w:val="00CC65B4"/>
    <w:rsid w:val="00D305DA"/>
    <w:rsid w:val="00D574A2"/>
    <w:rsid w:val="00D94E3C"/>
    <w:rsid w:val="00DB2A37"/>
    <w:rsid w:val="00DF4AAD"/>
    <w:rsid w:val="00DF6D90"/>
    <w:rsid w:val="00E03CE5"/>
    <w:rsid w:val="00E75BAC"/>
    <w:rsid w:val="00EA199E"/>
    <w:rsid w:val="00EA3744"/>
    <w:rsid w:val="00F40711"/>
    <w:rsid w:val="00F50865"/>
    <w:rsid w:val="00F604AD"/>
    <w:rsid w:val="00F711AB"/>
    <w:rsid w:val="00FD2E0C"/>
    <w:rsid w:val="00FD3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B07D8B"/>
  <w15:chartTrackingRefBased/>
  <w15:docId w15:val="{AE9A54BD-7115-4807-80B6-C7CC1054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4DE"/>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5A24D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FD3ACB"/>
    <w:pPr>
      <w:pBdr>
        <w:top w:val="none" w:sz="0" w:space="0" w:color="auto"/>
      </w:pBdr>
      <w:spacing w:before="180"/>
      <w:ind w:left="0" w:firstLine="0"/>
      <w:outlineLvl w:val="1"/>
    </w:pPr>
    <w:rPr>
      <w:sz w:val="32"/>
      <w:lang w:eastAsia="x-none"/>
    </w:rPr>
  </w:style>
  <w:style w:type="paragraph" w:styleId="Heading4">
    <w:name w:val="heading 4"/>
    <w:basedOn w:val="Normal"/>
    <w:next w:val="Normal"/>
    <w:link w:val="Heading4Char"/>
    <w:uiPriority w:val="9"/>
    <w:semiHidden/>
    <w:unhideWhenUsed/>
    <w:qFormat/>
    <w:rsid w:val="00321A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24DE"/>
    <w:rPr>
      <w:rFonts w:ascii="Arial" w:eastAsia="Malgun Gothic" w:hAnsi="Arial" w:cs="Times New Roman"/>
      <w:sz w:val="36"/>
      <w:szCs w:val="20"/>
      <w:lang w:val="en-GB"/>
    </w:rPr>
  </w:style>
  <w:style w:type="paragraph" w:styleId="Footer">
    <w:name w:val="footer"/>
    <w:basedOn w:val="Normal"/>
    <w:link w:val="FooterChar"/>
    <w:rsid w:val="005A24DE"/>
    <w:pPr>
      <w:widowControl w:val="0"/>
      <w:spacing w:after="0"/>
      <w:jc w:val="center"/>
    </w:pPr>
    <w:rPr>
      <w:rFonts w:ascii="Arial" w:hAnsi="Arial"/>
      <w:b/>
      <w:i/>
      <w:noProof/>
      <w:sz w:val="18"/>
    </w:rPr>
  </w:style>
  <w:style w:type="character" w:customStyle="1" w:styleId="FooterChar">
    <w:name w:val="Footer Char"/>
    <w:basedOn w:val="DefaultParagraphFont"/>
    <w:link w:val="Footer"/>
    <w:rsid w:val="005A24DE"/>
    <w:rPr>
      <w:rFonts w:ascii="Arial" w:eastAsia="Malgun Gothic" w:hAnsi="Arial" w:cs="Times New Roman"/>
      <w:b/>
      <w:i/>
      <w:noProof/>
      <w:sz w:val="18"/>
      <w:szCs w:val="20"/>
      <w:lang w:val="en-GB"/>
    </w:rPr>
  </w:style>
  <w:style w:type="paragraph" w:customStyle="1" w:styleId="CRCoverPage">
    <w:name w:val="CR Cover Page"/>
    <w:link w:val="CRCoverPageZchn"/>
    <w:rsid w:val="005A24D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5A24DE"/>
    <w:rPr>
      <w:rFonts w:ascii="Arial" w:eastAsia="MS Mincho" w:hAnsi="Arial" w:cs="Times New Roman"/>
      <w:sz w:val="20"/>
      <w:szCs w:val="20"/>
      <w:lang w:val="en-GB"/>
    </w:rPr>
  </w:style>
  <w:style w:type="paragraph" w:styleId="Caption">
    <w:name w:val="caption"/>
    <w:basedOn w:val="Normal"/>
    <w:next w:val="Normal"/>
    <w:uiPriority w:val="35"/>
    <w:unhideWhenUsed/>
    <w:qFormat/>
    <w:rsid w:val="005A24DE"/>
    <w:pPr>
      <w:spacing w:after="200"/>
    </w:pPr>
    <w:rPr>
      <w:i/>
      <w:iCs/>
      <w:color w:val="44546A" w:themeColor="text2"/>
      <w:sz w:val="18"/>
      <w:szCs w:val="18"/>
    </w:rPr>
  </w:style>
  <w:style w:type="paragraph" w:styleId="ListParagraph">
    <w:name w:val="List Paragraph"/>
    <w:basedOn w:val="Normal"/>
    <w:uiPriority w:val="34"/>
    <w:qFormat/>
    <w:rsid w:val="00F711AB"/>
    <w:pPr>
      <w:ind w:left="720"/>
      <w:contextualSpacing/>
    </w:pPr>
  </w:style>
  <w:style w:type="paragraph" w:customStyle="1" w:styleId="B1">
    <w:name w:val="B1"/>
    <w:basedOn w:val="List"/>
    <w:rsid w:val="00E03CE5"/>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E03CE5"/>
    <w:pPr>
      <w:ind w:left="360" w:hanging="360"/>
      <w:contextualSpacing/>
    </w:pPr>
  </w:style>
  <w:style w:type="paragraph" w:customStyle="1" w:styleId="ZT">
    <w:name w:val="ZT"/>
    <w:rsid w:val="000F56E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Heading2Char">
    <w:name w:val="Heading 2 Char"/>
    <w:basedOn w:val="DefaultParagraphFont"/>
    <w:link w:val="Heading2"/>
    <w:rsid w:val="00FD3ACB"/>
    <w:rPr>
      <w:rFonts w:ascii="Arial" w:eastAsia="Malgun Gothic" w:hAnsi="Arial" w:cs="Times New Roman"/>
      <w:sz w:val="32"/>
      <w:szCs w:val="20"/>
      <w:lang w:val="en-GB" w:eastAsia="x-none"/>
    </w:rPr>
  </w:style>
  <w:style w:type="character" w:customStyle="1" w:styleId="Heading4Char">
    <w:name w:val="Heading 4 Char"/>
    <w:basedOn w:val="DefaultParagraphFont"/>
    <w:link w:val="Heading4"/>
    <w:uiPriority w:val="9"/>
    <w:semiHidden/>
    <w:rsid w:val="00321A6D"/>
    <w:rPr>
      <w:rFonts w:asciiTheme="majorHAnsi" w:eastAsiaTheme="majorEastAsia" w:hAnsiTheme="majorHAnsi" w:cstheme="majorBidi"/>
      <w:i/>
      <w:iCs/>
      <w:color w:val="2F5496" w:themeColor="accent1" w:themeShade="BF"/>
      <w:sz w:val="20"/>
      <w:szCs w:val="20"/>
      <w:lang w:val="en-GB"/>
    </w:rPr>
  </w:style>
  <w:style w:type="paragraph" w:styleId="BalloonText">
    <w:name w:val="Balloon Text"/>
    <w:basedOn w:val="Normal"/>
    <w:link w:val="BalloonTextChar"/>
    <w:uiPriority w:val="99"/>
    <w:semiHidden/>
    <w:unhideWhenUsed/>
    <w:rsid w:val="002070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0F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62177">
      <w:bodyDiv w:val="1"/>
      <w:marLeft w:val="0"/>
      <w:marRight w:val="0"/>
      <w:marTop w:val="0"/>
      <w:marBottom w:val="0"/>
      <w:divBdr>
        <w:top w:val="none" w:sz="0" w:space="0" w:color="auto"/>
        <w:left w:val="none" w:sz="0" w:space="0" w:color="auto"/>
        <w:bottom w:val="none" w:sz="0" w:space="0" w:color="auto"/>
        <w:right w:val="none" w:sz="0" w:space="0" w:color="auto"/>
      </w:divBdr>
    </w:div>
    <w:div w:id="356808464">
      <w:bodyDiv w:val="1"/>
      <w:marLeft w:val="0"/>
      <w:marRight w:val="0"/>
      <w:marTop w:val="0"/>
      <w:marBottom w:val="0"/>
      <w:divBdr>
        <w:top w:val="none" w:sz="0" w:space="0" w:color="auto"/>
        <w:left w:val="none" w:sz="0" w:space="0" w:color="auto"/>
        <w:bottom w:val="none" w:sz="0" w:space="0" w:color="auto"/>
        <w:right w:val="none" w:sz="0" w:space="0" w:color="auto"/>
      </w:divBdr>
    </w:div>
    <w:div w:id="544215657">
      <w:bodyDiv w:val="1"/>
      <w:marLeft w:val="0"/>
      <w:marRight w:val="0"/>
      <w:marTop w:val="0"/>
      <w:marBottom w:val="0"/>
      <w:divBdr>
        <w:top w:val="none" w:sz="0" w:space="0" w:color="auto"/>
        <w:left w:val="none" w:sz="0" w:space="0" w:color="auto"/>
        <w:bottom w:val="none" w:sz="0" w:space="0" w:color="auto"/>
        <w:right w:val="none" w:sz="0" w:space="0" w:color="auto"/>
      </w:divBdr>
    </w:div>
    <w:div w:id="639771536">
      <w:bodyDiv w:val="1"/>
      <w:marLeft w:val="0"/>
      <w:marRight w:val="0"/>
      <w:marTop w:val="0"/>
      <w:marBottom w:val="0"/>
      <w:divBdr>
        <w:top w:val="none" w:sz="0" w:space="0" w:color="auto"/>
        <w:left w:val="none" w:sz="0" w:space="0" w:color="auto"/>
        <w:bottom w:val="none" w:sz="0" w:space="0" w:color="auto"/>
        <w:right w:val="none" w:sz="0" w:space="0" w:color="auto"/>
      </w:divBdr>
      <w:divsChild>
        <w:div w:id="1515463380">
          <w:marLeft w:val="806"/>
          <w:marRight w:val="0"/>
          <w:marTop w:val="0"/>
          <w:marBottom w:val="0"/>
          <w:divBdr>
            <w:top w:val="none" w:sz="0" w:space="0" w:color="auto"/>
            <w:left w:val="none" w:sz="0" w:space="0" w:color="auto"/>
            <w:bottom w:val="none" w:sz="0" w:space="0" w:color="auto"/>
            <w:right w:val="none" w:sz="0" w:space="0" w:color="auto"/>
          </w:divBdr>
        </w:div>
      </w:divsChild>
    </w:div>
    <w:div w:id="701438244">
      <w:bodyDiv w:val="1"/>
      <w:marLeft w:val="0"/>
      <w:marRight w:val="0"/>
      <w:marTop w:val="0"/>
      <w:marBottom w:val="0"/>
      <w:divBdr>
        <w:top w:val="none" w:sz="0" w:space="0" w:color="auto"/>
        <w:left w:val="none" w:sz="0" w:space="0" w:color="auto"/>
        <w:bottom w:val="none" w:sz="0" w:space="0" w:color="auto"/>
        <w:right w:val="none" w:sz="0" w:space="0" w:color="auto"/>
      </w:divBdr>
    </w:div>
    <w:div w:id="1012299095">
      <w:bodyDiv w:val="1"/>
      <w:marLeft w:val="0"/>
      <w:marRight w:val="0"/>
      <w:marTop w:val="0"/>
      <w:marBottom w:val="0"/>
      <w:divBdr>
        <w:top w:val="none" w:sz="0" w:space="0" w:color="auto"/>
        <w:left w:val="none" w:sz="0" w:space="0" w:color="auto"/>
        <w:bottom w:val="none" w:sz="0" w:space="0" w:color="auto"/>
        <w:right w:val="none" w:sz="0" w:space="0" w:color="auto"/>
      </w:divBdr>
      <w:divsChild>
        <w:div w:id="1598365142">
          <w:marLeft w:val="533"/>
          <w:marRight w:val="0"/>
          <w:marTop w:val="0"/>
          <w:marBottom w:val="0"/>
          <w:divBdr>
            <w:top w:val="none" w:sz="0" w:space="0" w:color="auto"/>
            <w:left w:val="none" w:sz="0" w:space="0" w:color="auto"/>
            <w:bottom w:val="none" w:sz="0" w:space="0" w:color="auto"/>
            <w:right w:val="none" w:sz="0" w:space="0" w:color="auto"/>
          </w:divBdr>
        </w:div>
        <w:div w:id="883057599">
          <w:marLeft w:val="806"/>
          <w:marRight w:val="0"/>
          <w:marTop w:val="0"/>
          <w:marBottom w:val="0"/>
          <w:divBdr>
            <w:top w:val="none" w:sz="0" w:space="0" w:color="auto"/>
            <w:left w:val="none" w:sz="0" w:space="0" w:color="auto"/>
            <w:bottom w:val="none" w:sz="0" w:space="0" w:color="auto"/>
            <w:right w:val="none" w:sz="0" w:space="0" w:color="auto"/>
          </w:divBdr>
        </w:div>
        <w:div w:id="1836798933">
          <w:marLeft w:val="806"/>
          <w:marRight w:val="0"/>
          <w:marTop w:val="0"/>
          <w:marBottom w:val="0"/>
          <w:divBdr>
            <w:top w:val="none" w:sz="0" w:space="0" w:color="auto"/>
            <w:left w:val="none" w:sz="0" w:space="0" w:color="auto"/>
            <w:bottom w:val="none" w:sz="0" w:space="0" w:color="auto"/>
            <w:right w:val="none" w:sz="0" w:space="0" w:color="auto"/>
          </w:divBdr>
        </w:div>
      </w:divsChild>
    </w:div>
    <w:div w:id="1421875758">
      <w:bodyDiv w:val="1"/>
      <w:marLeft w:val="0"/>
      <w:marRight w:val="0"/>
      <w:marTop w:val="0"/>
      <w:marBottom w:val="0"/>
      <w:divBdr>
        <w:top w:val="none" w:sz="0" w:space="0" w:color="auto"/>
        <w:left w:val="none" w:sz="0" w:space="0" w:color="auto"/>
        <w:bottom w:val="none" w:sz="0" w:space="0" w:color="auto"/>
        <w:right w:val="none" w:sz="0" w:space="0" w:color="auto"/>
      </w:divBdr>
      <w:divsChild>
        <w:div w:id="1917469122">
          <w:marLeft w:val="274"/>
          <w:marRight w:val="0"/>
          <w:marTop w:val="240"/>
          <w:marBottom w:val="0"/>
          <w:divBdr>
            <w:top w:val="none" w:sz="0" w:space="0" w:color="auto"/>
            <w:left w:val="none" w:sz="0" w:space="0" w:color="auto"/>
            <w:bottom w:val="none" w:sz="0" w:space="0" w:color="auto"/>
            <w:right w:val="none" w:sz="0" w:space="0" w:color="auto"/>
          </w:divBdr>
        </w:div>
        <w:div w:id="513148294">
          <w:marLeft w:val="533"/>
          <w:marRight w:val="0"/>
          <w:marTop w:val="0"/>
          <w:marBottom w:val="0"/>
          <w:divBdr>
            <w:top w:val="none" w:sz="0" w:space="0" w:color="auto"/>
            <w:left w:val="none" w:sz="0" w:space="0" w:color="auto"/>
            <w:bottom w:val="none" w:sz="0" w:space="0" w:color="auto"/>
            <w:right w:val="none" w:sz="0" w:space="0" w:color="auto"/>
          </w:divBdr>
        </w:div>
        <w:div w:id="1585915768">
          <w:marLeft w:val="533"/>
          <w:marRight w:val="0"/>
          <w:marTop w:val="0"/>
          <w:marBottom w:val="0"/>
          <w:divBdr>
            <w:top w:val="none" w:sz="0" w:space="0" w:color="auto"/>
            <w:left w:val="none" w:sz="0" w:space="0" w:color="auto"/>
            <w:bottom w:val="none" w:sz="0" w:space="0" w:color="auto"/>
            <w:right w:val="none" w:sz="0" w:space="0" w:color="auto"/>
          </w:divBdr>
        </w:div>
        <w:div w:id="1394893370">
          <w:marLeft w:val="274"/>
          <w:marRight w:val="0"/>
          <w:marTop w:val="240"/>
          <w:marBottom w:val="0"/>
          <w:divBdr>
            <w:top w:val="none" w:sz="0" w:space="0" w:color="auto"/>
            <w:left w:val="none" w:sz="0" w:space="0" w:color="auto"/>
            <w:bottom w:val="none" w:sz="0" w:space="0" w:color="auto"/>
            <w:right w:val="none" w:sz="0" w:space="0" w:color="auto"/>
          </w:divBdr>
        </w:div>
        <w:div w:id="207225868">
          <w:marLeft w:val="274"/>
          <w:marRight w:val="0"/>
          <w:marTop w:val="240"/>
          <w:marBottom w:val="0"/>
          <w:divBdr>
            <w:top w:val="none" w:sz="0" w:space="0" w:color="auto"/>
            <w:left w:val="none" w:sz="0" w:space="0" w:color="auto"/>
            <w:bottom w:val="none" w:sz="0" w:space="0" w:color="auto"/>
            <w:right w:val="none" w:sz="0" w:space="0" w:color="auto"/>
          </w:divBdr>
        </w:div>
        <w:div w:id="1678733492">
          <w:marLeft w:val="533"/>
          <w:marRight w:val="0"/>
          <w:marTop w:val="0"/>
          <w:marBottom w:val="0"/>
          <w:divBdr>
            <w:top w:val="none" w:sz="0" w:space="0" w:color="auto"/>
            <w:left w:val="none" w:sz="0" w:space="0" w:color="auto"/>
            <w:bottom w:val="none" w:sz="0" w:space="0" w:color="auto"/>
            <w:right w:val="none" w:sz="0" w:space="0" w:color="auto"/>
          </w:divBdr>
        </w:div>
        <w:div w:id="2099715793">
          <w:marLeft w:val="1253"/>
          <w:marRight w:val="0"/>
          <w:marTop w:val="0"/>
          <w:marBottom w:val="0"/>
          <w:divBdr>
            <w:top w:val="none" w:sz="0" w:space="0" w:color="auto"/>
            <w:left w:val="none" w:sz="0" w:space="0" w:color="auto"/>
            <w:bottom w:val="none" w:sz="0" w:space="0" w:color="auto"/>
            <w:right w:val="none" w:sz="0" w:space="0" w:color="auto"/>
          </w:divBdr>
        </w:div>
        <w:div w:id="1094545390">
          <w:marLeft w:val="533"/>
          <w:marRight w:val="0"/>
          <w:marTop w:val="0"/>
          <w:marBottom w:val="0"/>
          <w:divBdr>
            <w:top w:val="none" w:sz="0" w:space="0" w:color="auto"/>
            <w:left w:val="none" w:sz="0" w:space="0" w:color="auto"/>
            <w:bottom w:val="none" w:sz="0" w:space="0" w:color="auto"/>
            <w:right w:val="none" w:sz="0" w:space="0" w:color="auto"/>
          </w:divBdr>
        </w:div>
        <w:div w:id="482504707">
          <w:marLeft w:val="274"/>
          <w:marRight w:val="0"/>
          <w:marTop w:val="240"/>
          <w:marBottom w:val="0"/>
          <w:divBdr>
            <w:top w:val="none" w:sz="0" w:space="0" w:color="auto"/>
            <w:left w:val="none" w:sz="0" w:space="0" w:color="auto"/>
            <w:bottom w:val="none" w:sz="0" w:space="0" w:color="auto"/>
            <w:right w:val="none" w:sz="0" w:space="0" w:color="auto"/>
          </w:divBdr>
        </w:div>
      </w:divsChild>
    </w:div>
    <w:div w:id="1630356241">
      <w:bodyDiv w:val="1"/>
      <w:marLeft w:val="0"/>
      <w:marRight w:val="0"/>
      <w:marTop w:val="0"/>
      <w:marBottom w:val="0"/>
      <w:divBdr>
        <w:top w:val="none" w:sz="0" w:space="0" w:color="auto"/>
        <w:left w:val="none" w:sz="0" w:space="0" w:color="auto"/>
        <w:bottom w:val="none" w:sz="0" w:space="0" w:color="auto"/>
        <w:right w:val="none" w:sz="0" w:space="0" w:color="auto"/>
      </w:divBdr>
    </w:div>
    <w:div w:id="1777745765">
      <w:bodyDiv w:val="1"/>
      <w:marLeft w:val="0"/>
      <w:marRight w:val="0"/>
      <w:marTop w:val="0"/>
      <w:marBottom w:val="0"/>
      <w:divBdr>
        <w:top w:val="none" w:sz="0" w:space="0" w:color="auto"/>
        <w:left w:val="none" w:sz="0" w:space="0" w:color="auto"/>
        <w:bottom w:val="none" w:sz="0" w:space="0" w:color="auto"/>
        <w:right w:val="none" w:sz="0" w:space="0" w:color="auto"/>
      </w:divBdr>
    </w:div>
    <w:div w:id="193720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8957B-5569-4136-A2C4-1C1FE1D0C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2019-08-14T21:52:00Z</dcterms:created>
  <dcterms:modified xsi:type="dcterms:W3CDTF">2019-08-14T21:52:00Z</dcterms:modified>
</cp:coreProperties>
</file>