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2C4" w:rsidRPr="00B46FE2" w:rsidRDefault="005962C4" w:rsidP="005962C4">
      <w:pPr>
        <w:pStyle w:val="Header"/>
        <w:tabs>
          <w:tab w:val="clear" w:pos="4536"/>
          <w:tab w:val="left" w:pos="1910"/>
        </w:tabs>
        <w:ind w:left="1800" w:hanging="1800"/>
        <w:jc w:val="both"/>
        <w:rPr>
          <w:sz w:val="22"/>
          <w:szCs w:val="22"/>
          <w:lang w:val="en-GB"/>
        </w:rPr>
      </w:pPr>
      <w:bookmarkStart w:id="0" w:name="OLE_LINK5"/>
      <w:bookmarkStart w:id="1" w:name="OLE_LINK6"/>
      <w:r w:rsidRPr="00B46FE2">
        <w:rPr>
          <w:sz w:val="22"/>
          <w:szCs w:val="22"/>
          <w:lang w:val="en-GB"/>
        </w:rPr>
        <w:t>3GPP TSG-RAN WG2 Meeting #107</w:t>
      </w:r>
      <w:r w:rsidRPr="0056328B">
        <w:rPr>
          <w:rFonts w:hint="eastAsia"/>
          <w:sz w:val="22"/>
          <w:szCs w:val="22"/>
          <w:lang w:val="en-GB"/>
        </w:rPr>
        <w:t xml:space="preserve">                                                       </w:t>
      </w:r>
      <w:r w:rsidRPr="00B46FE2">
        <w:rPr>
          <w:sz w:val="22"/>
          <w:szCs w:val="22"/>
          <w:lang w:val="en-GB"/>
        </w:rPr>
        <w:t>R2-19</w:t>
      </w:r>
      <w:r w:rsidR="005B72C5">
        <w:rPr>
          <w:sz w:val="22"/>
          <w:szCs w:val="22"/>
          <w:lang w:val="en-GB"/>
        </w:rPr>
        <w:t>0882</w:t>
      </w:r>
      <w:r w:rsidR="00CB5CCF">
        <w:rPr>
          <w:sz w:val="22"/>
          <w:szCs w:val="22"/>
          <w:lang w:val="en-GB"/>
        </w:rPr>
        <w:t>8</w:t>
      </w:r>
      <w:bookmarkStart w:id="2" w:name="_GoBack"/>
      <w:bookmarkEnd w:id="2"/>
    </w:p>
    <w:p w:rsidR="005962C4" w:rsidRPr="00B46FE2" w:rsidRDefault="005962C4" w:rsidP="005962C4">
      <w:pPr>
        <w:pStyle w:val="Header"/>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bookmarkEnd w:id="0"/>
    <w:bookmarkEnd w:id="1"/>
    <w:p w:rsidR="005962C4" w:rsidRPr="005962C4" w:rsidRDefault="005962C4">
      <w:pPr>
        <w:pStyle w:val="Header"/>
        <w:tabs>
          <w:tab w:val="clear" w:pos="4536"/>
          <w:tab w:val="left" w:pos="1910"/>
        </w:tabs>
        <w:ind w:left="1800" w:hanging="1800"/>
        <w:jc w:val="both"/>
        <w:rPr>
          <w:rFonts w:eastAsiaTheme="minorEastAsia"/>
          <w:sz w:val="22"/>
          <w:szCs w:val="22"/>
          <w:lang w:val="en-GB" w:eastAsia="zh-CN"/>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3" w:name="Title"/>
      <w:bookmarkEnd w:id="3"/>
      <w:r>
        <w:rPr>
          <w:rFonts w:cs="Arial"/>
          <w:sz w:val="22"/>
          <w:szCs w:val="22"/>
        </w:rPr>
        <w:tab/>
      </w:r>
      <w:r w:rsidR="005B3429">
        <w:rPr>
          <w:rFonts w:cs="Arial"/>
          <w:sz w:val="22"/>
          <w:szCs w:val="22"/>
        </w:rPr>
        <w:t>Data/data prioritization</w:t>
      </w:r>
      <w:r w:rsidR="005629CF">
        <w:rPr>
          <w:rFonts w:cs="Arial"/>
          <w:sz w:val="22"/>
          <w:szCs w:val="22"/>
        </w:rPr>
        <w:t>: equal-priority handling</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4" w:name="Source"/>
      <w:bookmarkEnd w:id="4"/>
      <w:r>
        <w:rPr>
          <w:rFonts w:cs="Arial"/>
          <w:sz w:val="22"/>
          <w:szCs w:val="22"/>
        </w:rPr>
        <w:tab/>
      </w:r>
      <w:r w:rsidR="000A7400">
        <w:rPr>
          <w:rFonts w:eastAsia="SimSun" w:cs="Arial" w:hint="eastAsia"/>
          <w:sz w:val="22"/>
          <w:szCs w:val="22"/>
          <w:lang w:eastAsia="zh-CN"/>
        </w:rPr>
        <w:t>11.7.</w:t>
      </w:r>
      <w:r w:rsidR="000A7400">
        <w:rPr>
          <w:rFonts w:eastAsia="SimSun" w:cs="Arial"/>
          <w:sz w:val="22"/>
          <w:szCs w:val="22"/>
          <w:lang w:eastAsia="zh-CN"/>
        </w:rPr>
        <w:t>3</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Heading1"/>
        <w:jc w:val="both"/>
        <w:rPr>
          <w:szCs w:val="28"/>
        </w:rPr>
      </w:pPr>
      <w:r>
        <w:rPr>
          <w:szCs w:val="28"/>
        </w:rPr>
        <w:t>Introduction</w:t>
      </w:r>
    </w:p>
    <w:p w:rsidR="005B3429" w:rsidRDefault="005B3429" w:rsidP="00505E13">
      <w:pPr>
        <w:pStyle w:val="BodyText"/>
        <w:rPr>
          <w:rFonts w:eastAsiaTheme="minorEastAsia"/>
          <w:lang w:eastAsia="zh-CN"/>
        </w:rPr>
      </w:pPr>
      <w:bookmarkStart w:id="6" w:name="OLE_LINK2"/>
      <w:bookmarkStart w:id="7" w:name="OLE_LINK1"/>
      <w:r>
        <w:rPr>
          <w:rFonts w:eastAsiaTheme="minorEastAsia"/>
          <w:lang w:eastAsia="zh-CN"/>
        </w:rPr>
        <w:t xml:space="preserve">One objective of the </w:t>
      </w:r>
      <w:proofErr w:type="spellStart"/>
      <w:r>
        <w:rPr>
          <w:rFonts w:eastAsiaTheme="minorEastAsia"/>
          <w:lang w:eastAsia="zh-CN"/>
        </w:rPr>
        <w:t>IIoT</w:t>
      </w:r>
      <w:proofErr w:type="spellEnd"/>
      <w:r>
        <w:rPr>
          <w:rFonts w:eastAsiaTheme="minorEastAsia"/>
          <w:lang w:eastAsia="zh-CN"/>
        </w:rPr>
        <w:t xml:space="preserve"> </w:t>
      </w:r>
      <w:r w:rsidR="008B1B08">
        <w:rPr>
          <w:rFonts w:eastAsiaTheme="minorEastAsia"/>
          <w:lang w:eastAsia="zh-CN"/>
        </w:rPr>
        <w:t xml:space="preserve">WID, revised in RAN#84 </w:t>
      </w:r>
      <w:r w:rsidR="008B1B08">
        <w:rPr>
          <w:rFonts w:eastAsiaTheme="minorEastAsia"/>
          <w:lang w:eastAsia="zh-CN"/>
        </w:rPr>
        <w:fldChar w:fldCharType="begin"/>
      </w:r>
      <w:r w:rsidR="008B1B08">
        <w:rPr>
          <w:rFonts w:eastAsiaTheme="minorEastAsia"/>
          <w:lang w:eastAsia="zh-CN"/>
        </w:rPr>
        <w:instrText xml:space="preserve"> REF _Ref14772880 \r \h </w:instrText>
      </w:r>
      <w:r w:rsidR="008B1B08">
        <w:rPr>
          <w:rFonts w:eastAsiaTheme="minorEastAsia"/>
          <w:lang w:eastAsia="zh-CN"/>
        </w:rPr>
      </w:r>
      <w:r w:rsidR="008B1B08">
        <w:rPr>
          <w:rFonts w:eastAsiaTheme="minorEastAsia"/>
          <w:lang w:eastAsia="zh-CN"/>
        </w:rPr>
        <w:fldChar w:fldCharType="separate"/>
      </w:r>
      <w:r w:rsidR="00533220">
        <w:rPr>
          <w:rFonts w:eastAsiaTheme="minorEastAsia"/>
          <w:lang w:eastAsia="zh-CN"/>
        </w:rPr>
        <w:t>[1]</w:t>
      </w:r>
      <w:r w:rsidR="008B1B08">
        <w:rPr>
          <w:rFonts w:eastAsiaTheme="minorEastAsia"/>
          <w:lang w:eastAsia="zh-CN"/>
        </w:rPr>
        <w:fldChar w:fldCharType="end"/>
      </w:r>
      <w:r>
        <w:rPr>
          <w:rFonts w:eastAsiaTheme="minorEastAsia"/>
          <w:lang w:eastAsia="zh-CN"/>
        </w:rPr>
        <w:t xml:space="preserve">, is to specify means to address conflicts between overlapping PUSCH transmissions, aka </w:t>
      </w:r>
      <w:r w:rsidRPr="005B3429">
        <w:rPr>
          <w:rFonts w:eastAsiaTheme="minorEastAsia"/>
          <w:i/>
          <w:lang w:eastAsia="zh-CN"/>
        </w:rPr>
        <w:t>data/data prioritization</w:t>
      </w:r>
      <w:r>
        <w:rPr>
          <w:rFonts w:eastAsiaTheme="minorEastAsia"/>
          <w:lang w:eastAsia="zh-CN"/>
        </w:rPr>
        <w:t>:</w:t>
      </w:r>
    </w:p>
    <w:tbl>
      <w:tblPr>
        <w:tblStyle w:val="TableGrid"/>
        <w:tblW w:w="0" w:type="auto"/>
        <w:tblLook w:val="04A0" w:firstRow="1" w:lastRow="0" w:firstColumn="1" w:lastColumn="0" w:noHBand="0" w:noVBand="1"/>
      </w:tblPr>
      <w:tblGrid>
        <w:gridCol w:w="8522"/>
      </w:tblGrid>
      <w:tr w:rsidR="005B3429" w:rsidTr="005B3429">
        <w:tc>
          <w:tcPr>
            <w:tcW w:w="8522" w:type="dxa"/>
          </w:tcPr>
          <w:p w:rsidR="005B3429" w:rsidRDefault="005B3429" w:rsidP="005B3429">
            <w:pPr>
              <w:numPr>
                <w:ilvl w:val="0"/>
                <w:numId w:val="8"/>
              </w:numPr>
              <w:overflowPunct w:val="0"/>
              <w:autoSpaceDE w:val="0"/>
              <w:autoSpaceDN w:val="0"/>
              <w:adjustRightInd w:val="0"/>
              <w:jc w:val="both"/>
              <w:textAlignment w:val="baseline"/>
            </w:pPr>
            <w:r>
              <w:rPr>
                <w:bCs/>
              </w:rPr>
              <w:t>The detailed objectives for NR intra-UE prioritization/multiplexing are:</w:t>
            </w:r>
          </w:p>
          <w:p w:rsidR="005B3429" w:rsidRDefault="005B3429" w:rsidP="005B3429">
            <w:pPr>
              <w:numPr>
                <w:ilvl w:val="0"/>
                <w:numId w:val="9"/>
              </w:numPr>
              <w:overflowPunct w:val="0"/>
              <w:autoSpaceDE w:val="0"/>
              <w:autoSpaceDN w:val="0"/>
              <w:adjustRightInd w:val="0"/>
              <w:jc w:val="both"/>
              <w:textAlignment w:val="baseline"/>
            </w:pPr>
            <w:r>
              <w:t>Specify enhancements to address resource conflicts between dynamic grant (DG) and configured grant (CG) PUSCH and conflicts involving multiple CGs [RAN2, RAN1].</w:t>
            </w:r>
          </w:p>
          <w:p w:rsidR="005B3429" w:rsidRPr="005B3429" w:rsidRDefault="005B3429" w:rsidP="00505E13">
            <w:pPr>
              <w:numPr>
                <w:ilvl w:val="1"/>
                <w:numId w:val="9"/>
              </w:numPr>
              <w:overflowPunct w:val="0"/>
              <w:autoSpaceDE w:val="0"/>
              <w:autoSpaceDN w:val="0"/>
              <w:adjustRightInd w:val="0"/>
              <w:jc w:val="both"/>
              <w:textAlignment w:val="baseline"/>
            </w:pPr>
            <w:r>
              <w:t>Specify PUSCH grant prioritization based on LCH priorities and LCP restrictions for the cases where MAC prioritizes the grant [RAN2].</w:t>
            </w:r>
          </w:p>
        </w:tc>
      </w:tr>
    </w:tbl>
    <w:p w:rsidR="00126D6B" w:rsidRDefault="005B3429" w:rsidP="008B1B08">
      <w:pPr>
        <w:pStyle w:val="BodyText"/>
        <w:spacing w:before="120"/>
        <w:rPr>
          <w:rFonts w:eastAsiaTheme="minorEastAsia"/>
          <w:lang w:eastAsia="zh-CN"/>
        </w:rPr>
      </w:pPr>
      <w:r>
        <w:rPr>
          <w:rFonts w:eastAsiaTheme="minorEastAsia"/>
          <w:lang w:eastAsia="zh-CN"/>
        </w:rPr>
        <w:t>In RAN#106, th</w:t>
      </w:r>
      <w:r w:rsidR="00126D6B">
        <w:rPr>
          <w:rFonts w:eastAsiaTheme="minorEastAsia"/>
          <w:lang w:eastAsia="zh-CN"/>
        </w:rPr>
        <w:t>e</w:t>
      </w:r>
      <w:r>
        <w:rPr>
          <w:rFonts w:eastAsiaTheme="minorEastAsia"/>
          <w:lang w:eastAsia="zh-CN"/>
        </w:rPr>
        <w:t xml:space="preserve"> issu</w:t>
      </w:r>
      <w:r w:rsidR="008B1B08">
        <w:rPr>
          <w:rFonts w:eastAsiaTheme="minorEastAsia"/>
          <w:lang w:eastAsia="zh-CN"/>
        </w:rPr>
        <w:t xml:space="preserve">e </w:t>
      </w:r>
      <w:r w:rsidR="00126D6B">
        <w:rPr>
          <w:rFonts w:eastAsiaTheme="minorEastAsia"/>
          <w:lang w:eastAsia="zh-CN"/>
        </w:rPr>
        <w:t>of equal-priority was not discussed due to lack of time. This contribution addresses this issue.</w:t>
      </w:r>
    </w:p>
    <w:bookmarkEnd w:id="6"/>
    <w:bookmarkEnd w:id="7"/>
    <w:p w:rsidR="00DB18A5" w:rsidRDefault="008D026D">
      <w:pPr>
        <w:pStyle w:val="Heading1"/>
        <w:jc w:val="both"/>
      </w:pPr>
      <w:r>
        <w:rPr>
          <w:rFonts w:hint="eastAsia"/>
        </w:rPr>
        <w:t>Discussion</w:t>
      </w:r>
    </w:p>
    <w:p w:rsidR="008D616B" w:rsidRDefault="008D616B" w:rsidP="00BC7FC6">
      <w:pPr>
        <w:pStyle w:val="BodyText"/>
      </w:pPr>
      <w:r w:rsidRPr="008D616B">
        <w:t>In case of CG/DG</w:t>
      </w:r>
      <w:r>
        <w:t xml:space="preserve"> prioritization</w:t>
      </w:r>
      <w:r w:rsidRPr="008D616B">
        <w:t xml:space="preserve">, </w:t>
      </w:r>
      <w:r w:rsidR="005028E7">
        <w:fldChar w:fldCharType="begin"/>
      </w:r>
      <w:r w:rsidR="005028E7">
        <w:instrText xml:space="preserve"> REF _Ref14882542 \r \h </w:instrText>
      </w:r>
      <w:r w:rsidR="005028E7">
        <w:fldChar w:fldCharType="separate"/>
      </w:r>
      <w:r w:rsidR="00533220">
        <w:t>[3</w:t>
      </w:r>
      <w:proofErr w:type="gramStart"/>
      <w:r w:rsidR="00533220">
        <w:t>]</w:t>
      </w:r>
      <w:proofErr w:type="gramEnd"/>
      <w:r w:rsidR="005028E7">
        <w:fldChar w:fldCharType="end"/>
      </w:r>
      <w:r w:rsidR="005028E7">
        <w:fldChar w:fldCharType="begin"/>
      </w:r>
      <w:r w:rsidR="005028E7">
        <w:instrText xml:space="preserve"> REF _Ref14882544 \r \h </w:instrText>
      </w:r>
      <w:r w:rsidR="005028E7">
        <w:fldChar w:fldCharType="separate"/>
      </w:r>
      <w:r w:rsidR="00533220">
        <w:t>[4]</w:t>
      </w:r>
      <w:r w:rsidR="005028E7">
        <w:fldChar w:fldCharType="end"/>
      </w:r>
      <w:r w:rsidRPr="008D616B">
        <w:t xml:space="preserve"> propose to stick to Rel-15 i.e. </w:t>
      </w:r>
      <w:r>
        <w:t xml:space="preserve">always </w:t>
      </w:r>
      <w:r w:rsidRPr="008D616B">
        <w:t xml:space="preserve">prioritize the DG. </w:t>
      </w:r>
      <w:r w:rsidRPr="00F850B2">
        <w:t xml:space="preserve">However, in the </w:t>
      </w:r>
      <w:proofErr w:type="spellStart"/>
      <w:r w:rsidRPr="00F850B2">
        <w:t>usecase</w:t>
      </w:r>
      <w:proofErr w:type="spellEnd"/>
      <w:r w:rsidR="00F850B2" w:rsidRPr="00F850B2">
        <w:t xml:space="preserve"> shown in </w:t>
      </w:r>
      <w:r w:rsidR="00F850B2" w:rsidRPr="00F850B2">
        <w:fldChar w:fldCharType="begin"/>
      </w:r>
      <w:r w:rsidR="00F850B2" w:rsidRPr="00F850B2">
        <w:instrText xml:space="preserve"> REF _Ref14882940 \h  \* MERGEFORMAT </w:instrText>
      </w:r>
      <w:r w:rsidR="00F850B2" w:rsidRPr="00F850B2">
        <w:fldChar w:fldCharType="separate"/>
      </w:r>
      <w:r w:rsidR="00533220" w:rsidRPr="00533220">
        <w:t xml:space="preserve">Figure </w:t>
      </w:r>
      <w:r w:rsidR="00533220" w:rsidRPr="00533220">
        <w:rPr>
          <w:noProof/>
        </w:rPr>
        <w:t>1</w:t>
      </w:r>
      <w:r w:rsidR="00F850B2" w:rsidRPr="00F850B2">
        <w:fldChar w:fldCharType="end"/>
      </w:r>
      <w:r w:rsidRPr="00F850B2">
        <w:t>, LCP restrictions allow both low and high prio</w:t>
      </w:r>
      <w:r w:rsidR="00F850B2">
        <w:t>rity</w:t>
      </w:r>
      <w:r w:rsidRPr="00F850B2">
        <w:t xml:space="preserve"> LCHs to go</w:t>
      </w:r>
      <w:r w:rsidRPr="008D616B">
        <w:t xml:space="preserve"> in both grants. No new data arrives in between t</w:t>
      </w:r>
      <w:r w:rsidRPr="008D616B">
        <w:rPr>
          <w:vertAlign w:val="subscript"/>
        </w:rPr>
        <w:t>1</w:t>
      </w:r>
      <w:r w:rsidRPr="008D616B">
        <w:t xml:space="preserve"> and t</w:t>
      </w:r>
      <w:r w:rsidRPr="008D616B">
        <w:rPr>
          <w:vertAlign w:val="subscript"/>
        </w:rPr>
        <w:t>2</w:t>
      </w:r>
      <w:r w:rsidRPr="008D616B">
        <w:t xml:space="preserve"> hence the same high priority channel is served by both grants so the prioritization rule running after receiving the DCI results in equal priority for both grants. But then it makes no sense to pre-empt the CG by the DG to send the very same LCH, or even another LCH but with equal priority</w:t>
      </w:r>
      <w:r>
        <w:t>.</w:t>
      </w:r>
    </w:p>
    <w:p w:rsidR="005028E7" w:rsidRDefault="005028E7" w:rsidP="005028E7">
      <w:pPr>
        <w:pStyle w:val="BodyText"/>
        <w:jc w:val="center"/>
      </w:pPr>
      <w:r>
        <w:object w:dxaOrig="7494" w:dyaOrig="4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pt;height:141.4pt" o:ole="">
            <v:imagedata r:id="rId10" o:title=""/>
          </v:shape>
          <o:OLEObject Type="Embed" ProgID="Visio.Drawing.11" ShapeID="_x0000_i1025" DrawAspect="Content" ObjectID="_1627215370" r:id="rId11"/>
        </w:object>
      </w:r>
    </w:p>
    <w:p w:rsidR="005028E7" w:rsidRDefault="005028E7" w:rsidP="005028E7">
      <w:pPr>
        <w:pStyle w:val="Caption"/>
        <w:jc w:val="center"/>
        <w:rPr>
          <w:b/>
        </w:rPr>
      </w:pPr>
      <w:bookmarkStart w:id="8" w:name="_Ref14882940"/>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533220">
        <w:rPr>
          <w:b/>
          <w:noProof/>
        </w:rPr>
        <w:t>1</w:t>
      </w:r>
      <w:r w:rsidRPr="005E4E26">
        <w:rPr>
          <w:b/>
        </w:rPr>
        <w:fldChar w:fldCharType="end"/>
      </w:r>
      <w:bookmarkEnd w:id="8"/>
      <w:r w:rsidRPr="005E4E26">
        <w:rPr>
          <w:b/>
        </w:rPr>
        <w:t xml:space="preserve">: </w:t>
      </w:r>
      <w:r w:rsidR="00D1201D">
        <w:rPr>
          <w:b/>
        </w:rPr>
        <w:t>Example where a DG pre-empts an earlier CG although they carry the same LCH</w:t>
      </w:r>
    </w:p>
    <w:p w:rsidR="00292C04" w:rsidRPr="00292C04" w:rsidRDefault="00292C04" w:rsidP="00292C04">
      <w:pPr>
        <w:pStyle w:val="BodyText"/>
        <w:rPr>
          <w:b/>
          <w:lang w:val="en-GB"/>
        </w:rPr>
      </w:pPr>
      <w:r w:rsidRPr="00292C04">
        <w:rPr>
          <w:b/>
          <w:lang w:val="en-GB"/>
        </w:rPr>
        <w:t xml:space="preserve">Proposal 1: </w:t>
      </w:r>
      <w:r w:rsidRPr="00292C04">
        <w:rPr>
          <w:b/>
        </w:rPr>
        <w:t>In case of equal-priority, and the same highest priority LCH would be carried in both grants, the PUSCH allocation of an already assembled PDU is not pre-empted by a later (but overlapping) PUSCH allocation</w:t>
      </w:r>
      <w:r>
        <w:rPr>
          <w:b/>
        </w:rPr>
        <w:t>.</w:t>
      </w:r>
    </w:p>
    <w:p w:rsidR="00292C04" w:rsidRDefault="00292C04" w:rsidP="00BC7FC6">
      <w:pPr>
        <w:pStyle w:val="BodyText"/>
        <w:rPr>
          <w:lang w:val="en-GB"/>
        </w:rPr>
      </w:pPr>
      <w:r>
        <w:rPr>
          <w:lang w:val="en-GB"/>
        </w:rPr>
        <w:t>A consequence of the above is:</w:t>
      </w:r>
    </w:p>
    <w:p w:rsidR="00292C04" w:rsidRPr="00292C04" w:rsidRDefault="00533220" w:rsidP="00292C04">
      <w:pPr>
        <w:pStyle w:val="BodyText"/>
        <w:rPr>
          <w:b/>
        </w:rPr>
      </w:pPr>
      <w:r>
        <w:rPr>
          <w:b/>
          <w:lang w:val="en-GB"/>
        </w:rPr>
        <w:t xml:space="preserve">Proposal </w:t>
      </w:r>
      <w:r w:rsidR="00292C04">
        <w:rPr>
          <w:b/>
          <w:lang w:val="en-GB"/>
        </w:rPr>
        <w:t>2</w:t>
      </w:r>
      <w:r w:rsidR="00292C04" w:rsidRPr="00292C04">
        <w:rPr>
          <w:b/>
          <w:lang w:val="en-GB"/>
        </w:rPr>
        <w:t xml:space="preserve">: </w:t>
      </w:r>
      <w:r w:rsidR="00292C04" w:rsidRPr="00292C04">
        <w:rPr>
          <w:b/>
        </w:rPr>
        <w:t xml:space="preserve">In case of equal-priority, the UE should </w:t>
      </w:r>
      <w:r w:rsidR="009D02D8">
        <w:rPr>
          <w:b/>
        </w:rPr>
        <w:t>not</w:t>
      </w:r>
      <w:r w:rsidR="00292C04" w:rsidRPr="00292C04">
        <w:rPr>
          <w:b/>
        </w:rPr>
        <w:t xml:space="preserve"> apply the legacy Rel-15 rule that dynamic grant is always prioritized over the configured grant</w:t>
      </w:r>
      <w:r w:rsidR="00292C04">
        <w:rPr>
          <w:b/>
        </w:rPr>
        <w:t>.</w:t>
      </w:r>
    </w:p>
    <w:p w:rsidR="00292C04" w:rsidRDefault="00292C04" w:rsidP="00BC7FC6">
      <w:pPr>
        <w:pStyle w:val="BodyText"/>
      </w:pPr>
      <w:r>
        <w:t>So we are now looking at an appropriate rule to apply in case of equal-priority.</w:t>
      </w:r>
    </w:p>
    <w:p w:rsidR="000559E0" w:rsidRPr="00BC7FC6" w:rsidRDefault="00BC7FC6" w:rsidP="000559E0">
      <w:pPr>
        <w:pStyle w:val="BodyText"/>
        <w:rPr>
          <w:lang w:eastAsia="zh-CN"/>
        </w:rPr>
      </w:pPr>
      <w:r>
        <w:t xml:space="preserve">We believe that, compared to Rel-15, one of the goals of Rel-16 </w:t>
      </w:r>
      <w:proofErr w:type="spellStart"/>
      <w:r>
        <w:t>IIoT</w:t>
      </w:r>
      <w:proofErr w:type="spellEnd"/>
      <w:r>
        <w:t xml:space="preserve"> is to properly serve co-existing URLLC services. Table 5.2-1 of TS22.104 </w:t>
      </w:r>
      <w:r w:rsidR="00AE6B2C">
        <w:fldChar w:fldCharType="begin"/>
      </w:r>
      <w:r w:rsidR="00AE6B2C">
        <w:instrText xml:space="preserve"> REF _Ref14884830 \r \h </w:instrText>
      </w:r>
      <w:r w:rsidR="00AE6B2C">
        <w:fldChar w:fldCharType="separate"/>
      </w:r>
      <w:r w:rsidR="00533220">
        <w:t>[5]</w:t>
      </w:r>
      <w:r w:rsidR="00AE6B2C">
        <w:fldChar w:fldCharType="end"/>
      </w:r>
      <w:r w:rsidR="00AE6B2C">
        <w:t xml:space="preserve"> </w:t>
      </w:r>
      <w:r>
        <w:t>provides a list of performance requirements associated with various periodic deterministic communication services</w:t>
      </w:r>
      <w:r w:rsidR="00AE6B2C">
        <w:t>, an extract of is given below</w:t>
      </w:r>
      <w:r>
        <w:t xml:space="preserve">. Some may co-exist for a given application e.g. </w:t>
      </w:r>
      <w:r w:rsidR="009B57D3">
        <w:t xml:space="preserve">the first three rows of the table are for three different </w:t>
      </w:r>
      <w:proofErr w:type="spellStart"/>
      <w:r w:rsidR="009B57D3">
        <w:t>usecases</w:t>
      </w:r>
      <w:proofErr w:type="spellEnd"/>
      <w:r w:rsidR="009B57D3">
        <w:t xml:space="preserve"> of </w:t>
      </w:r>
      <w:r w:rsidR="00292C04">
        <w:lastRenderedPageBreak/>
        <w:t xml:space="preserve">the </w:t>
      </w:r>
      <w:r>
        <w:t>Motion Control</w:t>
      </w:r>
      <w:r w:rsidR="00292C04">
        <w:t xml:space="preserve"> </w:t>
      </w:r>
      <w:r w:rsidR="009B57D3">
        <w:t xml:space="preserve">application. Moreover, the 5GS UE may be attached to a device supporting simultaneously a sensor and a motion controller, hence concurrent motion control and control-to-control </w:t>
      </w:r>
      <w:r w:rsidR="00AE6B2C">
        <w:t>communication services.</w:t>
      </w:r>
      <w:r w:rsidR="000559E0">
        <w:t xml:space="preserve"> On the other hand, 802.1Q supports 8 priority levels that 5GS should also map onto 8 priority levels for fair </w:t>
      </w:r>
      <w:proofErr w:type="spellStart"/>
      <w:r w:rsidR="000559E0">
        <w:t>QoS</w:t>
      </w:r>
      <w:proofErr w:type="spellEnd"/>
      <w:r w:rsidR="000559E0">
        <w:t xml:space="preserve"> serving and enforcement. And compared to other less stringent services coexisting in the UE (</w:t>
      </w:r>
      <w:proofErr w:type="spellStart"/>
      <w:r w:rsidR="000559E0">
        <w:t>eMBB</w:t>
      </w:r>
      <w:proofErr w:type="spellEnd"/>
      <w:r w:rsidR="000559E0">
        <w:t xml:space="preserve">, periodic reports, </w:t>
      </w:r>
      <w:proofErr w:type="spellStart"/>
      <w:r w:rsidR="000559E0">
        <w:t>etc</w:t>
      </w:r>
      <w:proofErr w:type="spellEnd"/>
      <w:r w:rsidR="000559E0">
        <w:t>) such critical flows are expected to be mapped onto a high(</w:t>
      </w:r>
      <w:proofErr w:type="spellStart"/>
      <w:proofErr w:type="gramStart"/>
      <w:r w:rsidR="000559E0">
        <w:t>est</w:t>
      </w:r>
      <w:proofErr w:type="spellEnd"/>
      <w:proofErr w:type="gramEnd"/>
      <w:r w:rsidR="000559E0">
        <w:t>) priority of the 8 levels of 802.1Q. Then, equal priority handling will not be a marginal case. However, as can be observed from the table, there are significant variations in both the reliability (service availability) and latency (transfer interval) requirements of these high-priority flows. Therefore, we believe the most secure scheduling policy in case two grants with equal priority have colliding allocations, is to prioritize the grant carrying the LCH with tightest PUSCH duration and/or MCS mapping restriction(s).</w:t>
      </w:r>
    </w:p>
    <w:p w:rsidR="00AE6B2C" w:rsidRPr="00AE6B2C" w:rsidRDefault="00AE6B2C" w:rsidP="00AE6B2C">
      <w:pPr>
        <w:pStyle w:val="TH"/>
        <w:rPr>
          <w:sz w:val="16"/>
        </w:rPr>
      </w:pPr>
      <w:r w:rsidRPr="00AE6B2C">
        <w:rPr>
          <w:sz w:val="16"/>
        </w:rPr>
        <w:t>Extract of Table 5.2-1</w:t>
      </w:r>
      <w:r>
        <w:rPr>
          <w:sz w:val="16"/>
        </w:rPr>
        <w:t xml:space="preserve"> of </w:t>
      </w:r>
      <w:r>
        <w:rPr>
          <w:sz w:val="16"/>
        </w:rPr>
        <w:fldChar w:fldCharType="begin"/>
      </w:r>
      <w:r>
        <w:rPr>
          <w:sz w:val="16"/>
        </w:rPr>
        <w:instrText xml:space="preserve"> REF _Ref14884830 \r \h </w:instrText>
      </w:r>
      <w:r>
        <w:rPr>
          <w:sz w:val="16"/>
        </w:rPr>
      </w:r>
      <w:r>
        <w:rPr>
          <w:sz w:val="16"/>
        </w:rPr>
        <w:fldChar w:fldCharType="separate"/>
      </w:r>
      <w:r w:rsidR="00533220">
        <w:rPr>
          <w:sz w:val="16"/>
        </w:rPr>
        <w:t>[5]</w:t>
      </w:r>
      <w:r>
        <w:rPr>
          <w:sz w:val="16"/>
        </w:rPr>
        <w:fldChar w:fldCharType="end"/>
      </w:r>
      <w:r w:rsidRPr="00AE6B2C">
        <w:rPr>
          <w:sz w:val="16"/>
        </w:rPr>
        <w:t>: Periodic deterministic communication service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23"/>
        <w:gridCol w:w="777"/>
        <w:gridCol w:w="917"/>
        <w:gridCol w:w="723"/>
        <w:gridCol w:w="697"/>
        <w:gridCol w:w="683"/>
        <w:gridCol w:w="643"/>
        <w:gridCol w:w="516"/>
        <w:gridCol w:w="644"/>
        <w:gridCol w:w="856"/>
      </w:tblGrid>
      <w:tr w:rsidR="00AE6B2C" w:rsidRPr="00AE6B2C" w:rsidTr="00AE6B2C">
        <w:trPr>
          <w:cantSplit/>
          <w:tblHeader/>
        </w:trPr>
        <w:tc>
          <w:tcPr>
            <w:tcW w:w="1940" w:type="pct"/>
            <w:gridSpan w:val="4"/>
            <w:shd w:val="clear" w:color="auto" w:fill="auto"/>
          </w:tcPr>
          <w:p w:rsidR="00AE6B2C" w:rsidRPr="00AE6B2C" w:rsidRDefault="00AE6B2C" w:rsidP="008209DA">
            <w:pPr>
              <w:pStyle w:val="TAH"/>
              <w:rPr>
                <w:sz w:val="12"/>
              </w:rPr>
            </w:pPr>
            <w:r w:rsidRPr="00AE6B2C">
              <w:rPr>
                <w:sz w:val="12"/>
              </w:rPr>
              <w:t>Characteristic parameter</w:t>
            </w:r>
          </w:p>
        </w:tc>
        <w:tc>
          <w:tcPr>
            <w:tcW w:w="2248" w:type="pct"/>
            <w:gridSpan w:val="6"/>
            <w:shd w:val="clear" w:color="auto" w:fill="auto"/>
          </w:tcPr>
          <w:p w:rsidR="00AE6B2C" w:rsidRPr="00AE6B2C" w:rsidRDefault="00AE6B2C" w:rsidP="008209DA">
            <w:pPr>
              <w:pStyle w:val="TAH"/>
              <w:rPr>
                <w:sz w:val="12"/>
              </w:rPr>
            </w:pPr>
            <w:r w:rsidRPr="00AE6B2C">
              <w:rPr>
                <w:sz w:val="12"/>
              </w:rPr>
              <w:t>Influence quantity</w:t>
            </w:r>
          </w:p>
        </w:tc>
        <w:tc>
          <w:tcPr>
            <w:tcW w:w="812" w:type="pct"/>
            <w:shd w:val="clear" w:color="auto" w:fill="auto"/>
          </w:tcPr>
          <w:p w:rsidR="00AE6B2C" w:rsidRPr="00AE6B2C" w:rsidRDefault="00AE6B2C" w:rsidP="008209DA">
            <w:pPr>
              <w:keepNext/>
              <w:keepLines/>
              <w:spacing w:before="60"/>
              <w:jc w:val="center"/>
              <w:rPr>
                <w:rFonts w:ascii="Arial" w:hAnsi="Arial"/>
                <w:b/>
                <w:sz w:val="12"/>
              </w:rPr>
            </w:pPr>
          </w:p>
        </w:tc>
      </w:tr>
      <w:tr w:rsidR="00AE6B2C" w:rsidRPr="00AE6B2C" w:rsidTr="00AE6B2C">
        <w:trPr>
          <w:cantSplit/>
          <w:tblHeader/>
        </w:trPr>
        <w:tc>
          <w:tcPr>
            <w:tcW w:w="482" w:type="pct"/>
            <w:shd w:val="clear" w:color="auto" w:fill="auto"/>
          </w:tcPr>
          <w:p w:rsidR="00AE6B2C" w:rsidRPr="00AE6B2C" w:rsidRDefault="00AE6B2C" w:rsidP="008209DA">
            <w:pPr>
              <w:pStyle w:val="TAH"/>
              <w:rPr>
                <w:sz w:val="12"/>
              </w:rPr>
            </w:pPr>
            <w:r w:rsidRPr="00AE6B2C">
              <w:rPr>
                <w:sz w:val="12"/>
              </w:rPr>
              <w:t>Communica</w:t>
            </w:r>
            <w:r w:rsidRPr="00AE6B2C">
              <w:rPr>
                <w:sz w:val="12"/>
              </w:rPr>
              <w:softHyphen/>
              <w:t>tion service availability: target value (note 1)</w:t>
            </w:r>
          </w:p>
        </w:tc>
        <w:tc>
          <w:tcPr>
            <w:tcW w:w="575" w:type="pct"/>
            <w:shd w:val="clear" w:color="auto" w:fill="auto"/>
          </w:tcPr>
          <w:p w:rsidR="00AE6B2C" w:rsidRPr="00AE6B2C" w:rsidRDefault="00AE6B2C" w:rsidP="008209DA">
            <w:pPr>
              <w:pStyle w:val="TAH"/>
              <w:rPr>
                <w:sz w:val="12"/>
              </w:rPr>
            </w:pPr>
            <w:r w:rsidRPr="00AE6B2C">
              <w:rPr>
                <w:sz w:val="12"/>
              </w:rPr>
              <w:t>Communication service reliability: mean time between failures</w:t>
            </w:r>
          </w:p>
        </w:tc>
        <w:tc>
          <w:tcPr>
            <w:tcW w:w="418" w:type="pct"/>
            <w:shd w:val="clear" w:color="auto" w:fill="auto"/>
          </w:tcPr>
          <w:p w:rsidR="00AE6B2C" w:rsidRPr="00AE6B2C" w:rsidRDefault="00AE6B2C" w:rsidP="008209DA">
            <w:pPr>
              <w:pStyle w:val="TAH"/>
              <w:rPr>
                <w:sz w:val="12"/>
              </w:rPr>
            </w:pPr>
            <w:r w:rsidRPr="00AE6B2C">
              <w:rPr>
                <w:sz w:val="12"/>
              </w:rPr>
              <w:t>End-to-end latency: maximum (note 2)</w:t>
            </w:r>
          </w:p>
        </w:tc>
        <w:tc>
          <w:tcPr>
            <w:tcW w:w="465" w:type="pct"/>
            <w:shd w:val="clear" w:color="auto" w:fill="auto"/>
          </w:tcPr>
          <w:p w:rsidR="00AE6B2C" w:rsidRPr="00AE6B2C" w:rsidRDefault="00AE6B2C" w:rsidP="008209DA">
            <w:pPr>
              <w:pStyle w:val="TAH"/>
              <w:rPr>
                <w:sz w:val="12"/>
              </w:rPr>
            </w:pPr>
            <w:r w:rsidRPr="00AE6B2C">
              <w:rPr>
                <w:sz w:val="12"/>
              </w:rPr>
              <w:t>Service bit rate: user experienced data rate</w:t>
            </w:r>
          </w:p>
        </w:tc>
        <w:tc>
          <w:tcPr>
            <w:tcW w:w="353" w:type="pct"/>
            <w:shd w:val="clear" w:color="auto" w:fill="auto"/>
          </w:tcPr>
          <w:p w:rsidR="00AE6B2C" w:rsidRPr="00AE6B2C" w:rsidRDefault="00AE6B2C" w:rsidP="008209DA">
            <w:pPr>
              <w:pStyle w:val="TAH"/>
              <w:rPr>
                <w:sz w:val="12"/>
              </w:rPr>
            </w:pPr>
            <w:r w:rsidRPr="00AE6B2C">
              <w:rPr>
                <w:sz w:val="12"/>
              </w:rPr>
              <w:t>Message size [byte]</w:t>
            </w:r>
          </w:p>
        </w:tc>
        <w:tc>
          <w:tcPr>
            <w:tcW w:w="446" w:type="pct"/>
          </w:tcPr>
          <w:p w:rsidR="00AE6B2C" w:rsidRPr="00AE6B2C" w:rsidRDefault="00AE6B2C" w:rsidP="008209DA">
            <w:pPr>
              <w:pStyle w:val="TAH"/>
              <w:rPr>
                <w:sz w:val="12"/>
              </w:rPr>
            </w:pPr>
            <w:r w:rsidRPr="00AE6B2C">
              <w:rPr>
                <w:sz w:val="12"/>
              </w:rPr>
              <w:t>Transfer interval: target value</w:t>
            </w:r>
          </w:p>
        </w:tc>
        <w:tc>
          <w:tcPr>
            <w:tcW w:w="334" w:type="pct"/>
          </w:tcPr>
          <w:p w:rsidR="00AE6B2C" w:rsidRPr="00AE6B2C" w:rsidRDefault="00AE6B2C" w:rsidP="008209DA">
            <w:pPr>
              <w:pStyle w:val="TAH"/>
              <w:rPr>
                <w:sz w:val="12"/>
              </w:rPr>
            </w:pPr>
            <w:r w:rsidRPr="00AE6B2C">
              <w:rPr>
                <w:sz w:val="12"/>
              </w:rPr>
              <w:t>Survival time</w:t>
            </w:r>
          </w:p>
        </w:tc>
        <w:tc>
          <w:tcPr>
            <w:tcW w:w="372" w:type="pct"/>
          </w:tcPr>
          <w:p w:rsidR="00AE6B2C" w:rsidRPr="00AE6B2C" w:rsidRDefault="00AE6B2C" w:rsidP="008209DA">
            <w:pPr>
              <w:pStyle w:val="TAH"/>
              <w:rPr>
                <w:sz w:val="12"/>
              </w:rPr>
            </w:pPr>
            <w:r w:rsidRPr="00AE6B2C">
              <w:rPr>
                <w:sz w:val="12"/>
              </w:rPr>
              <w:t xml:space="preserve">UE </w:t>
            </w:r>
            <w:r w:rsidRPr="00AE6B2C">
              <w:rPr>
                <w:sz w:val="12"/>
              </w:rPr>
              <w:br/>
              <w:t>speed</w:t>
            </w:r>
          </w:p>
        </w:tc>
        <w:tc>
          <w:tcPr>
            <w:tcW w:w="334" w:type="pct"/>
          </w:tcPr>
          <w:p w:rsidR="00AE6B2C" w:rsidRPr="00AE6B2C" w:rsidRDefault="00AE6B2C" w:rsidP="008209DA">
            <w:pPr>
              <w:pStyle w:val="TAH"/>
              <w:rPr>
                <w:sz w:val="12"/>
              </w:rPr>
            </w:pPr>
            <w:r w:rsidRPr="00AE6B2C">
              <w:rPr>
                <w:sz w:val="12"/>
              </w:rPr>
              <w:t># of UEs</w:t>
            </w:r>
          </w:p>
        </w:tc>
        <w:tc>
          <w:tcPr>
            <w:tcW w:w="409" w:type="pct"/>
          </w:tcPr>
          <w:p w:rsidR="00AE6B2C" w:rsidRPr="00AE6B2C" w:rsidRDefault="00AE6B2C" w:rsidP="008209DA">
            <w:pPr>
              <w:pStyle w:val="TAH"/>
              <w:rPr>
                <w:sz w:val="12"/>
              </w:rPr>
            </w:pPr>
            <w:r w:rsidRPr="00AE6B2C">
              <w:rPr>
                <w:sz w:val="12"/>
              </w:rPr>
              <w:t xml:space="preserve">Service area </w:t>
            </w:r>
            <w:r w:rsidRPr="00AE6B2C">
              <w:rPr>
                <w:sz w:val="12"/>
              </w:rPr>
              <w:br/>
              <w:t>(note 3)</w:t>
            </w:r>
          </w:p>
        </w:tc>
        <w:tc>
          <w:tcPr>
            <w:tcW w:w="812" w:type="pct"/>
          </w:tcPr>
          <w:p w:rsidR="00AE6B2C" w:rsidRPr="00AE6B2C" w:rsidRDefault="00AE6B2C" w:rsidP="008209DA">
            <w:pPr>
              <w:pStyle w:val="TAH"/>
              <w:rPr>
                <w:sz w:val="12"/>
              </w:rPr>
            </w:pPr>
            <w:r w:rsidRPr="00AE6B2C">
              <w:rPr>
                <w:sz w:val="12"/>
              </w:rPr>
              <w:t>Remarks</w:t>
            </w:r>
          </w:p>
        </w:tc>
      </w:tr>
      <w:tr w:rsidR="00AE6B2C" w:rsidRPr="00AE6B2C" w:rsidTr="00AE6B2C">
        <w:trPr>
          <w:cantSplit/>
        </w:trPr>
        <w:tc>
          <w:tcPr>
            <w:tcW w:w="482" w:type="pct"/>
            <w:shd w:val="clear" w:color="auto" w:fill="auto"/>
          </w:tcPr>
          <w:p w:rsidR="00AE6B2C" w:rsidRPr="00AE6B2C" w:rsidRDefault="00AE6B2C" w:rsidP="008209DA">
            <w:pPr>
              <w:pStyle w:val="TAL"/>
              <w:rPr>
                <w:sz w:val="12"/>
              </w:rPr>
            </w:pPr>
            <w:r w:rsidRPr="00AE6B2C">
              <w:rPr>
                <w:sz w:val="12"/>
              </w:rPr>
              <w:t>99,999 % to 99,99999 %</w:t>
            </w:r>
          </w:p>
        </w:tc>
        <w:tc>
          <w:tcPr>
            <w:tcW w:w="575" w:type="pct"/>
            <w:shd w:val="clear" w:color="auto" w:fill="auto"/>
          </w:tcPr>
          <w:p w:rsidR="00AE6B2C" w:rsidRPr="00AE6B2C" w:rsidRDefault="00AE6B2C" w:rsidP="008209DA">
            <w:pPr>
              <w:pStyle w:val="TAL"/>
              <w:rPr>
                <w:sz w:val="12"/>
              </w:rPr>
            </w:pPr>
            <w:r w:rsidRPr="00AE6B2C">
              <w:rPr>
                <w:sz w:val="12"/>
              </w:rPr>
              <w:t>~ 10 years</w:t>
            </w:r>
          </w:p>
          <w:p w:rsidR="00AE6B2C" w:rsidRPr="00AE6B2C" w:rsidRDefault="00AE6B2C" w:rsidP="008209DA">
            <w:pPr>
              <w:pStyle w:val="TAL"/>
              <w:rPr>
                <w:sz w:val="12"/>
              </w:rPr>
            </w:pPr>
          </w:p>
        </w:tc>
        <w:tc>
          <w:tcPr>
            <w:tcW w:w="418" w:type="pct"/>
            <w:shd w:val="clear" w:color="auto" w:fill="auto"/>
          </w:tcPr>
          <w:p w:rsidR="00AE6B2C" w:rsidRPr="00AE6B2C" w:rsidRDefault="00AE6B2C" w:rsidP="008209DA">
            <w:pPr>
              <w:pStyle w:val="TAL"/>
              <w:rPr>
                <w:sz w:val="12"/>
              </w:rPr>
            </w:pPr>
            <w:r w:rsidRPr="00AE6B2C">
              <w:rPr>
                <w:sz w:val="12"/>
              </w:rPr>
              <w:t>&lt; transfer interval value</w:t>
            </w:r>
          </w:p>
        </w:tc>
        <w:tc>
          <w:tcPr>
            <w:tcW w:w="465" w:type="pct"/>
            <w:shd w:val="clear" w:color="auto" w:fill="auto"/>
          </w:tcPr>
          <w:p w:rsidR="00AE6B2C" w:rsidRPr="00AE6B2C" w:rsidRDefault="00AE6B2C" w:rsidP="008209DA">
            <w:pPr>
              <w:pStyle w:val="TAL"/>
              <w:rPr>
                <w:sz w:val="12"/>
              </w:rPr>
            </w:pPr>
            <w:r w:rsidRPr="00AE6B2C">
              <w:rPr>
                <w:sz w:val="12"/>
              </w:rPr>
              <w:t>–</w:t>
            </w:r>
          </w:p>
        </w:tc>
        <w:tc>
          <w:tcPr>
            <w:tcW w:w="353" w:type="pct"/>
            <w:shd w:val="clear" w:color="auto" w:fill="auto"/>
          </w:tcPr>
          <w:p w:rsidR="00AE6B2C" w:rsidRPr="00AE6B2C" w:rsidRDefault="00AE6B2C" w:rsidP="008209DA">
            <w:pPr>
              <w:pStyle w:val="TAL"/>
              <w:rPr>
                <w:sz w:val="12"/>
              </w:rPr>
            </w:pPr>
            <w:r w:rsidRPr="00AE6B2C">
              <w:rPr>
                <w:sz w:val="12"/>
              </w:rPr>
              <w:t>50</w:t>
            </w:r>
          </w:p>
        </w:tc>
        <w:tc>
          <w:tcPr>
            <w:tcW w:w="446" w:type="pct"/>
          </w:tcPr>
          <w:p w:rsidR="00AE6B2C" w:rsidRPr="00AE6B2C" w:rsidRDefault="00AE6B2C" w:rsidP="008209DA">
            <w:pPr>
              <w:pStyle w:val="TAL"/>
              <w:rPr>
                <w:sz w:val="12"/>
                <w:highlight w:val="yellow"/>
              </w:rPr>
            </w:pPr>
            <w:r w:rsidRPr="00AE6B2C">
              <w:rPr>
                <w:sz w:val="12"/>
                <w:highlight w:val="yellow"/>
              </w:rPr>
              <w:t>500 </w:t>
            </w:r>
            <w:proofErr w:type="spellStart"/>
            <w:r w:rsidRPr="00AE6B2C">
              <w:rPr>
                <w:sz w:val="12"/>
                <w:highlight w:val="yellow"/>
              </w:rPr>
              <w:t>μs</w:t>
            </w:r>
            <w:proofErr w:type="spellEnd"/>
            <w:r w:rsidRPr="00AE6B2C">
              <w:rPr>
                <w:sz w:val="12"/>
                <w:highlight w:val="yellow"/>
              </w:rPr>
              <w:t xml:space="preserve"> </w:t>
            </w:r>
          </w:p>
        </w:tc>
        <w:tc>
          <w:tcPr>
            <w:tcW w:w="334" w:type="pct"/>
          </w:tcPr>
          <w:p w:rsidR="00AE6B2C" w:rsidRPr="00AE6B2C" w:rsidRDefault="00AE6B2C" w:rsidP="008209DA">
            <w:pPr>
              <w:pStyle w:val="TAL"/>
              <w:rPr>
                <w:sz w:val="12"/>
              </w:rPr>
            </w:pPr>
            <w:r w:rsidRPr="00AE6B2C">
              <w:rPr>
                <w:sz w:val="12"/>
              </w:rPr>
              <w:t>500 </w:t>
            </w:r>
            <w:proofErr w:type="spellStart"/>
            <w:r w:rsidRPr="00AE6B2C">
              <w:rPr>
                <w:sz w:val="12"/>
              </w:rPr>
              <w:t>μs</w:t>
            </w:r>
            <w:proofErr w:type="spellEnd"/>
          </w:p>
        </w:tc>
        <w:tc>
          <w:tcPr>
            <w:tcW w:w="372" w:type="pct"/>
          </w:tcPr>
          <w:p w:rsidR="00AE6B2C" w:rsidRPr="00AE6B2C" w:rsidRDefault="00AE6B2C" w:rsidP="008209DA">
            <w:pPr>
              <w:pStyle w:val="TAL"/>
              <w:rPr>
                <w:sz w:val="12"/>
              </w:rPr>
            </w:pPr>
            <w:r w:rsidRPr="00AE6B2C">
              <w:rPr>
                <w:sz w:val="12"/>
              </w:rPr>
              <w:t>≤ 75 km/h</w:t>
            </w:r>
          </w:p>
        </w:tc>
        <w:tc>
          <w:tcPr>
            <w:tcW w:w="334" w:type="pct"/>
          </w:tcPr>
          <w:p w:rsidR="00AE6B2C" w:rsidRPr="00AE6B2C" w:rsidRDefault="00AE6B2C" w:rsidP="008209DA">
            <w:pPr>
              <w:pStyle w:val="TAL"/>
              <w:rPr>
                <w:sz w:val="12"/>
              </w:rPr>
            </w:pPr>
            <w:r w:rsidRPr="00AE6B2C">
              <w:rPr>
                <w:sz w:val="12"/>
              </w:rPr>
              <w:t>≤ 20</w:t>
            </w:r>
          </w:p>
        </w:tc>
        <w:tc>
          <w:tcPr>
            <w:tcW w:w="409" w:type="pct"/>
          </w:tcPr>
          <w:p w:rsidR="00AE6B2C" w:rsidRPr="00AE6B2C" w:rsidRDefault="00AE6B2C" w:rsidP="008209DA">
            <w:pPr>
              <w:pStyle w:val="TAL"/>
              <w:rPr>
                <w:sz w:val="12"/>
              </w:rPr>
            </w:pPr>
            <w:r w:rsidRPr="00AE6B2C">
              <w:rPr>
                <w:sz w:val="12"/>
              </w:rPr>
              <w:t>50 m x 10 m x 10 m</w:t>
            </w:r>
          </w:p>
        </w:tc>
        <w:tc>
          <w:tcPr>
            <w:tcW w:w="812" w:type="pct"/>
          </w:tcPr>
          <w:p w:rsidR="00AE6B2C" w:rsidRPr="00AE6B2C" w:rsidRDefault="00AE6B2C" w:rsidP="008209DA">
            <w:pPr>
              <w:pStyle w:val="TAL"/>
              <w:rPr>
                <w:sz w:val="12"/>
              </w:rPr>
            </w:pPr>
            <w:r w:rsidRPr="00AE6B2C">
              <w:rPr>
                <w:sz w:val="12"/>
              </w:rPr>
              <w:t>Motion control (A.2.2.1)</w:t>
            </w:r>
          </w:p>
        </w:tc>
      </w:tr>
      <w:tr w:rsidR="00AE6B2C" w:rsidRPr="00AE6B2C" w:rsidTr="00AE6B2C">
        <w:trPr>
          <w:cantSplit/>
        </w:trPr>
        <w:tc>
          <w:tcPr>
            <w:tcW w:w="482" w:type="pct"/>
            <w:shd w:val="clear" w:color="auto" w:fill="auto"/>
          </w:tcPr>
          <w:p w:rsidR="00AE6B2C" w:rsidRPr="00AE6B2C" w:rsidRDefault="00AE6B2C" w:rsidP="008209DA">
            <w:pPr>
              <w:pStyle w:val="TAL"/>
              <w:rPr>
                <w:sz w:val="12"/>
              </w:rPr>
            </w:pPr>
            <w:r w:rsidRPr="00AE6B2C">
              <w:rPr>
                <w:sz w:val="12"/>
              </w:rPr>
              <w:t>99,9999 % to 99,999999 %</w:t>
            </w:r>
          </w:p>
        </w:tc>
        <w:tc>
          <w:tcPr>
            <w:tcW w:w="575" w:type="pct"/>
            <w:shd w:val="clear" w:color="auto" w:fill="auto"/>
          </w:tcPr>
          <w:p w:rsidR="00AE6B2C" w:rsidRPr="00AE6B2C" w:rsidRDefault="00AE6B2C" w:rsidP="008209DA">
            <w:pPr>
              <w:pStyle w:val="TAL"/>
              <w:rPr>
                <w:sz w:val="12"/>
              </w:rPr>
            </w:pPr>
            <w:r w:rsidRPr="00AE6B2C">
              <w:rPr>
                <w:sz w:val="12"/>
              </w:rPr>
              <w:t>~ 10 years</w:t>
            </w:r>
          </w:p>
        </w:tc>
        <w:tc>
          <w:tcPr>
            <w:tcW w:w="418" w:type="pct"/>
            <w:shd w:val="clear" w:color="auto" w:fill="auto"/>
          </w:tcPr>
          <w:p w:rsidR="00AE6B2C" w:rsidRPr="00AE6B2C" w:rsidRDefault="00AE6B2C" w:rsidP="008209DA">
            <w:pPr>
              <w:pStyle w:val="TAL"/>
              <w:rPr>
                <w:sz w:val="12"/>
              </w:rPr>
            </w:pPr>
            <w:r w:rsidRPr="00AE6B2C">
              <w:rPr>
                <w:sz w:val="12"/>
              </w:rPr>
              <w:t>&lt; transfer interval value</w:t>
            </w:r>
          </w:p>
        </w:tc>
        <w:tc>
          <w:tcPr>
            <w:tcW w:w="465" w:type="pct"/>
            <w:shd w:val="clear" w:color="auto" w:fill="auto"/>
          </w:tcPr>
          <w:p w:rsidR="00AE6B2C" w:rsidRPr="00AE6B2C" w:rsidRDefault="00AE6B2C" w:rsidP="008209DA">
            <w:pPr>
              <w:pStyle w:val="TAL"/>
              <w:rPr>
                <w:sz w:val="12"/>
              </w:rPr>
            </w:pPr>
            <w:r w:rsidRPr="00AE6B2C">
              <w:rPr>
                <w:sz w:val="12"/>
              </w:rPr>
              <w:t>–</w:t>
            </w:r>
          </w:p>
        </w:tc>
        <w:tc>
          <w:tcPr>
            <w:tcW w:w="353" w:type="pct"/>
            <w:shd w:val="clear" w:color="auto" w:fill="auto"/>
          </w:tcPr>
          <w:p w:rsidR="00AE6B2C" w:rsidRPr="00AE6B2C" w:rsidRDefault="00AE6B2C" w:rsidP="008209DA">
            <w:pPr>
              <w:pStyle w:val="TAL"/>
              <w:rPr>
                <w:sz w:val="12"/>
              </w:rPr>
            </w:pPr>
            <w:r w:rsidRPr="00AE6B2C">
              <w:rPr>
                <w:sz w:val="12"/>
              </w:rPr>
              <w:t>40</w:t>
            </w:r>
          </w:p>
        </w:tc>
        <w:tc>
          <w:tcPr>
            <w:tcW w:w="446" w:type="pct"/>
          </w:tcPr>
          <w:p w:rsidR="00AE6B2C" w:rsidRPr="00AE6B2C" w:rsidRDefault="00AE6B2C" w:rsidP="008209DA">
            <w:pPr>
              <w:pStyle w:val="TAL"/>
              <w:rPr>
                <w:sz w:val="12"/>
                <w:highlight w:val="yellow"/>
              </w:rPr>
            </w:pPr>
            <w:r w:rsidRPr="00AE6B2C">
              <w:rPr>
                <w:sz w:val="12"/>
                <w:highlight w:val="yellow"/>
              </w:rPr>
              <w:t xml:space="preserve">1 </w:t>
            </w:r>
            <w:proofErr w:type="spellStart"/>
            <w:r w:rsidRPr="00AE6B2C">
              <w:rPr>
                <w:sz w:val="12"/>
                <w:highlight w:val="yellow"/>
              </w:rPr>
              <w:t>ms</w:t>
            </w:r>
            <w:proofErr w:type="spellEnd"/>
            <w:r w:rsidRPr="00AE6B2C">
              <w:rPr>
                <w:sz w:val="12"/>
                <w:highlight w:val="yellow"/>
              </w:rPr>
              <w:t xml:space="preserve"> </w:t>
            </w:r>
          </w:p>
        </w:tc>
        <w:tc>
          <w:tcPr>
            <w:tcW w:w="334" w:type="pct"/>
          </w:tcPr>
          <w:p w:rsidR="00AE6B2C" w:rsidRPr="00AE6B2C" w:rsidRDefault="00AE6B2C" w:rsidP="008209DA">
            <w:pPr>
              <w:pStyle w:val="TAL"/>
              <w:rPr>
                <w:sz w:val="12"/>
              </w:rPr>
            </w:pPr>
            <w:r w:rsidRPr="00AE6B2C">
              <w:rPr>
                <w:sz w:val="12"/>
              </w:rPr>
              <w:t xml:space="preserve">1 </w:t>
            </w:r>
            <w:proofErr w:type="spellStart"/>
            <w:r w:rsidRPr="00AE6B2C">
              <w:rPr>
                <w:sz w:val="12"/>
              </w:rPr>
              <w:t>ms</w:t>
            </w:r>
            <w:proofErr w:type="spellEnd"/>
          </w:p>
        </w:tc>
        <w:tc>
          <w:tcPr>
            <w:tcW w:w="372" w:type="pct"/>
          </w:tcPr>
          <w:p w:rsidR="00AE6B2C" w:rsidRPr="00AE6B2C" w:rsidRDefault="00AE6B2C" w:rsidP="008209DA">
            <w:pPr>
              <w:pStyle w:val="TAL"/>
              <w:rPr>
                <w:sz w:val="12"/>
              </w:rPr>
            </w:pPr>
            <w:r w:rsidRPr="00AE6B2C">
              <w:rPr>
                <w:sz w:val="12"/>
              </w:rPr>
              <w:t>≤ 75 km/h</w:t>
            </w:r>
          </w:p>
        </w:tc>
        <w:tc>
          <w:tcPr>
            <w:tcW w:w="334" w:type="pct"/>
          </w:tcPr>
          <w:p w:rsidR="00AE6B2C" w:rsidRPr="00AE6B2C" w:rsidRDefault="00AE6B2C" w:rsidP="008209DA">
            <w:pPr>
              <w:pStyle w:val="TAL"/>
              <w:rPr>
                <w:sz w:val="12"/>
              </w:rPr>
            </w:pPr>
            <w:r w:rsidRPr="00AE6B2C">
              <w:rPr>
                <w:sz w:val="12"/>
              </w:rPr>
              <w:t>≤ 50</w:t>
            </w:r>
          </w:p>
        </w:tc>
        <w:tc>
          <w:tcPr>
            <w:tcW w:w="409" w:type="pct"/>
          </w:tcPr>
          <w:p w:rsidR="00AE6B2C" w:rsidRPr="00AE6B2C" w:rsidRDefault="00AE6B2C" w:rsidP="008209DA">
            <w:pPr>
              <w:pStyle w:val="TAL"/>
              <w:rPr>
                <w:sz w:val="12"/>
              </w:rPr>
            </w:pPr>
            <w:r w:rsidRPr="00AE6B2C">
              <w:rPr>
                <w:sz w:val="12"/>
              </w:rPr>
              <w:t>50 m x 10 m x 10 m</w:t>
            </w:r>
          </w:p>
        </w:tc>
        <w:tc>
          <w:tcPr>
            <w:tcW w:w="812" w:type="pct"/>
          </w:tcPr>
          <w:p w:rsidR="00AE6B2C" w:rsidRPr="00AE6B2C" w:rsidRDefault="00AE6B2C" w:rsidP="008209DA">
            <w:pPr>
              <w:pStyle w:val="TAL"/>
              <w:rPr>
                <w:sz w:val="12"/>
              </w:rPr>
            </w:pPr>
            <w:r w:rsidRPr="00AE6B2C">
              <w:rPr>
                <w:sz w:val="12"/>
              </w:rPr>
              <w:t>Motion control (A.2.2.1)</w:t>
            </w:r>
          </w:p>
        </w:tc>
      </w:tr>
      <w:tr w:rsidR="00AE6B2C" w:rsidRPr="00AE6B2C" w:rsidTr="00AE6B2C">
        <w:trPr>
          <w:cantSplit/>
        </w:trPr>
        <w:tc>
          <w:tcPr>
            <w:tcW w:w="482" w:type="pct"/>
            <w:shd w:val="clear" w:color="auto" w:fill="auto"/>
          </w:tcPr>
          <w:p w:rsidR="00AE6B2C" w:rsidRPr="00AE6B2C" w:rsidRDefault="00AE6B2C" w:rsidP="008209DA">
            <w:pPr>
              <w:pStyle w:val="TAL"/>
              <w:rPr>
                <w:sz w:val="12"/>
              </w:rPr>
            </w:pPr>
            <w:r w:rsidRPr="00AE6B2C">
              <w:rPr>
                <w:sz w:val="12"/>
              </w:rPr>
              <w:t>99,9999 % to 99,999999 %</w:t>
            </w:r>
          </w:p>
        </w:tc>
        <w:tc>
          <w:tcPr>
            <w:tcW w:w="575" w:type="pct"/>
            <w:shd w:val="clear" w:color="auto" w:fill="auto"/>
          </w:tcPr>
          <w:p w:rsidR="00AE6B2C" w:rsidRPr="00AE6B2C" w:rsidRDefault="00AE6B2C" w:rsidP="008209DA">
            <w:pPr>
              <w:pStyle w:val="TAL"/>
              <w:rPr>
                <w:sz w:val="12"/>
              </w:rPr>
            </w:pPr>
            <w:r w:rsidRPr="00AE6B2C">
              <w:rPr>
                <w:sz w:val="12"/>
              </w:rPr>
              <w:t>~ 10 years</w:t>
            </w:r>
          </w:p>
        </w:tc>
        <w:tc>
          <w:tcPr>
            <w:tcW w:w="418" w:type="pct"/>
            <w:shd w:val="clear" w:color="auto" w:fill="auto"/>
          </w:tcPr>
          <w:p w:rsidR="00AE6B2C" w:rsidRPr="00AE6B2C" w:rsidRDefault="00AE6B2C" w:rsidP="008209DA">
            <w:pPr>
              <w:pStyle w:val="TAL"/>
              <w:rPr>
                <w:sz w:val="12"/>
              </w:rPr>
            </w:pPr>
            <w:r w:rsidRPr="00AE6B2C">
              <w:rPr>
                <w:sz w:val="12"/>
              </w:rPr>
              <w:t>&lt; transfer interval value</w:t>
            </w:r>
          </w:p>
        </w:tc>
        <w:tc>
          <w:tcPr>
            <w:tcW w:w="465" w:type="pct"/>
            <w:shd w:val="clear" w:color="auto" w:fill="auto"/>
          </w:tcPr>
          <w:p w:rsidR="00AE6B2C" w:rsidRPr="00AE6B2C" w:rsidRDefault="00AE6B2C" w:rsidP="008209DA">
            <w:pPr>
              <w:pStyle w:val="TAL"/>
              <w:rPr>
                <w:sz w:val="12"/>
              </w:rPr>
            </w:pPr>
            <w:r w:rsidRPr="00AE6B2C">
              <w:rPr>
                <w:sz w:val="12"/>
              </w:rPr>
              <w:t>–</w:t>
            </w:r>
          </w:p>
        </w:tc>
        <w:tc>
          <w:tcPr>
            <w:tcW w:w="353" w:type="pct"/>
            <w:shd w:val="clear" w:color="auto" w:fill="auto"/>
          </w:tcPr>
          <w:p w:rsidR="00AE6B2C" w:rsidRPr="00AE6B2C" w:rsidRDefault="00AE6B2C" w:rsidP="008209DA">
            <w:pPr>
              <w:pStyle w:val="TAL"/>
              <w:rPr>
                <w:sz w:val="12"/>
              </w:rPr>
            </w:pPr>
            <w:r w:rsidRPr="00AE6B2C">
              <w:rPr>
                <w:color w:val="000000"/>
                <w:sz w:val="12"/>
              </w:rPr>
              <w:t>20</w:t>
            </w:r>
          </w:p>
        </w:tc>
        <w:tc>
          <w:tcPr>
            <w:tcW w:w="446" w:type="pct"/>
          </w:tcPr>
          <w:p w:rsidR="00AE6B2C" w:rsidRPr="00AE6B2C" w:rsidRDefault="00AE6B2C" w:rsidP="008209DA">
            <w:pPr>
              <w:pStyle w:val="TAL"/>
              <w:rPr>
                <w:sz w:val="12"/>
                <w:highlight w:val="yellow"/>
              </w:rPr>
            </w:pPr>
            <w:r w:rsidRPr="00AE6B2C">
              <w:rPr>
                <w:sz w:val="12"/>
                <w:highlight w:val="yellow"/>
              </w:rPr>
              <w:t xml:space="preserve">2 </w:t>
            </w:r>
            <w:proofErr w:type="spellStart"/>
            <w:r w:rsidRPr="00AE6B2C">
              <w:rPr>
                <w:sz w:val="12"/>
                <w:highlight w:val="yellow"/>
              </w:rPr>
              <w:t>ms</w:t>
            </w:r>
            <w:proofErr w:type="spellEnd"/>
            <w:r w:rsidRPr="00AE6B2C">
              <w:rPr>
                <w:sz w:val="12"/>
                <w:highlight w:val="yellow"/>
              </w:rPr>
              <w:t xml:space="preserve"> </w:t>
            </w:r>
          </w:p>
        </w:tc>
        <w:tc>
          <w:tcPr>
            <w:tcW w:w="334" w:type="pct"/>
          </w:tcPr>
          <w:p w:rsidR="00AE6B2C" w:rsidRPr="00AE6B2C" w:rsidRDefault="00AE6B2C" w:rsidP="008209DA">
            <w:pPr>
              <w:pStyle w:val="TAL"/>
              <w:rPr>
                <w:sz w:val="12"/>
              </w:rPr>
            </w:pPr>
            <w:r w:rsidRPr="00AE6B2C">
              <w:rPr>
                <w:sz w:val="12"/>
              </w:rPr>
              <w:t xml:space="preserve">2 </w:t>
            </w:r>
            <w:proofErr w:type="spellStart"/>
            <w:r w:rsidRPr="00AE6B2C">
              <w:rPr>
                <w:sz w:val="12"/>
              </w:rPr>
              <w:t>ms</w:t>
            </w:r>
            <w:proofErr w:type="spellEnd"/>
          </w:p>
        </w:tc>
        <w:tc>
          <w:tcPr>
            <w:tcW w:w="372" w:type="pct"/>
          </w:tcPr>
          <w:p w:rsidR="00AE6B2C" w:rsidRPr="00AE6B2C" w:rsidRDefault="00AE6B2C" w:rsidP="008209DA">
            <w:pPr>
              <w:pStyle w:val="TAL"/>
              <w:rPr>
                <w:sz w:val="12"/>
              </w:rPr>
            </w:pPr>
            <w:r w:rsidRPr="00AE6B2C">
              <w:rPr>
                <w:sz w:val="12"/>
              </w:rPr>
              <w:t>≤ 75 km/h</w:t>
            </w:r>
          </w:p>
        </w:tc>
        <w:tc>
          <w:tcPr>
            <w:tcW w:w="334" w:type="pct"/>
          </w:tcPr>
          <w:p w:rsidR="00AE6B2C" w:rsidRPr="00AE6B2C" w:rsidRDefault="00AE6B2C" w:rsidP="008209DA">
            <w:pPr>
              <w:pStyle w:val="TAL"/>
              <w:rPr>
                <w:sz w:val="12"/>
              </w:rPr>
            </w:pPr>
            <w:r w:rsidRPr="00AE6B2C">
              <w:rPr>
                <w:sz w:val="12"/>
              </w:rPr>
              <w:t>≤ 100</w:t>
            </w:r>
          </w:p>
        </w:tc>
        <w:tc>
          <w:tcPr>
            <w:tcW w:w="409" w:type="pct"/>
          </w:tcPr>
          <w:p w:rsidR="00AE6B2C" w:rsidRPr="00AE6B2C" w:rsidRDefault="00AE6B2C" w:rsidP="008209DA">
            <w:pPr>
              <w:pStyle w:val="TAL"/>
              <w:rPr>
                <w:sz w:val="12"/>
              </w:rPr>
            </w:pPr>
            <w:r w:rsidRPr="00AE6B2C">
              <w:rPr>
                <w:sz w:val="12"/>
              </w:rPr>
              <w:t>50 m x 10 m x 10 m</w:t>
            </w:r>
          </w:p>
        </w:tc>
        <w:tc>
          <w:tcPr>
            <w:tcW w:w="812" w:type="pct"/>
          </w:tcPr>
          <w:p w:rsidR="00AE6B2C" w:rsidRPr="00AE6B2C" w:rsidRDefault="00AE6B2C" w:rsidP="008209DA">
            <w:pPr>
              <w:pStyle w:val="TAL"/>
              <w:rPr>
                <w:sz w:val="12"/>
              </w:rPr>
            </w:pPr>
            <w:r w:rsidRPr="00AE6B2C">
              <w:rPr>
                <w:sz w:val="12"/>
              </w:rPr>
              <w:t>Motion control (A.2.2.1)</w:t>
            </w:r>
          </w:p>
        </w:tc>
      </w:tr>
      <w:tr w:rsidR="00AE6B2C" w:rsidRPr="00AE6B2C" w:rsidTr="00AE6B2C">
        <w:trPr>
          <w:cantSplit/>
        </w:trPr>
        <w:tc>
          <w:tcPr>
            <w:tcW w:w="482" w:type="pct"/>
            <w:shd w:val="clear" w:color="auto" w:fill="auto"/>
          </w:tcPr>
          <w:p w:rsidR="00AE6B2C" w:rsidRPr="00AE6B2C" w:rsidRDefault="00AE6B2C" w:rsidP="008209DA">
            <w:pPr>
              <w:pStyle w:val="TAL"/>
              <w:rPr>
                <w:sz w:val="12"/>
              </w:rPr>
            </w:pPr>
            <w:r w:rsidRPr="00AE6B2C">
              <w:rPr>
                <w:sz w:val="12"/>
              </w:rPr>
              <w:t>…</w:t>
            </w:r>
          </w:p>
        </w:tc>
        <w:tc>
          <w:tcPr>
            <w:tcW w:w="575" w:type="pct"/>
            <w:shd w:val="clear" w:color="auto" w:fill="auto"/>
          </w:tcPr>
          <w:p w:rsidR="00AE6B2C" w:rsidRPr="00AE6B2C" w:rsidRDefault="00AE6B2C" w:rsidP="008209DA">
            <w:pPr>
              <w:pStyle w:val="TAL"/>
              <w:rPr>
                <w:sz w:val="12"/>
              </w:rPr>
            </w:pPr>
          </w:p>
        </w:tc>
        <w:tc>
          <w:tcPr>
            <w:tcW w:w="418" w:type="pct"/>
            <w:shd w:val="clear" w:color="auto" w:fill="auto"/>
          </w:tcPr>
          <w:p w:rsidR="00AE6B2C" w:rsidRPr="00AE6B2C" w:rsidRDefault="00AE6B2C" w:rsidP="008209DA">
            <w:pPr>
              <w:pStyle w:val="TAL"/>
              <w:rPr>
                <w:sz w:val="12"/>
              </w:rPr>
            </w:pPr>
          </w:p>
        </w:tc>
        <w:tc>
          <w:tcPr>
            <w:tcW w:w="465" w:type="pct"/>
            <w:shd w:val="clear" w:color="auto" w:fill="auto"/>
          </w:tcPr>
          <w:p w:rsidR="00AE6B2C" w:rsidRPr="00AE6B2C" w:rsidRDefault="00AE6B2C" w:rsidP="008209DA">
            <w:pPr>
              <w:pStyle w:val="TAL"/>
              <w:rPr>
                <w:sz w:val="12"/>
              </w:rPr>
            </w:pPr>
          </w:p>
        </w:tc>
        <w:tc>
          <w:tcPr>
            <w:tcW w:w="353" w:type="pct"/>
            <w:shd w:val="clear" w:color="auto" w:fill="auto"/>
          </w:tcPr>
          <w:p w:rsidR="00AE6B2C" w:rsidRPr="00AE6B2C" w:rsidRDefault="00AE6B2C" w:rsidP="008209DA">
            <w:pPr>
              <w:pStyle w:val="TAL"/>
              <w:rPr>
                <w:sz w:val="12"/>
              </w:rPr>
            </w:pPr>
          </w:p>
        </w:tc>
        <w:tc>
          <w:tcPr>
            <w:tcW w:w="446" w:type="pct"/>
          </w:tcPr>
          <w:p w:rsidR="00AE6B2C" w:rsidRPr="00AE6B2C" w:rsidRDefault="00AE6B2C" w:rsidP="008209DA">
            <w:pPr>
              <w:pStyle w:val="TAL"/>
              <w:rPr>
                <w:sz w:val="12"/>
                <w:highlight w:val="yellow"/>
              </w:rPr>
            </w:pPr>
          </w:p>
        </w:tc>
        <w:tc>
          <w:tcPr>
            <w:tcW w:w="334" w:type="pct"/>
          </w:tcPr>
          <w:p w:rsidR="00AE6B2C" w:rsidRPr="00AE6B2C" w:rsidRDefault="00AE6B2C" w:rsidP="008209DA">
            <w:pPr>
              <w:pStyle w:val="TAL"/>
              <w:rPr>
                <w:sz w:val="12"/>
              </w:rPr>
            </w:pPr>
          </w:p>
        </w:tc>
        <w:tc>
          <w:tcPr>
            <w:tcW w:w="372" w:type="pct"/>
          </w:tcPr>
          <w:p w:rsidR="00AE6B2C" w:rsidRPr="00AE6B2C" w:rsidRDefault="00AE6B2C" w:rsidP="008209DA">
            <w:pPr>
              <w:pStyle w:val="TAL"/>
              <w:rPr>
                <w:sz w:val="12"/>
              </w:rPr>
            </w:pPr>
          </w:p>
        </w:tc>
        <w:tc>
          <w:tcPr>
            <w:tcW w:w="334" w:type="pct"/>
          </w:tcPr>
          <w:p w:rsidR="00AE6B2C" w:rsidRPr="00AE6B2C" w:rsidRDefault="00AE6B2C" w:rsidP="008209DA">
            <w:pPr>
              <w:pStyle w:val="TAL"/>
              <w:rPr>
                <w:sz w:val="12"/>
              </w:rPr>
            </w:pPr>
          </w:p>
        </w:tc>
        <w:tc>
          <w:tcPr>
            <w:tcW w:w="409" w:type="pct"/>
          </w:tcPr>
          <w:p w:rsidR="00AE6B2C" w:rsidRPr="00AE6B2C" w:rsidRDefault="00AE6B2C" w:rsidP="008209DA">
            <w:pPr>
              <w:pStyle w:val="TAL"/>
              <w:rPr>
                <w:sz w:val="12"/>
              </w:rPr>
            </w:pPr>
          </w:p>
        </w:tc>
        <w:tc>
          <w:tcPr>
            <w:tcW w:w="812" w:type="pct"/>
          </w:tcPr>
          <w:p w:rsidR="00AE6B2C" w:rsidRPr="00AE6B2C" w:rsidRDefault="00AE6B2C" w:rsidP="008209DA">
            <w:pPr>
              <w:pStyle w:val="TAL"/>
              <w:rPr>
                <w:sz w:val="12"/>
              </w:rPr>
            </w:pPr>
          </w:p>
        </w:tc>
      </w:tr>
      <w:tr w:rsidR="00AE6B2C" w:rsidRPr="00AE6B2C" w:rsidTr="00AE6B2C">
        <w:trPr>
          <w:cantSplit/>
        </w:trPr>
        <w:tc>
          <w:tcPr>
            <w:tcW w:w="482" w:type="pct"/>
            <w:shd w:val="clear" w:color="auto" w:fill="auto"/>
          </w:tcPr>
          <w:p w:rsidR="00AE6B2C" w:rsidRPr="00AE6B2C" w:rsidRDefault="00AE6B2C" w:rsidP="008209DA">
            <w:pPr>
              <w:pStyle w:val="TAL"/>
              <w:rPr>
                <w:sz w:val="12"/>
              </w:rPr>
            </w:pPr>
            <w:r w:rsidRPr="00AE6B2C">
              <w:rPr>
                <w:sz w:val="12"/>
              </w:rPr>
              <w:t>99,9999 % to 99,999999 %</w:t>
            </w:r>
          </w:p>
        </w:tc>
        <w:tc>
          <w:tcPr>
            <w:tcW w:w="575" w:type="pct"/>
            <w:shd w:val="clear" w:color="auto" w:fill="auto"/>
          </w:tcPr>
          <w:p w:rsidR="00AE6B2C" w:rsidRPr="00AE6B2C" w:rsidRDefault="00AE6B2C" w:rsidP="008209DA">
            <w:pPr>
              <w:pStyle w:val="TAL"/>
              <w:rPr>
                <w:sz w:val="12"/>
              </w:rPr>
            </w:pPr>
            <w:r w:rsidRPr="00AE6B2C">
              <w:rPr>
                <w:sz w:val="12"/>
              </w:rPr>
              <w:t>~ 10 years</w:t>
            </w:r>
          </w:p>
        </w:tc>
        <w:tc>
          <w:tcPr>
            <w:tcW w:w="418" w:type="pct"/>
            <w:shd w:val="clear" w:color="auto" w:fill="auto"/>
          </w:tcPr>
          <w:p w:rsidR="00AE6B2C" w:rsidRPr="00AE6B2C" w:rsidRDefault="00AE6B2C" w:rsidP="008209DA">
            <w:pPr>
              <w:pStyle w:val="TAL"/>
              <w:rPr>
                <w:sz w:val="12"/>
              </w:rPr>
            </w:pPr>
            <w:r w:rsidRPr="00AE6B2C">
              <w:rPr>
                <w:sz w:val="12"/>
              </w:rPr>
              <w:t>&lt; transfer interval value</w:t>
            </w:r>
          </w:p>
        </w:tc>
        <w:tc>
          <w:tcPr>
            <w:tcW w:w="465" w:type="pct"/>
            <w:shd w:val="clear" w:color="auto" w:fill="auto"/>
          </w:tcPr>
          <w:p w:rsidR="00AE6B2C" w:rsidRPr="00AE6B2C" w:rsidRDefault="00AE6B2C" w:rsidP="008209DA">
            <w:pPr>
              <w:pStyle w:val="TAL"/>
              <w:rPr>
                <w:sz w:val="12"/>
              </w:rPr>
            </w:pPr>
          </w:p>
        </w:tc>
        <w:tc>
          <w:tcPr>
            <w:tcW w:w="353" w:type="pct"/>
            <w:shd w:val="clear" w:color="auto" w:fill="auto"/>
          </w:tcPr>
          <w:p w:rsidR="00AE6B2C" w:rsidRPr="00AE6B2C" w:rsidRDefault="00AE6B2C" w:rsidP="008209DA">
            <w:pPr>
              <w:pStyle w:val="TAL"/>
              <w:rPr>
                <w:color w:val="000000"/>
                <w:sz w:val="12"/>
              </w:rPr>
            </w:pPr>
            <w:r w:rsidRPr="00AE6B2C">
              <w:rPr>
                <w:sz w:val="12"/>
              </w:rPr>
              <w:t>1 k</w:t>
            </w:r>
          </w:p>
        </w:tc>
        <w:tc>
          <w:tcPr>
            <w:tcW w:w="446" w:type="pct"/>
          </w:tcPr>
          <w:p w:rsidR="00AE6B2C" w:rsidRPr="00AE6B2C" w:rsidRDefault="00AE6B2C" w:rsidP="008209DA">
            <w:pPr>
              <w:pStyle w:val="TAL"/>
              <w:rPr>
                <w:sz w:val="12"/>
                <w:highlight w:val="yellow"/>
              </w:rPr>
            </w:pPr>
            <w:r w:rsidRPr="00AE6B2C">
              <w:rPr>
                <w:sz w:val="12"/>
                <w:highlight w:val="yellow"/>
              </w:rPr>
              <w:t>≤ 10 </w:t>
            </w:r>
            <w:proofErr w:type="spellStart"/>
            <w:r w:rsidRPr="00AE6B2C">
              <w:rPr>
                <w:sz w:val="12"/>
                <w:highlight w:val="yellow"/>
              </w:rPr>
              <w:t>ms</w:t>
            </w:r>
            <w:proofErr w:type="spellEnd"/>
          </w:p>
        </w:tc>
        <w:tc>
          <w:tcPr>
            <w:tcW w:w="334" w:type="pct"/>
          </w:tcPr>
          <w:p w:rsidR="00AE6B2C" w:rsidRPr="00AE6B2C" w:rsidRDefault="00AE6B2C" w:rsidP="008209DA">
            <w:pPr>
              <w:pStyle w:val="TAL"/>
              <w:rPr>
                <w:sz w:val="12"/>
              </w:rPr>
            </w:pPr>
            <w:r w:rsidRPr="00AE6B2C">
              <w:rPr>
                <w:sz w:val="12"/>
              </w:rPr>
              <w:t xml:space="preserve">10 </w:t>
            </w:r>
            <w:proofErr w:type="spellStart"/>
            <w:r w:rsidRPr="00AE6B2C">
              <w:rPr>
                <w:sz w:val="12"/>
              </w:rPr>
              <w:t>ms</w:t>
            </w:r>
            <w:proofErr w:type="spellEnd"/>
          </w:p>
        </w:tc>
        <w:tc>
          <w:tcPr>
            <w:tcW w:w="372" w:type="pct"/>
          </w:tcPr>
          <w:p w:rsidR="00AE6B2C" w:rsidRPr="00AE6B2C" w:rsidRDefault="00AE6B2C" w:rsidP="008209DA">
            <w:pPr>
              <w:pStyle w:val="TAL"/>
              <w:rPr>
                <w:sz w:val="12"/>
              </w:rPr>
            </w:pPr>
            <w:r w:rsidRPr="00AE6B2C">
              <w:rPr>
                <w:sz w:val="12"/>
              </w:rPr>
              <w:t>-</w:t>
            </w:r>
          </w:p>
        </w:tc>
        <w:tc>
          <w:tcPr>
            <w:tcW w:w="334" w:type="pct"/>
          </w:tcPr>
          <w:p w:rsidR="00AE6B2C" w:rsidRPr="00AE6B2C" w:rsidRDefault="00AE6B2C" w:rsidP="008209DA">
            <w:pPr>
              <w:pStyle w:val="TAL"/>
              <w:rPr>
                <w:sz w:val="12"/>
              </w:rPr>
            </w:pPr>
            <w:r w:rsidRPr="00AE6B2C">
              <w:rPr>
                <w:sz w:val="12"/>
              </w:rPr>
              <w:t>5 to 10</w:t>
            </w:r>
          </w:p>
        </w:tc>
        <w:tc>
          <w:tcPr>
            <w:tcW w:w="409" w:type="pct"/>
          </w:tcPr>
          <w:p w:rsidR="00AE6B2C" w:rsidRPr="00AE6B2C" w:rsidRDefault="00AE6B2C" w:rsidP="008209DA">
            <w:pPr>
              <w:pStyle w:val="TAL"/>
              <w:rPr>
                <w:sz w:val="12"/>
              </w:rPr>
            </w:pPr>
            <w:r w:rsidRPr="00AE6B2C">
              <w:rPr>
                <w:sz w:val="12"/>
              </w:rPr>
              <w:t>100 m x 30 m x 10 m</w:t>
            </w:r>
          </w:p>
        </w:tc>
        <w:tc>
          <w:tcPr>
            <w:tcW w:w="812" w:type="pct"/>
          </w:tcPr>
          <w:p w:rsidR="00AE6B2C" w:rsidRPr="00AE6B2C" w:rsidRDefault="00AE6B2C" w:rsidP="008209DA">
            <w:pPr>
              <w:pStyle w:val="TAL"/>
              <w:rPr>
                <w:sz w:val="12"/>
              </w:rPr>
            </w:pPr>
            <w:r w:rsidRPr="00AE6B2C">
              <w:rPr>
                <w:sz w:val="12"/>
              </w:rPr>
              <w:t>Control-to-control in motion control (A.2.2.2); (note 9)</w:t>
            </w:r>
          </w:p>
        </w:tc>
      </w:tr>
    </w:tbl>
    <w:p w:rsidR="00AE6B2C" w:rsidRDefault="00AE6B2C" w:rsidP="00BC7FC6">
      <w:pPr>
        <w:pStyle w:val="BodyText"/>
      </w:pPr>
    </w:p>
    <w:p w:rsidR="00D1201D" w:rsidRDefault="00084FEE" w:rsidP="00BC7FC6">
      <w:pPr>
        <w:pStyle w:val="BodyText"/>
      </w:pPr>
      <w:r w:rsidRPr="00084FEE">
        <w:t xml:space="preserve">An example is given in </w:t>
      </w:r>
      <w:r w:rsidRPr="00084FEE">
        <w:fldChar w:fldCharType="begin"/>
      </w:r>
      <w:r w:rsidRPr="00084FEE">
        <w:instrText xml:space="preserve"> REF _Ref14885959 \h  \* MERGEFORMAT </w:instrText>
      </w:r>
      <w:r w:rsidRPr="00084FEE">
        <w:fldChar w:fldCharType="separate"/>
      </w:r>
      <w:r w:rsidR="00533220" w:rsidRPr="00533220">
        <w:t xml:space="preserve">Figure </w:t>
      </w:r>
      <w:r w:rsidR="00533220" w:rsidRPr="00533220">
        <w:rPr>
          <w:noProof/>
        </w:rPr>
        <w:t>2</w:t>
      </w:r>
      <w:r w:rsidRPr="00084FEE">
        <w:fldChar w:fldCharType="end"/>
      </w:r>
      <w:r>
        <w:t xml:space="preserve">, which is similar to the </w:t>
      </w:r>
      <w:proofErr w:type="spellStart"/>
      <w:r>
        <w:t>usecase</w:t>
      </w:r>
      <w:proofErr w:type="spellEnd"/>
      <w:r>
        <w:t xml:space="preserve"> of</w:t>
      </w:r>
      <w:r w:rsidRPr="00084FEE">
        <w:t xml:space="preserve"> </w:t>
      </w:r>
      <w:r w:rsidRPr="00F850B2">
        <w:fldChar w:fldCharType="begin"/>
      </w:r>
      <w:r w:rsidRPr="00F850B2">
        <w:instrText xml:space="preserve"> REF _Ref14882940 \h  \* MERGEFORMAT </w:instrText>
      </w:r>
      <w:r w:rsidRPr="00F850B2">
        <w:fldChar w:fldCharType="separate"/>
      </w:r>
      <w:r w:rsidR="00533220" w:rsidRPr="00533220">
        <w:t xml:space="preserve">Figure </w:t>
      </w:r>
      <w:r w:rsidR="00533220" w:rsidRPr="00533220">
        <w:rPr>
          <w:noProof/>
        </w:rPr>
        <w:t>1</w:t>
      </w:r>
      <w:r w:rsidRPr="00F850B2">
        <w:fldChar w:fldCharType="end"/>
      </w:r>
      <w:r w:rsidR="00D1201D" w:rsidRPr="00D1201D">
        <w:t xml:space="preserve"> but now with equal-priority LCHs with </w:t>
      </w:r>
      <w:r w:rsidR="00D1201D" w:rsidRPr="00D1201D">
        <w:rPr>
          <w:i/>
          <w:iCs/>
        </w:rPr>
        <w:t>different LCP mapping restrictions</w:t>
      </w:r>
      <w:r w:rsidR="00D1201D" w:rsidRPr="00D1201D">
        <w:t>: one LCH can be mapped on short and long PUSCH, while the other LCH can only be mapped onto short PUSCH. Then, when short PUSCH comes, it should pre-empt the on-going long PUSCH otherwise the latency of the short PUSCH LCH will not be satisfied</w:t>
      </w:r>
      <w:r>
        <w:t>.</w:t>
      </w:r>
    </w:p>
    <w:p w:rsidR="00D1201D" w:rsidRDefault="00D1201D" w:rsidP="00BC7FC6">
      <w:pPr>
        <w:pStyle w:val="BodyText"/>
      </w:pPr>
      <w:r>
        <w:object w:dxaOrig="13492" w:dyaOrig="5135">
          <v:shape id="_x0000_i1026" type="#_x0000_t75" style="width:414.3pt;height:158.05pt" o:ole="">
            <v:imagedata r:id="rId12" o:title=""/>
          </v:shape>
          <o:OLEObject Type="Embed" ProgID="Visio.Drawing.11" ShapeID="_x0000_i1026" DrawAspect="Content" ObjectID="_1627215371" r:id="rId13"/>
        </w:object>
      </w:r>
    </w:p>
    <w:p w:rsidR="00D1201D" w:rsidRDefault="00D1201D" w:rsidP="00D1201D">
      <w:pPr>
        <w:pStyle w:val="Caption"/>
        <w:jc w:val="center"/>
        <w:rPr>
          <w:b/>
        </w:rPr>
      </w:pPr>
      <w:bookmarkStart w:id="9" w:name="_Ref14885959"/>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533220">
        <w:rPr>
          <w:b/>
          <w:noProof/>
        </w:rPr>
        <w:t>2</w:t>
      </w:r>
      <w:r w:rsidRPr="005E4E26">
        <w:rPr>
          <w:b/>
        </w:rPr>
        <w:fldChar w:fldCharType="end"/>
      </w:r>
      <w:bookmarkEnd w:id="9"/>
      <w:r w:rsidRPr="005E4E26">
        <w:rPr>
          <w:b/>
        </w:rPr>
        <w:t xml:space="preserve">: </w:t>
      </w:r>
      <w:r w:rsidR="00084FEE">
        <w:rPr>
          <w:b/>
        </w:rPr>
        <w:t xml:space="preserve">Equal priority handling by prioritizing the grant </w:t>
      </w:r>
      <w:r w:rsidR="009762C8">
        <w:rPr>
          <w:b/>
        </w:rPr>
        <w:t xml:space="preserve">serving the LCH with </w:t>
      </w:r>
      <w:r w:rsidR="00084FEE">
        <w:rPr>
          <w:b/>
        </w:rPr>
        <w:t>shortest PUSCH</w:t>
      </w:r>
      <w:r w:rsidR="009762C8">
        <w:rPr>
          <w:b/>
        </w:rPr>
        <w:t xml:space="preserve"> LCP restriction – example 1</w:t>
      </w:r>
    </w:p>
    <w:p w:rsidR="00AE6B2C" w:rsidRPr="00D1201D" w:rsidRDefault="00084FEE" w:rsidP="00BC7FC6">
      <w:pPr>
        <w:pStyle w:val="BodyText"/>
        <w:rPr>
          <w:lang w:val="en-GB"/>
        </w:rPr>
      </w:pPr>
      <w:r w:rsidRPr="009762C8">
        <w:rPr>
          <w:lang w:val="en-GB"/>
        </w:rPr>
        <w:t xml:space="preserve">Yet another example is provided in </w:t>
      </w:r>
      <w:r w:rsidR="009762C8" w:rsidRPr="009762C8">
        <w:rPr>
          <w:lang w:val="en-GB"/>
        </w:rPr>
        <w:fldChar w:fldCharType="begin"/>
      </w:r>
      <w:r w:rsidR="009762C8" w:rsidRPr="009762C8">
        <w:rPr>
          <w:lang w:val="en-GB"/>
        </w:rPr>
        <w:instrText xml:space="preserve"> REF _Ref14886344 \h  \* MERGEFORMAT </w:instrText>
      </w:r>
      <w:r w:rsidR="009762C8" w:rsidRPr="009762C8">
        <w:rPr>
          <w:lang w:val="en-GB"/>
        </w:rPr>
      </w:r>
      <w:r w:rsidR="009762C8" w:rsidRPr="009762C8">
        <w:rPr>
          <w:lang w:val="en-GB"/>
        </w:rPr>
        <w:fldChar w:fldCharType="separate"/>
      </w:r>
      <w:r w:rsidR="00533220" w:rsidRPr="00533220">
        <w:t xml:space="preserve">Figure </w:t>
      </w:r>
      <w:r w:rsidR="00533220" w:rsidRPr="00533220">
        <w:rPr>
          <w:noProof/>
        </w:rPr>
        <w:t>3</w:t>
      </w:r>
      <w:r w:rsidR="009762C8" w:rsidRPr="009762C8">
        <w:rPr>
          <w:lang w:val="en-GB"/>
        </w:rPr>
        <w:fldChar w:fldCharType="end"/>
      </w:r>
      <w:r w:rsidR="009762C8" w:rsidRPr="009762C8">
        <w:rPr>
          <w:lang w:val="en-GB"/>
        </w:rPr>
        <w:t xml:space="preserve"> </w:t>
      </w:r>
      <w:r w:rsidRPr="009762C8">
        <w:t>but with no consecutive prioritization runs: in this case,</w:t>
      </w:r>
      <w:r w:rsidRPr="00084FEE">
        <w:t xml:space="preserve"> both grants and associated allocations are known ahead of the first allocation and there is no new data arrival after that. A prioritization rule is then run at the processing deadline of the earlier allocation</w:t>
      </w:r>
      <w:r w:rsidR="00533220">
        <w:t xml:space="preserve"> </w:t>
      </w:r>
      <w:r w:rsidR="00533220">
        <w:fldChar w:fldCharType="begin"/>
      </w:r>
      <w:r w:rsidR="00533220">
        <w:instrText xml:space="preserve"> REF _Ref14773149 \r \h </w:instrText>
      </w:r>
      <w:r w:rsidR="00533220">
        <w:fldChar w:fldCharType="separate"/>
      </w:r>
      <w:r w:rsidR="00533220">
        <w:t>[2]</w:t>
      </w:r>
      <w:r w:rsidR="00533220">
        <w:fldChar w:fldCharType="end"/>
      </w:r>
      <w:r w:rsidRPr="00084FEE">
        <w:t>. The prioritization rule results in equal priority, but the LCP restriction of one of the LCHs with the highest priority only allows it to go in the shortest allocation. For the same reasons as above, the short PUSCH should be prioritized otherwise the latency of the short PUSCH LCH will not be satisfied.</w:t>
      </w:r>
    </w:p>
    <w:p w:rsidR="00084FEE" w:rsidRDefault="009762C8" w:rsidP="00084FEE">
      <w:pPr>
        <w:pStyle w:val="BodyText"/>
      </w:pPr>
      <w:r>
        <w:object w:dxaOrig="13825" w:dyaOrig="5135">
          <v:shape id="_x0000_i1027" type="#_x0000_t75" style="width:410.6pt;height:152.5pt" o:ole="">
            <v:imagedata r:id="rId14" o:title=""/>
          </v:shape>
          <o:OLEObject Type="Embed" ProgID="Visio.Drawing.11" ShapeID="_x0000_i1027" DrawAspect="Content" ObjectID="_1627215372" r:id="rId15"/>
        </w:object>
      </w:r>
    </w:p>
    <w:p w:rsidR="00084FEE" w:rsidRDefault="00084FEE" w:rsidP="00084FEE">
      <w:pPr>
        <w:pStyle w:val="Caption"/>
        <w:jc w:val="center"/>
        <w:rPr>
          <w:b/>
        </w:rPr>
      </w:pPr>
      <w:bookmarkStart w:id="10" w:name="_Ref14886344"/>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533220">
        <w:rPr>
          <w:b/>
          <w:noProof/>
        </w:rPr>
        <w:t>3</w:t>
      </w:r>
      <w:r w:rsidRPr="005E4E26">
        <w:rPr>
          <w:b/>
        </w:rPr>
        <w:fldChar w:fldCharType="end"/>
      </w:r>
      <w:bookmarkEnd w:id="10"/>
      <w:r w:rsidRPr="005E4E26">
        <w:rPr>
          <w:b/>
        </w:rPr>
        <w:t xml:space="preserve">: </w:t>
      </w:r>
      <w:r w:rsidR="009762C8">
        <w:rPr>
          <w:b/>
        </w:rPr>
        <w:t>Equal priority handling by prioritizing the grant serving the LCH with shortest PUSCH LCP restriction – example 2</w:t>
      </w:r>
    </w:p>
    <w:p w:rsidR="00AE6B2C" w:rsidRDefault="009762C8" w:rsidP="00BC7FC6">
      <w:pPr>
        <w:pStyle w:val="BodyText"/>
      </w:pPr>
      <w:r>
        <w:t>Above examples advertise prioritizing the LCH with toughest latency requirements, however s</w:t>
      </w:r>
      <w:r w:rsidRPr="009762C8">
        <w:t>imilar reasoning holds with re</w:t>
      </w:r>
      <w:r>
        <w:t xml:space="preserve">liability </w:t>
      </w:r>
      <w:r w:rsidRPr="009762C8">
        <w:t>so we generalize the criterion to the “tightest LCP mapping restrictions”:</w:t>
      </w:r>
    </w:p>
    <w:p w:rsidR="009762C8" w:rsidRDefault="00533220" w:rsidP="009762C8">
      <w:pPr>
        <w:pStyle w:val="BodyText"/>
        <w:rPr>
          <w:b/>
        </w:rPr>
      </w:pPr>
      <w:r>
        <w:rPr>
          <w:b/>
          <w:lang w:val="en-GB"/>
        </w:rPr>
        <w:t xml:space="preserve">Proposal </w:t>
      </w:r>
      <w:r w:rsidR="009762C8">
        <w:rPr>
          <w:b/>
          <w:lang w:val="en-GB"/>
        </w:rPr>
        <w:t>3</w:t>
      </w:r>
      <w:r w:rsidR="009762C8" w:rsidRPr="00292C04">
        <w:rPr>
          <w:b/>
          <w:lang w:val="en-GB"/>
        </w:rPr>
        <w:t xml:space="preserve">: </w:t>
      </w:r>
      <w:r w:rsidR="009762C8" w:rsidRPr="009762C8">
        <w:rPr>
          <w:b/>
        </w:rPr>
        <w:t xml:space="preserve">In case of equal-priority, but </w:t>
      </w:r>
      <w:r w:rsidR="00FE4917">
        <w:rPr>
          <w:b/>
        </w:rPr>
        <w:t xml:space="preserve">LCHs with </w:t>
      </w:r>
      <w:r w:rsidR="009762C8" w:rsidRPr="009762C8">
        <w:rPr>
          <w:b/>
        </w:rPr>
        <w:t>different LCP restrictions</w:t>
      </w:r>
      <w:r w:rsidR="00FE4917">
        <w:rPr>
          <w:b/>
        </w:rPr>
        <w:t xml:space="preserve"> in the different grants</w:t>
      </w:r>
      <w:r w:rsidR="009762C8" w:rsidRPr="009762C8">
        <w:rPr>
          <w:b/>
        </w:rPr>
        <w:t>, the grant carrying the LCH with tightest LCP mapping restrictions is prioritized</w:t>
      </w:r>
      <w:r w:rsidR="009762C8">
        <w:rPr>
          <w:b/>
        </w:rPr>
        <w:t>.</w:t>
      </w:r>
    </w:p>
    <w:p w:rsidR="00DB18A5" w:rsidRDefault="008D026D">
      <w:pPr>
        <w:pStyle w:val="Heading1"/>
        <w:jc w:val="both"/>
      </w:pPr>
      <w:r>
        <w:t>Conclusion</w:t>
      </w:r>
    </w:p>
    <w:p w:rsidR="00533220" w:rsidRDefault="00533220" w:rsidP="00533220">
      <w:pPr>
        <w:pStyle w:val="BodyText"/>
        <w:rPr>
          <w:lang w:eastAsia="zh-CN"/>
        </w:rPr>
      </w:pPr>
      <w:r>
        <w:rPr>
          <w:lang w:eastAsia="zh-CN"/>
        </w:rPr>
        <w:t>This contribution discussed the issue of equal-priority handling and concluded on the following:</w:t>
      </w:r>
    </w:p>
    <w:p w:rsidR="00533220" w:rsidRPr="00292C04" w:rsidRDefault="00533220" w:rsidP="00533220">
      <w:pPr>
        <w:pStyle w:val="BodyText"/>
        <w:rPr>
          <w:b/>
          <w:lang w:val="en-GB"/>
        </w:rPr>
      </w:pPr>
      <w:r w:rsidRPr="00292C04">
        <w:rPr>
          <w:b/>
          <w:lang w:val="en-GB"/>
        </w:rPr>
        <w:t xml:space="preserve">Proposal 1: </w:t>
      </w:r>
      <w:r w:rsidRPr="00292C04">
        <w:rPr>
          <w:b/>
        </w:rPr>
        <w:t>In case of equal-priority, and the same highest priority LCH would be carried in both grants, the PUSCH allocation of an already assembled PDU is not pre-empted by a later (but overlapping) PUSCH allocation</w:t>
      </w:r>
      <w:r>
        <w:rPr>
          <w:b/>
        </w:rPr>
        <w:t>.</w:t>
      </w:r>
    </w:p>
    <w:p w:rsidR="00533220" w:rsidRPr="00292C04" w:rsidRDefault="00533220" w:rsidP="00533220">
      <w:pPr>
        <w:pStyle w:val="BodyText"/>
        <w:rPr>
          <w:b/>
        </w:rPr>
      </w:pPr>
      <w:r>
        <w:rPr>
          <w:b/>
          <w:lang w:val="en-GB"/>
        </w:rPr>
        <w:t>Proposal 2</w:t>
      </w:r>
      <w:r w:rsidRPr="00292C04">
        <w:rPr>
          <w:b/>
          <w:lang w:val="en-GB"/>
        </w:rPr>
        <w:t xml:space="preserve">: </w:t>
      </w:r>
      <w:r w:rsidRPr="00292C04">
        <w:rPr>
          <w:b/>
        </w:rPr>
        <w:t xml:space="preserve">In case of equal-priority, the UE should </w:t>
      </w:r>
      <w:r>
        <w:rPr>
          <w:b/>
        </w:rPr>
        <w:t>not</w:t>
      </w:r>
      <w:r w:rsidRPr="00292C04">
        <w:rPr>
          <w:b/>
        </w:rPr>
        <w:t xml:space="preserve"> apply the legacy Rel-15 rule that dynamic grant is always prioritized over the configured grant</w:t>
      </w:r>
      <w:r>
        <w:rPr>
          <w:b/>
        </w:rPr>
        <w:t>.</w:t>
      </w:r>
    </w:p>
    <w:p w:rsidR="00533220" w:rsidRPr="00533220" w:rsidRDefault="00533220" w:rsidP="00533220">
      <w:pPr>
        <w:pStyle w:val="BodyText"/>
        <w:rPr>
          <w:b/>
        </w:rPr>
      </w:pPr>
      <w:r>
        <w:rPr>
          <w:b/>
          <w:lang w:val="en-GB"/>
        </w:rPr>
        <w:t>Proposal 3</w:t>
      </w:r>
      <w:r w:rsidRPr="00292C04">
        <w:rPr>
          <w:b/>
          <w:lang w:val="en-GB"/>
        </w:rPr>
        <w:t xml:space="preserve">: </w:t>
      </w:r>
      <w:r w:rsidRPr="009762C8">
        <w:rPr>
          <w:b/>
        </w:rPr>
        <w:t xml:space="preserve">In case of equal-priority, but </w:t>
      </w:r>
      <w:r>
        <w:rPr>
          <w:b/>
        </w:rPr>
        <w:t xml:space="preserve">LCHs with </w:t>
      </w:r>
      <w:r w:rsidRPr="009762C8">
        <w:rPr>
          <w:b/>
        </w:rPr>
        <w:t>different LCP restrictions</w:t>
      </w:r>
      <w:r>
        <w:rPr>
          <w:b/>
        </w:rPr>
        <w:t xml:space="preserve"> in the different grants</w:t>
      </w:r>
      <w:r w:rsidRPr="009762C8">
        <w:rPr>
          <w:b/>
        </w:rPr>
        <w:t>, the grant carrying the LCH with tightest LCP mapping restrictions is prioritized</w:t>
      </w:r>
      <w:r>
        <w:rPr>
          <w:b/>
        </w:rPr>
        <w:t>.</w:t>
      </w:r>
    </w:p>
    <w:p w:rsidR="00DB18A5" w:rsidRDefault="008D026D">
      <w:pPr>
        <w:pStyle w:val="Heading1"/>
        <w:jc w:val="both"/>
      </w:pPr>
      <w:r>
        <w:rPr>
          <w:rFonts w:hint="eastAsia"/>
        </w:rPr>
        <w:t>Reference</w:t>
      </w:r>
    </w:p>
    <w:p w:rsidR="00DB18A5" w:rsidRDefault="008D026D" w:rsidP="008B1B08">
      <w:pPr>
        <w:pStyle w:val="BodyText"/>
        <w:numPr>
          <w:ilvl w:val="0"/>
          <w:numId w:val="13"/>
        </w:numPr>
      </w:pPr>
      <w:bookmarkStart w:id="11" w:name="_Ref4675293"/>
      <w:bookmarkStart w:id="12" w:name="_Ref14772880"/>
      <w:bookmarkStart w:id="13" w:name="_Ref3985305"/>
      <w:bookmarkStart w:id="14" w:name="_Ref533171903"/>
      <w:r>
        <w:t>RP-19</w:t>
      </w:r>
      <w:r w:rsidR="008B1B08">
        <w:t>1561</w:t>
      </w:r>
      <w:r>
        <w:rPr>
          <w:rFonts w:hint="eastAsia"/>
        </w:rPr>
        <w:t xml:space="preserve">, </w:t>
      </w:r>
      <w:bookmarkEnd w:id="11"/>
      <w:r w:rsidR="008B1B08" w:rsidRPr="008B1B08">
        <w:t>Revised WID: Support of NR Industrial Internet of Things (</w:t>
      </w:r>
      <w:proofErr w:type="spellStart"/>
      <w:r w:rsidR="008B1B08" w:rsidRPr="008B1B08">
        <w:t>IoT</w:t>
      </w:r>
      <w:proofErr w:type="spellEnd"/>
      <w:r w:rsidR="008B1B08" w:rsidRPr="008B1B08">
        <w:t>)</w:t>
      </w:r>
      <w:bookmarkEnd w:id="12"/>
    </w:p>
    <w:p w:rsidR="008B1B08" w:rsidRDefault="008B1B08" w:rsidP="00555875">
      <w:pPr>
        <w:pStyle w:val="BodyText"/>
        <w:numPr>
          <w:ilvl w:val="0"/>
          <w:numId w:val="13"/>
        </w:numPr>
      </w:pPr>
      <w:bookmarkStart w:id="15" w:name="_Ref14773149"/>
      <w:r>
        <w:t>R2-19</w:t>
      </w:r>
      <w:r w:rsidR="005B72C5">
        <w:t>08827</w:t>
      </w:r>
      <w:r>
        <w:t xml:space="preserve">, </w:t>
      </w:r>
      <w:r w:rsidR="00533220">
        <w:t>Data/data prioritization timeline</w:t>
      </w:r>
      <w:r w:rsidR="00555875">
        <w:t>,</w:t>
      </w:r>
      <w:r w:rsidR="00555875" w:rsidRPr="00555875">
        <w:t xml:space="preserve"> </w:t>
      </w:r>
      <w:r w:rsidR="00533220">
        <w:t>CATT</w:t>
      </w:r>
      <w:r w:rsidR="00555875">
        <w:t>.</w:t>
      </w:r>
      <w:bookmarkEnd w:id="15"/>
    </w:p>
    <w:p w:rsidR="008D616B" w:rsidRDefault="008D616B" w:rsidP="008D616B">
      <w:pPr>
        <w:pStyle w:val="BodyText"/>
        <w:numPr>
          <w:ilvl w:val="0"/>
          <w:numId w:val="13"/>
        </w:numPr>
      </w:pPr>
      <w:bookmarkStart w:id="16" w:name="_Ref14882542"/>
      <w:bookmarkEnd w:id="13"/>
      <w:bookmarkEnd w:id="14"/>
      <w:r>
        <w:rPr>
          <w:lang w:eastAsia="ja-JP"/>
        </w:rPr>
        <w:t xml:space="preserve">R2-1906848, </w:t>
      </w:r>
      <w:r w:rsidRPr="008D616B">
        <w:rPr>
          <w:lang w:eastAsia="ja-JP"/>
        </w:rPr>
        <w:t>Main functions of intra-UE data-data prioritization</w:t>
      </w:r>
      <w:r>
        <w:rPr>
          <w:lang w:eastAsia="ja-JP"/>
        </w:rPr>
        <w:t>, Ericsson</w:t>
      </w:r>
      <w:bookmarkEnd w:id="16"/>
    </w:p>
    <w:p w:rsidR="00AE6B2C" w:rsidRDefault="003E1524" w:rsidP="003E1524">
      <w:pPr>
        <w:pStyle w:val="BodyText"/>
        <w:numPr>
          <w:ilvl w:val="0"/>
          <w:numId w:val="13"/>
        </w:numPr>
      </w:pPr>
      <w:bookmarkStart w:id="17" w:name="_Ref14882544"/>
      <w:r>
        <w:rPr>
          <w:lang w:eastAsia="ja-JP"/>
        </w:rPr>
        <w:t xml:space="preserve">R2-1907112, </w:t>
      </w:r>
      <w:proofErr w:type="gramStart"/>
      <w:r w:rsidRPr="003E1524">
        <w:rPr>
          <w:lang w:eastAsia="ja-JP"/>
        </w:rPr>
        <w:t>On</w:t>
      </w:r>
      <w:proofErr w:type="gramEnd"/>
      <w:r w:rsidRPr="003E1524">
        <w:rPr>
          <w:lang w:eastAsia="ja-JP"/>
        </w:rPr>
        <w:t xml:space="preserve"> intra-UE </w:t>
      </w:r>
      <w:r>
        <w:rPr>
          <w:lang w:eastAsia="ja-JP"/>
        </w:rPr>
        <w:t xml:space="preserve">prioritization, </w:t>
      </w:r>
      <w:proofErr w:type="spellStart"/>
      <w:r w:rsidRPr="003E1524">
        <w:rPr>
          <w:lang w:eastAsia="ja-JP"/>
        </w:rPr>
        <w:t>MediaTek</w:t>
      </w:r>
      <w:proofErr w:type="spellEnd"/>
      <w:r w:rsidRPr="003E1524">
        <w:rPr>
          <w:lang w:eastAsia="ja-JP"/>
        </w:rPr>
        <w:t xml:space="preserve"> Inc.</w:t>
      </w:r>
      <w:bookmarkEnd w:id="17"/>
    </w:p>
    <w:p w:rsidR="008B5959" w:rsidRPr="00040E38" w:rsidRDefault="00AE6B2C" w:rsidP="00AE6B2C">
      <w:pPr>
        <w:pStyle w:val="BodyText"/>
        <w:numPr>
          <w:ilvl w:val="0"/>
          <w:numId w:val="13"/>
        </w:numPr>
      </w:pPr>
      <w:bookmarkStart w:id="18" w:name="_Ref14884830"/>
      <w:r>
        <w:rPr>
          <w:lang w:eastAsia="ja-JP"/>
        </w:rPr>
        <w:t xml:space="preserve">TS 22.104 v16.1.0, </w:t>
      </w:r>
      <w:r w:rsidRPr="00AE6B2C">
        <w:rPr>
          <w:lang w:eastAsia="ja-JP"/>
        </w:rPr>
        <w:t>Service requirements for cyber-physical control applications in vertical domains</w:t>
      </w:r>
      <w:r>
        <w:rPr>
          <w:lang w:eastAsia="ja-JP"/>
        </w:rPr>
        <w:t>, Stage 1 (Release 16), ETSI</w:t>
      </w:r>
      <w:bookmarkEnd w:id="18"/>
      <w:r w:rsidR="004E1C19" w:rsidRPr="008450E1">
        <w:rPr>
          <w:lang w:eastAsia="ja-JP"/>
        </w:rPr>
        <w:tab/>
      </w:r>
    </w:p>
    <w:sectPr w:rsidR="008B5959" w:rsidRPr="00040E38">
      <w:headerReference w:type="default" r:id="rId16"/>
      <w:footerReference w:type="even" r:id="rId17"/>
      <w:footerReference w:type="default" r:id="rId18"/>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74F" w:rsidRDefault="0088574F">
      <w:r>
        <w:separator/>
      </w:r>
    </w:p>
  </w:endnote>
  <w:endnote w:type="continuationSeparator" w:id="0">
    <w:p w:rsidR="0088574F" w:rsidRDefault="0088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3CB4" w:rsidRDefault="00503C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5CCF">
      <w:rPr>
        <w:rStyle w:val="PageNumber"/>
        <w:noProof/>
      </w:rPr>
      <w:t>1</w:t>
    </w:r>
    <w:r>
      <w:rPr>
        <w:rStyle w:val="PageNumber"/>
      </w:rPr>
      <w:fldChar w:fldCharType="end"/>
    </w:r>
  </w:p>
  <w:p w:rsidR="00503CB4" w:rsidRDefault="00503CB4">
    <w:pPr>
      <w:pStyle w:val="Footer"/>
      <w:tabs>
        <w:tab w:val="left" w:pos="2552"/>
      </w:tabs>
      <w:rPr>
        <w:rFonts w:eastAsia="SimSun"/>
        <w:lang w:eastAsia="zh-CN"/>
      </w:rPr>
    </w:pPr>
    <w:r>
      <w:rPr>
        <w:rFonts w:eastAsia="SimSun"/>
        <w:lang w:eastAsia="zh-CN"/>
      </w:rPr>
      <w:t>R2-19</w:t>
    </w:r>
    <w:r w:rsidR="00CB5CCF">
      <w:rPr>
        <w:rFonts w:eastAsia="SimSun"/>
        <w:lang w:eastAsia="zh-CN"/>
      </w:rPr>
      <w:t>08828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74F" w:rsidRDefault="0088574F">
      <w:r>
        <w:separator/>
      </w:r>
    </w:p>
  </w:footnote>
  <w:footnote w:type="continuationSeparator" w:id="0">
    <w:p w:rsidR="0088574F" w:rsidRDefault="00885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19"/>
  </w:num>
  <w:num w:numId="3">
    <w:abstractNumId w:val="21"/>
  </w:num>
  <w:num w:numId="4">
    <w:abstractNumId w:val="10"/>
  </w:num>
  <w:num w:numId="5">
    <w:abstractNumId w:val="9"/>
  </w:num>
  <w:num w:numId="6">
    <w:abstractNumId w:val="25"/>
  </w:num>
  <w:num w:numId="7">
    <w:abstractNumId w:val="15"/>
  </w:num>
  <w:num w:numId="8">
    <w:abstractNumId w:val="14"/>
  </w:num>
  <w:num w:numId="9">
    <w:abstractNumId w:val="5"/>
  </w:num>
  <w:num w:numId="10">
    <w:abstractNumId w:val="1"/>
  </w:num>
  <w:num w:numId="11">
    <w:abstractNumId w:val="7"/>
  </w:num>
  <w:num w:numId="12">
    <w:abstractNumId w:val="4"/>
  </w:num>
  <w:num w:numId="13">
    <w:abstractNumId w:val="11"/>
  </w:num>
  <w:num w:numId="14">
    <w:abstractNumId w:val="22"/>
  </w:num>
  <w:num w:numId="15">
    <w:abstractNumId w:val="23"/>
  </w:num>
  <w:num w:numId="16">
    <w:abstractNumId w:val="0"/>
  </w:num>
  <w:num w:numId="17">
    <w:abstractNumId w:val="3"/>
  </w:num>
  <w:num w:numId="18">
    <w:abstractNumId w:val="8"/>
  </w:num>
  <w:num w:numId="19">
    <w:abstractNumId w:val="13"/>
  </w:num>
  <w:num w:numId="20">
    <w:abstractNumId w:val="16"/>
  </w:num>
  <w:num w:numId="21">
    <w:abstractNumId w:val="6"/>
  </w:num>
  <w:num w:numId="22">
    <w:abstractNumId w:val="17"/>
  </w:num>
  <w:num w:numId="23">
    <w:abstractNumId w:val="12"/>
  </w:num>
  <w:num w:numId="24">
    <w:abstractNumId w:val="20"/>
  </w:num>
  <w:num w:numId="25">
    <w:abstractNumId w:val="18"/>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53B1"/>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6BBC"/>
    <w:rsid w:val="000A7400"/>
    <w:rsid w:val="000B0643"/>
    <w:rsid w:val="000B0C8C"/>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6D6B"/>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FD"/>
    <w:rsid w:val="003511A0"/>
    <w:rsid w:val="00351D5C"/>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2F4"/>
    <w:rsid w:val="00396448"/>
    <w:rsid w:val="0039751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13ED"/>
    <w:rsid w:val="003B21CF"/>
    <w:rsid w:val="003B2973"/>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24"/>
    <w:rsid w:val="003E2145"/>
    <w:rsid w:val="003E288D"/>
    <w:rsid w:val="003E3623"/>
    <w:rsid w:val="003E3BE7"/>
    <w:rsid w:val="003E40C2"/>
    <w:rsid w:val="003E4288"/>
    <w:rsid w:val="003E46EF"/>
    <w:rsid w:val="003E6115"/>
    <w:rsid w:val="003E6457"/>
    <w:rsid w:val="003E6B48"/>
    <w:rsid w:val="003E7102"/>
    <w:rsid w:val="003F01D8"/>
    <w:rsid w:val="003F027C"/>
    <w:rsid w:val="003F0D94"/>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79E6"/>
    <w:rsid w:val="004A7D63"/>
    <w:rsid w:val="004B08A0"/>
    <w:rsid w:val="004B0D08"/>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1C19"/>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2DB5"/>
    <w:rsid w:val="00503553"/>
    <w:rsid w:val="00503CB4"/>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220"/>
    <w:rsid w:val="00533842"/>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875"/>
    <w:rsid w:val="00555CF3"/>
    <w:rsid w:val="005562C8"/>
    <w:rsid w:val="00556E7F"/>
    <w:rsid w:val="00557CAE"/>
    <w:rsid w:val="00557DDD"/>
    <w:rsid w:val="0056084F"/>
    <w:rsid w:val="00561D0B"/>
    <w:rsid w:val="00562435"/>
    <w:rsid w:val="005629CF"/>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2C5"/>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59E0"/>
    <w:rsid w:val="00796E0C"/>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74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57D3"/>
    <w:rsid w:val="009B751A"/>
    <w:rsid w:val="009B7EC2"/>
    <w:rsid w:val="009B7FD0"/>
    <w:rsid w:val="009C024D"/>
    <w:rsid w:val="009C0469"/>
    <w:rsid w:val="009C04EA"/>
    <w:rsid w:val="009C10F7"/>
    <w:rsid w:val="009C1158"/>
    <w:rsid w:val="009C180C"/>
    <w:rsid w:val="009C1C9A"/>
    <w:rsid w:val="009C3CC8"/>
    <w:rsid w:val="009C4442"/>
    <w:rsid w:val="009C4823"/>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22FF"/>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D99"/>
    <w:rsid w:val="00A85E86"/>
    <w:rsid w:val="00A8662B"/>
    <w:rsid w:val="00A86977"/>
    <w:rsid w:val="00A86D43"/>
    <w:rsid w:val="00A86FDB"/>
    <w:rsid w:val="00A87B56"/>
    <w:rsid w:val="00A90774"/>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A75"/>
    <w:rsid w:val="00BD0B6C"/>
    <w:rsid w:val="00BD105E"/>
    <w:rsid w:val="00BD1924"/>
    <w:rsid w:val="00BD234A"/>
    <w:rsid w:val="00BD2417"/>
    <w:rsid w:val="00BD327B"/>
    <w:rsid w:val="00BD3620"/>
    <w:rsid w:val="00BD37A6"/>
    <w:rsid w:val="00BD5160"/>
    <w:rsid w:val="00BD5317"/>
    <w:rsid w:val="00BD62AF"/>
    <w:rsid w:val="00BD65A5"/>
    <w:rsid w:val="00BD67AF"/>
    <w:rsid w:val="00BD67E5"/>
    <w:rsid w:val="00BD68F0"/>
    <w:rsid w:val="00BD6C56"/>
    <w:rsid w:val="00BD6E35"/>
    <w:rsid w:val="00BD73EA"/>
    <w:rsid w:val="00BD78AF"/>
    <w:rsid w:val="00BD7977"/>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A71"/>
    <w:rsid w:val="00CB1B9E"/>
    <w:rsid w:val="00CB287A"/>
    <w:rsid w:val="00CB4C09"/>
    <w:rsid w:val="00CB5368"/>
    <w:rsid w:val="00CB5568"/>
    <w:rsid w:val="00CB5634"/>
    <w:rsid w:val="00CB5985"/>
    <w:rsid w:val="00CB5CCF"/>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E8A"/>
    <w:rsid w:val="00D7449A"/>
    <w:rsid w:val="00D7478C"/>
    <w:rsid w:val="00D7561D"/>
    <w:rsid w:val="00D75F30"/>
    <w:rsid w:val="00D770AA"/>
    <w:rsid w:val="00D7714B"/>
    <w:rsid w:val="00D7724F"/>
    <w:rsid w:val="00D80371"/>
    <w:rsid w:val="00D81519"/>
    <w:rsid w:val="00D81D61"/>
    <w:rsid w:val="00D82532"/>
    <w:rsid w:val="00D8298A"/>
    <w:rsid w:val="00D82D9B"/>
    <w:rsid w:val="00D85090"/>
    <w:rsid w:val="00D85B38"/>
    <w:rsid w:val="00D85EF7"/>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D0A"/>
    <w:rsid w:val="00E31B0C"/>
    <w:rsid w:val="00E31C07"/>
    <w:rsid w:val="00E320A7"/>
    <w:rsid w:val="00E32F77"/>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D1"/>
    <w:rsid w:val="00F702FD"/>
    <w:rsid w:val="00F703AE"/>
    <w:rsid w:val="00F70CFC"/>
    <w:rsid w:val="00F70E65"/>
    <w:rsid w:val="00F70E74"/>
    <w:rsid w:val="00F71156"/>
    <w:rsid w:val="00F71CBE"/>
    <w:rsid w:val="00F720B9"/>
    <w:rsid w:val="00F76580"/>
    <w:rsid w:val="00F76A4A"/>
    <w:rsid w:val="00F76FC4"/>
    <w:rsid w:val="00F77C0C"/>
    <w:rsid w:val="00F77D34"/>
    <w:rsid w:val="00F8055C"/>
    <w:rsid w:val="00F80973"/>
    <w:rsid w:val="00F823C2"/>
    <w:rsid w:val="00F825B7"/>
    <w:rsid w:val="00F826F8"/>
    <w:rsid w:val="00F82737"/>
    <w:rsid w:val="00F82A91"/>
    <w:rsid w:val="00F833AB"/>
    <w:rsid w:val="00F833DF"/>
    <w:rsid w:val="00F835E8"/>
    <w:rsid w:val="00F84F26"/>
    <w:rsid w:val="00F850B2"/>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39A"/>
    <w:rsid w:val="00F963D3"/>
    <w:rsid w:val="00F97859"/>
    <w:rsid w:val="00FA0168"/>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386"/>
    <w:rsid w:val="00FE08B7"/>
    <w:rsid w:val="00FE0C60"/>
    <w:rsid w:val="00FE0D40"/>
    <w:rsid w:val="00FE10B1"/>
    <w:rsid w:val="00FE1259"/>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983C21-77E9-4239-BD58-A0A04F5AD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2019-08-13T13:26:00Z</dcterms:created>
  <dcterms:modified xsi:type="dcterms:W3CDTF">2019-08-13T13:26:00Z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