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AE6D982" w14:textId="104381CE"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8240"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AA0FA"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22DE0">
        <w:rPr>
          <w:color w:val="auto"/>
          <w:sz w:val="24"/>
          <w:lang w:eastAsia="en-GB"/>
        </w:rPr>
        <w:t>3GPP TSG-RAN WG2 meeting #106</w:t>
      </w:r>
      <w:r>
        <w:rPr>
          <w:rFonts w:hint="eastAsia"/>
          <w:color w:val="auto"/>
          <w:sz w:val="24"/>
          <w:lang w:eastAsia="zh-CN"/>
        </w:rPr>
        <w:tab/>
      </w:r>
      <w:r w:rsidR="00BF708D">
        <w:rPr>
          <w:color w:val="auto"/>
          <w:sz w:val="24"/>
          <w:lang w:eastAsia="zh-CN"/>
        </w:rPr>
        <w:tab/>
      </w:r>
      <w:r w:rsidR="008B0630">
        <w:rPr>
          <w:color w:val="auto"/>
          <w:sz w:val="24"/>
          <w:lang w:eastAsia="zh-CN"/>
        </w:rPr>
        <w:t xml:space="preserve">    </w:t>
      </w:r>
      <w:r w:rsidRPr="00BF708D">
        <w:rPr>
          <w:i/>
          <w:color w:val="auto"/>
          <w:sz w:val="24"/>
        </w:rPr>
        <w:t>R2-</w:t>
      </w:r>
      <w:r w:rsidR="007926E2">
        <w:rPr>
          <w:i/>
          <w:color w:val="auto"/>
          <w:sz w:val="24"/>
        </w:rPr>
        <w:t>1</w:t>
      </w:r>
      <w:r w:rsidR="00B22DE0">
        <w:rPr>
          <w:i/>
          <w:color w:val="auto"/>
          <w:sz w:val="24"/>
          <w:lang w:eastAsia="zh-CN"/>
        </w:rPr>
        <w:t>90</w:t>
      </w:r>
      <w:r w:rsidR="00E87969">
        <w:rPr>
          <w:i/>
          <w:color w:val="auto"/>
          <w:sz w:val="24"/>
          <w:lang w:eastAsia="zh-CN"/>
        </w:rPr>
        <w:t>7852</w:t>
      </w:r>
    </w:p>
    <w:p w14:paraId="2AE6D983" w14:textId="5E4FE541" w:rsidR="007E1DEE" w:rsidRPr="00C036E6" w:rsidRDefault="00B22DE0" w:rsidP="007E1DEE">
      <w:pPr>
        <w:pStyle w:val="Header"/>
        <w:tabs>
          <w:tab w:val="left" w:pos="6521"/>
        </w:tabs>
        <w:jc w:val="both"/>
        <w:rPr>
          <w:color w:val="auto"/>
          <w:sz w:val="24"/>
          <w:lang w:eastAsia="zh-CN"/>
        </w:rPr>
      </w:pPr>
      <w:r>
        <w:rPr>
          <w:color w:val="auto"/>
          <w:sz w:val="24"/>
          <w:lang w:eastAsia="zh-CN"/>
        </w:rPr>
        <w:t>Reno</w:t>
      </w:r>
      <w:r w:rsidR="00FD3CA6">
        <w:rPr>
          <w:color w:val="auto"/>
          <w:sz w:val="24"/>
        </w:rPr>
        <w:t>,</w:t>
      </w:r>
      <w:r>
        <w:rPr>
          <w:color w:val="auto"/>
          <w:sz w:val="24"/>
        </w:rPr>
        <w:t xml:space="preserve"> Nevada, US</w:t>
      </w:r>
      <w:r w:rsidR="007A3C8B" w:rsidRPr="00943E97">
        <w:rPr>
          <w:color w:val="auto"/>
          <w:sz w:val="24"/>
        </w:rPr>
        <w:t>,</w:t>
      </w:r>
      <w:r>
        <w:rPr>
          <w:color w:val="auto"/>
          <w:sz w:val="24"/>
        </w:rPr>
        <w:t xml:space="preserve"> 13</w:t>
      </w:r>
      <w:r w:rsidR="009C418B">
        <w:rPr>
          <w:color w:val="auto"/>
          <w:sz w:val="24"/>
        </w:rPr>
        <w:t xml:space="preserve"> – 1</w:t>
      </w:r>
      <w:r>
        <w:rPr>
          <w:color w:val="auto"/>
          <w:sz w:val="24"/>
        </w:rPr>
        <w:t>7 May</w:t>
      </w:r>
      <w:r w:rsidR="007A3C8B">
        <w:rPr>
          <w:rFonts w:hint="eastAsia"/>
          <w:color w:val="auto"/>
          <w:sz w:val="24"/>
        </w:rPr>
        <w:t>, 201</w:t>
      </w:r>
      <w:r w:rsidR="009C418B">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73EBE4BE"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676B77">
        <w:rPr>
          <w:rFonts w:ascii="Arial" w:hAnsi="Arial"/>
          <w:b/>
          <w:sz w:val="24"/>
          <w:lang w:val="en-US" w:eastAsia="zh-CN"/>
        </w:rPr>
        <w:t>11.</w:t>
      </w:r>
      <w:r w:rsidR="00D55483">
        <w:rPr>
          <w:rFonts w:ascii="Arial" w:hAnsi="Arial"/>
          <w:b/>
          <w:sz w:val="24"/>
          <w:lang w:val="en-US" w:eastAsia="zh-CN"/>
        </w:rPr>
        <w:t>10.3</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19E543E6"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D55483">
        <w:rPr>
          <w:rFonts w:ascii="Arial" w:hAnsi="Arial"/>
          <w:b/>
          <w:sz w:val="24"/>
          <w:lang w:val="en-US"/>
        </w:rPr>
        <w:t xml:space="preserve">Discussion on </w:t>
      </w:r>
      <w:r w:rsidR="008B0630">
        <w:rPr>
          <w:rFonts w:ascii="Arial" w:hAnsi="Arial"/>
          <w:b/>
          <w:sz w:val="24"/>
          <w:lang w:val="en-US"/>
        </w:rPr>
        <w:t xml:space="preserve">the </w:t>
      </w:r>
      <w:r w:rsidR="00C319FD">
        <w:rPr>
          <w:rFonts w:ascii="Arial" w:hAnsi="Arial"/>
          <w:b/>
          <w:sz w:val="24"/>
          <w:lang w:val="en-US"/>
        </w:rPr>
        <w:t>unsecured</w:t>
      </w:r>
      <w:r w:rsidR="00D95187">
        <w:rPr>
          <w:rFonts w:ascii="Arial" w:hAnsi="Arial"/>
          <w:b/>
          <w:sz w:val="24"/>
          <w:lang w:val="en-US"/>
        </w:rPr>
        <w:t xml:space="preserve"> provision of some early measurement information </w:t>
      </w:r>
      <w:r w:rsidR="00C319FD">
        <w:rPr>
          <w:rFonts w:ascii="Arial" w:hAnsi="Arial"/>
          <w:b/>
          <w:sz w:val="24"/>
          <w:lang w:val="en-US"/>
        </w:rPr>
        <w:t>by the UE</w:t>
      </w:r>
      <w:r w:rsidR="00D95187">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AC9FE47" w14:textId="78F80AC1" w:rsidR="009C418B" w:rsidRDefault="00E82616" w:rsidP="00E82616">
      <w:r>
        <w:t xml:space="preserve">In RAN2-105bis the </w:t>
      </w:r>
      <w:r w:rsidR="00D95187">
        <w:t xml:space="preserve">discussion of UE providing some early measurement information to the NW without security protection was considered to be ‘FFS’. </w:t>
      </w:r>
      <w:r>
        <w:t xml:space="preserve">  </w:t>
      </w:r>
    </w:p>
    <w:p w14:paraId="47F1C13D" w14:textId="77777777" w:rsidR="00DB4ABF" w:rsidRPr="00D6384F" w:rsidRDefault="00DB4ABF" w:rsidP="00DB4ABF">
      <w:pPr>
        <w:pStyle w:val="Doc-text2"/>
        <w:pBdr>
          <w:top w:val="single" w:sz="4" w:space="1" w:color="auto"/>
          <w:left w:val="single" w:sz="4" w:space="4" w:color="auto"/>
          <w:bottom w:val="single" w:sz="4" w:space="1" w:color="auto"/>
          <w:right w:val="single" w:sz="4" w:space="4" w:color="auto"/>
        </w:pBdr>
      </w:pPr>
      <w:r w:rsidRPr="00D6384F">
        <w:t>Agreement</w:t>
      </w:r>
    </w:p>
    <w:p w14:paraId="208F2A36" w14:textId="77777777" w:rsidR="00DB4ABF" w:rsidRPr="00D6384F" w:rsidRDefault="00DB4ABF" w:rsidP="00DB4ABF">
      <w:pPr>
        <w:pStyle w:val="Doc-text2"/>
        <w:pBdr>
          <w:top w:val="single" w:sz="4" w:space="1" w:color="auto"/>
          <w:left w:val="single" w:sz="4" w:space="4" w:color="auto"/>
          <w:bottom w:val="single" w:sz="4" w:space="1" w:color="auto"/>
          <w:right w:val="single" w:sz="4" w:space="4" w:color="auto"/>
        </w:pBdr>
      </w:pPr>
      <w:r w:rsidRPr="00D6384F">
        <w:t>1</w:t>
      </w:r>
      <w:r w:rsidRPr="00D6384F">
        <w:tab/>
        <w:t>For NR IDLE mode, the LTE rel-15 euCA early measurement reporting solution (i.e. via UEInformationRequest and UEInformationResponse like messages) after connection is setup will be supported.</w:t>
      </w:r>
    </w:p>
    <w:p w14:paraId="2F53266C" w14:textId="77777777" w:rsidR="00DB4ABF" w:rsidRPr="00D6384F" w:rsidRDefault="00DB4ABF" w:rsidP="00DB4ABF">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23F5B7AE" w14:textId="77777777" w:rsidR="00DB4ABF" w:rsidRPr="00D6384F" w:rsidRDefault="00DB4ABF" w:rsidP="00DB4ABF">
      <w:pPr>
        <w:pStyle w:val="Doc-text2"/>
        <w:pBdr>
          <w:top w:val="single" w:sz="4" w:space="1" w:color="auto"/>
          <w:left w:val="single" w:sz="4" w:space="4" w:color="auto"/>
          <w:bottom w:val="single" w:sz="4" w:space="1" w:color="auto"/>
          <w:right w:val="single" w:sz="4" w:space="4" w:color="auto"/>
        </w:pBdr>
      </w:pPr>
      <w:r w:rsidRPr="00DB4ABF">
        <w:rPr>
          <w:highlight w:val="yellow"/>
        </w:rPr>
        <w:t>FFS if some measurement information (detail TBD) related to idle mode measurements can be sent before security activation.</w:t>
      </w:r>
    </w:p>
    <w:p w14:paraId="1716DA84"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p>
    <w:p w14:paraId="2B1EE5B5" w14:textId="77777777" w:rsidR="00E82616" w:rsidRPr="009C418B" w:rsidRDefault="00E82616" w:rsidP="00E82616">
      <w:pPr>
        <w:rPr>
          <w:rFonts w:ascii="Arial" w:eastAsia="MS Mincho" w:hAnsi="Arial" w:cs="Times New Roman"/>
          <w:sz w:val="20"/>
          <w:szCs w:val="24"/>
          <w:lang w:eastAsia="en-GB"/>
        </w:rPr>
      </w:pPr>
    </w:p>
    <w:p w14:paraId="77BB9815" w14:textId="2B709A90" w:rsidR="00054453" w:rsidRDefault="003252AC" w:rsidP="00E766E7">
      <w:r>
        <w:t>In t</w:t>
      </w:r>
      <w:r w:rsidR="00E82616">
        <w:t xml:space="preserve">his </w:t>
      </w:r>
      <w:r w:rsidR="00960632">
        <w:t xml:space="preserve">short </w:t>
      </w:r>
      <w:r w:rsidR="00E82616">
        <w:t xml:space="preserve">contribution, we </w:t>
      </w:r>
      <w:r w:rsidR="00B0527A">
        <w:t xml:space="preserve">discuss </w:t>
      </w:r>
      <w:r w:rsidR="00D95187">
        <w:t>the reasons why this optimization is not needed.</w:t>
      </w:r>
      <w:r w:rsidR="004E172D">
        <w:t xml:space="preserve"> </w:t>
      </w:r>
      <w:r w:rsidR="00E766E7">
        <w:t xml:space="preserve"> </w:t>
      </w:r>
    </w:p>
    <w:p w14:paraId="2AE6D98D" w14:textId="77777777" w:rsidR="003E1A61" w:rsidRDefault="003E1A61" w:rsidP="00F13226">
      <w:pPr>
        <w:pStyle w:val="Heading1"/>
      </w:pPr>
      <w:r>
        <w:t>Discussion</w:t>
      </w:r>
    </w:p>
    <w:p w14:paraId="55F6CFF1" w14:textId="0CA3EF49" w:rsidR="00B0527A" w:rsidRDefault="00B95F4A" w:rsidP="00E766E7">
      <w:pPr>
        <w:pStyle w:val="Heading2"/>
      </w:pPr>
      <w:r>
        <w:t>Early measurement information</w:t>
      </w:r>
    </w:p>
    <w:p w14:paraId="19CB5FBE" w14:textId="77777777" w:rsidR="00B95F4A" w:rsidRDefault="00B95F4A" w:rsidP="00B0527A">
      <w:r>
        <w:t xml:space="preserve">The main information the UE can provide as part of early measurements after security protection are: </w:t>
      </w:r>
    </w:p>
    <w:p w14:paraId="6A78FE18" w14:textId="458A6E72" w:rsidR="00B95F4A" w:rsidRDefault="00B95F4A" w:rsidP="00B95F4A">
      <w:pPr>
        <w:pStyle w:val="ListParagraph"/>
        <w:numPr>
          <w:ilvl w:val="0"/>
          <w:numId w:val="15"/>
        </w:numPr>
      </w:pPr>
      <w:r>
        <w:t xml:space="preserve">PCI of the cells </w:t>
      </w:r>
      <w:r w:rsidR="00DB4ABF">
        <w:t xml:space="preserve">and </w:t>
      </w:r>
      <w:r>
        <w:t>frequencies</w:t>
      </w:r>
      <w:r w:rsidR="00DB4ABF">
        <w:t xml:space="preserve"> of these cells</w:t>
      </w:r>
      <w:r>
        <w:t xml:space="preserve"> the UE ha</w:t>
      </w:r>
      <w:r w:rsidR="00DB4ABF">
        <w:t>s</w:t>
      </w:r>
      <w:r>
        <w:t xml:space="preserve"> measured </w:t>
      </w:r>
    </w:p>
    <w:p w14:paraId="53E86571" w14:textId="7253480A" w:rsidR="00B95F4A" w:rsidRDefault="00B95F4A" w:rsidP="00B95F4A">
      <w:pPr>
        <w:pStyle w:val="ListParagraph"/>
        <w:numPr>
          <w:ilvl w:val="0"/>
          <w:numId w:val="15"/>
        </w:numPr>
      </w:pPr>
      <w:r>
        <w:t>The measurement quantities for these cells</w:t>
      </w:r>
    </w:p>
    <w:p w14:paraId="321DDEBA" w14:textId="77777777" w:rsidR="00B95F4A" w:rsidRDefault="00B95F4A" w:rsidP="00B95F4A">
      <w:pPr>
        <w:pStyle w:val="ListParagraph"/>
        <w:numPr>
          <w:ilvl w:val="0"/>
          <w:numId w:val="15"/>
        </w:numPr>
      </w:pPr>
      <w:r>
        <w:t>And the best b</w:t>
      </w:r>
      <w:r w:rsidR="00B0527A">
        <w:t xml:space="preserve">eam </w:t>
      </w:r>
      <w:r>
        <w:t xml:space="preserve">index for each of the cells </w:t>
      </w:r>
    </w:p>
    <w:p w14:paraId="5C029C8C" w14:textId="77777777" w:rsidR="00384AF8" w:rsidRDefault="00B95F4A" w:rsidP="00B95F4A">
      <w:pPr>
        <w:ind w:left="360"/>
      </w:pPr>
      <w:r>
        <w:t xml:space="preserve">NOTE: it is not yet agreed whether the beam information would be per cell, or per band. </w:t>
      </w:r>
      <w:r w:rsidR="00384AF8">
        <w:t>In release-15, RAN4 has agreed that all the FR2 cells in a particular band share the same beam configuration, and that the UE assumes the same RX and TX beam configuration for all the cells in the same FR2 band.</w:t>
      </w:r>
    </w:p>
    <w:p w14:paraId="0BC8DD34" w14:textId="77777777" w:rsidR="00384AF8" w:rsidRDefault="00384AF8" w:rsidP="00B95F4A">
      <w:pPr>
        <w:ind w:left="360"/>
      </w:pPr>
    </w:p>
    <w:p w14:paraId="25674151" w14:textId="7509C7AC" w:rsidR="00960632" w:rsidRDefault="00960632" w:rsidP="00960632">
      <w:pPr>
        <w:pStyle w:val="Heading2"/>
      </w:pPr>
      <w:r>
        <w:t>Early measurement information</w:t>
      </w:r>
      <w:r w:rsidR="00057A92">
        <w:t xml:space="preserve"> assessment</w:t>
      </w:r>
    </w:p>
    <w:p w14:paraId="5E77051C" w14:textId="77777777" w:rsidR="00960632" w:rsidRDefault="00960632" w:rsidP="00384AF8">
      <w:r>
        <w:t xml:space="preserve">It is our assumption that the provision of early information to the NW (before security) is to help the NW speed up the configuration within the NW, so that when the secured measurements are sent, the NW has already prepared the framework for setting up of CA or DC. </w:t>
      </w:r>
    </w:p>
    <w:p w14:paraId="410D2104" w14:textId="0BF093EB" w:rsidR="00960632" w:rsidRDefault="00960632" w:rsidP="00384AF8">
      <w:r>
        <w:lastRenderedPageBreak/>
        <w:t>But if we look further, we see that setting up of CA is usually within the gNB and it’s only when MR-DC needs to be setup, the MN-SN co-ordination can be sped up with some pre-secured information of early measurements.</w:t>
      </w:r>
    </w:p>
    <w:p w14:paraId="739B0B89" w14:textId="23FC7CC6" w:rsidR="00057A92" w:rsidRPr="00057A92" w:rsidRDefault="00057A92" w:rsidP="00384AF8">
      <w:pPr>
        <w:rPr>
          <w:b/>
        </w:rPr>
      </w:pPr>
      <w:r w:rsidRPr="00057A92">
        <w:rPr>
          <w:b/>
        </w:rPr>
        <w:t>Observation</w:t>
      </w:r>
      <w:r w:rsidR="00792367">
        <w:rPr>
          <w:b/>
        </w:rPr>
        <w:t xml:space="preserve"> 1</w:t>
      </w:r>
      <w:r w:rsidRPr="00057A92">
        <w:rPr>
          <w:b/>
        </w:rPr>
        <w:t>: CA configuration is usually internal to gNB (for co-located deployments) and the process of UE providing some early measurement information before security is useful only in MR-DC and NR-DC situations where MN-SN co-ordination can be sped-up with the early information.</w:t>
      </w:r>
    </w:p>
    <w:p w14:paraId="773E203A" w14:textId="59C1D74C" w:rsidR="00960632" w:rsidRDefault="00960632" w:rsidP="00384AF8">
      <w:r>
        <w:t>If we look at the data provided by the UE, the frequency information and PCI of the cell are at</w:t>
      </w:r>
      <w:r w:rsidR="00F24E7A">
        <w:t xml:space="preserve"> </w:t>
      </w:r>
      <w:r>
        <w:t>least nee</w:t>
      </w:r>
      <w:r w:rsidR="00057A92">
        <w:t>ded for the NW upfront for any inter-node progress. We do not see how just providing the frequency alone is useful to MN (or gNB).</w:t>
      </w:r>
    </w:p>
    <w:p w14:paraId="3B3BD8A9" w14:textId="70EE2CCF" w:rsidR="00057A92" w:rsidRDefault="00057A92" w:rsidP="00384AF8">
      <w:r>
        <w:t xml:space="preserve">Provision of PCI goes against the security protection RAN2 has agreed. </w:t>
      </w:r>
    </w:p>
    <w:p w14:paraId="41ACDEA2" w14:textId="284B80E9" w:rsidR="00792367" w:rsidRDefault="00057A92" w:rsidP="00384AF8">
      <w:pPr>
        <w:rPr>
          <w:b/>
        </w:rPr>
      </w:pPr>
      <w:r w:rsidRPr="0025095C">
        <w:rPr>
          <w:b/>
        </w:rPr>
        <w:t>Observation</w:t>
      </w:r>
      <w:r w:rsidR="00792367">
        <w:rPr>
          <w:b/>
        </w:rPr>
        <w:t xml:space="preserve"> 2</w:t>
      </w:r>
      <w:r w:rsidRPr="0025095C">
        <w:rPr>
          <w:b/>
        </w:rPr>
        <w:t>: PCI is needed along with frequency for any MN-SN pre-configuration. But PCI cannot be sent without security, as this goes against the RAN/SA3 agreement.</w:t>
      </w:r>
      <w:r w:rsidR="00792367">
        <w:rPr>
          <w:b/>
        </w:rPr>
        <w:t xml:space="preserve"> </w:t>
      </w:r>
    </w:p>
    <w:p w14:paraId="7C3A006D" w14:textId="06FB97F9" w:rsidR="00057A92" w:rsidRDefault="00792367" w:rsidP="00384AF8">
      <w:r>
        <w:t>We do not expect SA3 to relax the security requirements and given the time available, and time taken to get a response from SA3, we do not see a need to check with them either</w:t>
      </w:r>
    </w:p>
    <w:p w14:paraId="4BAB557E" w14:textId="739D4155" w:rsidR="00792367" w:rsidRPr="00792367" w:rsidRDefault="00792367" w:rsidP="00384AF8">
      <w:pPr>
        <w:rPr>
          <w:b/>
        </w:rPr>
      </w:pPr>
      <w:r w:rsidRPr="00792367">
        <w:rPr>
          <w:b/>
        </w:rPr>
        <w:t>Observation</w:t>
      </w:r>
      <w:r>
        <w:rPr>
          <w:b/>
        </w:rPr>
        <w:t xml:space="preserve"> 3</w:t>
      </w:r>
      <w:r w:rsidRPr="00792367">
        <w:rPr>
          <w:b/>
        </w:rPr>
        <w:t>: Relaxing of the security requirement from SA3 is not expected, and checking with SA3 results in further delay which is not useful.</w:t>
      </w:r>
    </w:p>
    <w:p w14:paraId="3354CA0F" w14:textId="1E9655E6" w:rsidR="00057A92" w:rsidRDefault="00057A92" w:rsidP="00057A92">
      <w:pPr>
        <w:pStyle w:val="Heading2"/>
      </w:pPr>
      <w:r>
        <w:t>UE capability impact</w:t>
      </w:r>
    </w:p>
    <w:p w14:paraId="37129DA5" w14:textId="1AD41410" w:rsidR="00057A92" w:rsidRPr="0025095C" w:rsidRDefault="00057A92" w:rsidP="00057A92">
      <w:pPr>
        <w:rPr>
          <w:b/>
        </w:rPr>
      </w:pPr>
      <w:r w:rsidRPr="0025095C">
        <w:rPr>
          <w:b/>
        </w:rPr>
        <w:t>Observation</w:t>
      </w:r>
      <w:r w:rsidR="00792367">
        <w:rPr>
          <w:b/>
        </w:rPr>
        <w:t xml:space="preserve"> </w:t>
      </w:r>
      <w:r w:rsidR="000A1A97">
        <w:rPr>
          <w:b/>
        </w:rPr>
        <w:t>4</w:t>
      </w:r>
      <w:r w:rsidRPr="0025095C">
        <w:rPr>
          <w:b/>
        </w:rPr>
        <w:t xml:space="preserve">:  </w:t>
      </w:r>
      <w:r w:rsidR="003258C6">
        <w:rPr>
          <w:b/>
        </w:rPr>
        <w:t>In the transition from IDLE to CONNECTED, t</w:t>
      </w:r>
      <w:r w:rsidRPr="0025095C">
        <w:rPr>
          <w:b/>
        </w:rPr>
        <w:t>he NW might not have UE capabilities to fully use the pre-measurement information, and unless the UE waits for the NW to actually ask for the pre-measurement information, the UE is not aware if the NW has the capability as well. The gNB needs to get the capability from the AMF, which anyway adds latency.</w:t>
      </w:r>
    </w:p>
    <w:p w14:paraId="56D86D6D" w14:textId="1AAEE6D5" w:rsidR="00057A92" w:rsidRDefault="0025095C" w:rsidP="00057A92">
      <w:r>
        <w:t>Based on the above, we think this optimization is not needed at this time.</w:t>
      </w:r>
    </w:p>
    <w:p w14:paraId="2FFDB6A6" w14:textId="24B489B6" w:rsidR="00057A92" w:rsidRPr="00D754AC" w:rsidRDefault="0025095C" w:rsidP="00384AF8">
      <w:pPr>
        <w:rPr>
          <w:b/>
        </w:rPr>
      </w:pPr>
      <w:r w:rsidRPr="00D754AC">
        <w:rPr>
          <w:b/>
        </w:rPr>
        <w:t>Proposal</w:t>
      </w:r>
      <w:r w:rsidR="00792367">
        <w:rPr>
          <w:b/>
        </w:rPr>
        <w:t xml:space="preserve"> 1</w:t>
      </w:r>
      <w:r w:rsidRPr="00D754AC">
        <w:rPr>
          <w:b/>
        </w:rPr>
        <w:t xml:space="preserve">: RAN2 does not pursue the discussion on the concept of UE providing some early measurement information before security context. </w:t>
      </w:r>
    </w:p>
    <w:p w14:paraId="2AE6D99F" w14:textId="77777777" w:rsidR="00FB082B" w:rsidRPr="00B22DE0" w:rsidRDefault="00FB082B" w:rsidP="006D66EA">
      <w:pPr>
        <w:pStyle w:val="Heading1"/>
      </w:pPr>
      <w:r w:rsidRPr="00B22DE0">
        <w:t>Conclusion and proposals</w:t>
      </w:r>
    </w:p>
    <w:p w14:paraId="30BF18F6" w14:textId="07BC8C72" w:rsidR="00792367" w:rsidRPr="00057A92" w:rsidRDefault="00792367" w:rsidP="00792367">
      <w:pPr>
        <w:rPr>
          <w:b/>
        </w:rPr>
      </w:pPr>
      <w:r w:rsidRPr="00057A92">
        <w:rPr>
          <w:b/>
        </w:rPr>
        <w:t>Observation</w:t>
      </w:r>
      <w:r>
        <w:rPr>
          <w:b/>
        </w:rPr>
        <w:t xml:space="preserve"> 1</w:t>
      </w:r>
      <w:r w:rsidRPr="00057A92">
        <w:rPr>
          <w:b/>
        </w:rPr>
        <w:t>: CA configuration is usually internal to gNB (for co-located deployments) and the process of UE providing some early measurement information before security is useful only in MR-DC and NR-DC situations where MN-SN co-ordination can be sped-up with the early information.</w:t>
      </w:r>
    </w:p>
    <w:p w14:paraId="39AD5CBA" w14:textId="6764B1B3" w:rsidR="00792367" w:rsidRDefault="00792367" w:rsidP="00792367">
      <w:pPr>
        <w:rPr>
          <w:b/>
        </w:rPr>
      </w:pPr>
      <w:r w:rsidRPr="0025095C">
        <w:rPr>
          <w:b/>
        </w:rPr>
        <w:t>Observation</w:t>
      </w:r>
      <w:r>
        <w:rPr>
          <w:b/>
        </w:rPr>
        <w:t xml:space="preserve"> 2</w:t>
      </w:r>
      <w:r w:rsidRPr="0025095C">
        <w:rPr>
          <w:b/>
        </w:rPr>
        <w:t>: PCI is needed along with frequency for any MN-SN pre-configuration. But PCI cannot be sent without security, as this goes against the RAN/SA3 agreement.</w:t>
      </w:r>
      <w:r>
        <w:rPr>
          <w:b/>
        </w:rPr>
        <w:t xml:space="preserve"> </w:t>
      </w:r>
    </w:p>
    <w:p w14:paraId="6AE6272A" w14:textId="1D021A63" w:rsidR="00792367" w:rsidRPr="00792367" w:rsidRDefault="00792367" w:rsidP="00792367">
      <w:pPr>
        <w:rPr>
          <w:b/>
        </w:rPr>
      </w:pPr>
      <w:r w:rsidRPr="00792367">
        <w:rPr>
          <w:b/>
        </w:rPr>
        <w:t>Observation</w:t>
      </w:r>
      <w:r>
        <w:rPr>
          <w:b/>
        </w:rPr>
        <w:t xml:space="preserve"> 3</w:t>
      </w:r>
      <w:r w:rsidRPr="00792367">
        <w:rPr>
          <w:b/>
        </w:rPr>
        <w:t>: Relaxing of the security requirement from SA3 is not expected, and checking with SA3 results in further delay which is not useful.</w:t>
      </w:r>
    </w:p>
    <w:p w14:paraId="36B0FE74" w14:textId="682B6E10" w:rsidR="00E52A03" w:rsidRPr="0025095C" w:rsidRDefault="00E52A03" w:rsidP="00E52A03">
      <w:pPr>
        <w:rPr>
          <w:b/>
        </w:rPr>
      </w:pPr>
      <w:r w:rsidRPr="0025095C">
        <w:rPr>
          <w:b/>
        </w:rPr>
        <w:t>Observation</w:t>
      </w:r>
      <w:r w:rsidR="000A1A97">
        <w:rPr>
          <w:b/>
        </w:rPr>
        <w:t xml:space="preserve"> 4</w:t>
      </w:r>
      <w:r w:rsidRPr="0025095C">
        <w:rPr>
          <w:b/>
        </w:rPr>
        <w:t xml:space="preserve">:  </w:t>
      </w:r>
      <w:r>
        <w:rPr>
          <w:b/>
        </w:rPr>
        <w:t>In the transition from IDLE to CONNECTED, t</w:t>
      </w:r>
      <w:r w:rsidRPr="0025095C">
        <w:rPr>
          <w:b/>
        </w:rPr>
        <w:t>he NW might not have UE capabilities to fully use the pre-measurement information, and unless the UE waits for the NW to actually ask for the pre-measurement information, the UE is not aware if the NW has the capability as well. The gNB needs to get the capability from the AMF, which anyway adds latency.</w:t>
      </w:r>
    </w:p>
    <w:p w14:paraId="30C19C1A" w14:textId="77777777" w:rsidR="00792367" w:rsidRPr="00D754AC" w:rsidRDefault="00792367" w:rsidP="00792367">
      <w:pPr>
        <w:rPr>
          <w:b/>
        </w:rPr>
      </w:pPr>
      <w:r w:rsidRPr="00D754AC">
        <w:rPr>
          <w:b/>
        </w:rPr>
        <w:t>Proposal</w:t>
      </w:r>
      <w:r>
        <w:rPr>
          <w:b/>
        </w:rPr>
        <w:t xml:space="preserve"> 1</w:t>
      </w:r>
      <w:r w:rsidRPr="00D754AC">
        <w:rPr>
          <w:b/>
        </w:rPr>
        <w:t xml:space="preserve">: RAN2 does not pursue the discussion on the concept of UE providing some early measurement information before security context. </w:t>
      </w:r>
    </w:p>
    <w:p w14:paraId="298FB426" w14:textId="54E8DDCC" w:rsidR="00E20EB7" w:rsidRPr="00B22DE0" w:rsidRDefault="00E20EB7" w:rsidP="00FB082B"/>
    <w:sectPr w:rsidR="00E20EB7" w:rsidRPr="00B22DE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36898" w14:textId="77777777" w:rsidR="00AA655D" w:rsidRDefault="00AA655D" w:rsidP="00DF7110">
      <w:pPr>
        <w:spacing w:after="0" w:line="240" w:lineRule="auto"/>
      </w:pPr>
      <w:r>
        <w:separator/>
      </w:r>
    </w:p>
  </w:endnote>
  <w:endnote w:type="continuationSeparator" w:id="0">
    <w:p w14:paraId="35352AAD" w14:textId="77777777" w:rsidR="00AA655D" w:rsidRDefault="00AA655D" w:rsidP="00DF7110">
      <w:pPr>
        <w:spacing w:after="0" w:line="240" w:lineRule="auto"/>
      </w:pPr>
      <w:r>
        <w:continuationSeparator/>
      </w:r>
    </w:p>
  </w:endnote>
  <w:endnote w:type="continuationNotice" w:id="1">
    <w:p w14:paraId="14B7ACC1" w14:textId="77777777" w:rsidR="00AA655D" w:rsidRDefault="00AA65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40C15" w14:textId="77777777" w:rsidR="00AA655D" w:rsidRDefault="00AA655D" w:rsidP="00DF7110">
      <w:pPr>
        <w:spacing w:after="0" w:line="240" w:lineRule="auto"/>
      </w:pPr>
      <w:r>
        <w:separator/>
      </w:r>
    </w:p>
  </w:footnote>
  <w:footnote w:type="continuationSeparator" w:id="0">
    <w:p w14:paraId="08A26333" w14:textId="77777777" w:rsidR="00AA655D" w:rsidRDefault="00AA655D" w:rsidP="00DF7110">
      <w:pPr>
        <w:spacing w:after="0" w:line="240" w:lineRule="auto"/>
      </w:pPr>
      <w:r>
        <w:continuationSeparator/>
      </w:r>
    </w:p>
  </w:footnote>
  <w:footnote w:type="continuationNotice" w:id="1">
    <w:p w14:paraId="006AB045" w14:textId="77777777" w:rsidR="00AA655D" w:rsidRDefault="00AA655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B2C10ED"/>
    <w:multiLevelType w:val="hybridMultilevel"/>
    <w:tmpl w:val="F306D10A"/>
    <w:lvl w:ilvl="0" w:tplc="785E217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E64A20"/>
    <w:multiLevelType w:val="hybridMultilevel"/>
    <w:tmpl w:val="1716E416"/>
    <w:lvl w:ilvl="0" w:tplc="FC68DC40">
      <w:start w:val="2019"/>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4"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0"/>
  </w:num>
  <w:num w:numId="3">
    <w:abstractNumId w:val="7"/>
  </w:num>
  <w:num w:numId="4">
    <w:abstractNumId w:val="10"/>
  </w:num>
  <w:num w:numId="5">
    <w:abstractNumId w:val="2"/>
  </w:num>
  <w:num w:numId="6">
    <w:abstractNumId w:val="9"/>
  </w:num>
  <w:num w:numId="7">
    <w:abstractNumId w:val="13"/>
  </w:num>
  <w:num w:numId="8">
    <w:abstractNumId w:val="12"/>
  </w:num>
  <w:num w:numId="9">
    <w:abstractNumId w:val="8"/>
  </w:num>
  <w:num w:numId="10">
    <w:abstractNumId w:val="4"/>
  </w:num>
  <w:num w:numId="11">
    <w:abstractNumId w:val="1"/>
  </w:num>
  <w:num w:numId="12">
    <w:abstractNumId w:val="6"/>
  </w:num>
  <w:num w:numId="13">
    <w:abstractNumId w:val="14"/>
  </w:num>
  <w:num w:numId="14">
    <w:abstractNumId w:val="3"/>
  </w:num>
  <w:num w:numId="1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0ED5"/>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5114"/>
    <w:rsid w:val="0002518B"/>
    <w:rsid w:val="0002567C"/>
    <w:rsid w:val="00025BA4"/>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9C3"/>
    <w:rsid w:val="00046C64"/>
    <w:rsid w:val="00050A6F"/>
    <w:rsid w:val="00052490"/>
    <w:rsid w:val="00052A78"/>
    <w:rsid w:val="0005306F"/>
    <w:rsid w:val="00054453"/>
    <w:rsid w:val="00054694"/>
    <w:rsid w:val="00054F6B"/>
    <w:rsid w:val="00055281"/>
    <w:rsid w:val="0005653C"/>
    <w:rsid w:val="00056C4E"/>
    <w:rsid w:val="00057A92"/>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1BB"/>
    <w:rsid w:val="000713A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2ED8"/>
    <w:rsid w:val="00095A4A"/>
    <w:rsid w:val="0009652D"/>
    <w:rsid w:val="000A0D11"/>
    <w:rsid w:val="000A0E9B"/>
    <w:rsid w:val="000A0EB7"/>
    <w:rsid w:val="000A1A97"/>
    <w:rsid w:val="000A31A1"/>
    <w:rsid w:val="000A3EEA"/>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37708"/>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28C6"/>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9CC"/>
    <w:rsid w:val="00201512"/>
    <w:rsid w:val="00202030"/>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095C"/>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50B6"/>
    <w:rsid w:val="002878E7"/>
    <w:rsid w:val="00290046"/>
    <w:rsid w:val="002908C8"/>
    <w:rsid w:val="00290ADA"/>
    <w:rsid w:val="00291200"/>
    <w:rsid w:val="00293863"/>
    <w:rsid w:val="00293921"/>
    <w:rsid w:val="00293F61"/>
    <w:rsid w:val="0029434B"/>
    <w:rsid w:val="002944A1"/>
    <w:rsid w:val="00294527"/>
    <w:rsid w:val="0029484C"/>
    <w:rsid w:val="0029504C"/>
    <w:rsid w:val="002953E1"/>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4B0"/>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2AC"/>
    <w:rsid w:val="0032559A"/>
    <w:rsid w:val="003258C6"/>
    <w:rsid w:val="00325E3A"/>
    <w:rsid w:val="003266E7"/>
    <w:rsid w:val="003279EB"/>
    <w:rsid w:val="00330356"/>
    <w:rsid w:val="00331196"/>
    <w:rsid w:val="00331512"/>
    <w:rsid w:val="00331BC9"/>
    <w:rsid w:val="00332B79"/>
    <w:rsid w:val="0033360E"/>
    <w:rsid w:val="00334DA4"/>
    <w:rsid w:val="00334E2C"/>
    <w:rsid w:val="003367FF"/>
    <w:rsid w:val="00340D92"/>
    <w:rsid w:val="00342AEE"/>
    <w:rsid w:val="00342EBF"/>
    <w:rsid w:val="003436E2"/>
    <w:rsid w:val="00343827"/>
    <w:rsid w:val="003447D9"/>
    <w:rsid w:val="0034522E"/>
    <w:rsid w:val="00345247"/>
    <w:rsid w:val="003469E0"/>
    <w:rsid w:val="003505E8"/>
    <w:rsid w:val="00351002"/>
    <w:rsid w:val="0035297C"/>
    <w:rsid w:val="0035422F"/>
    <w:rsid w:val="00356420"/>
    <w:rsid w:val="0035643F"/>
    <w:rsid w:val="00356941"/>
    <w:rsid w:val="003601E5"/>
    <w:rsid w:val="003609C6"/>
    <w:rsid w:val="003618AB"/>
    <w:rsid w:val="00363883"/>
    <w:rsid w:val="00363B5B"/>
    <w:rsid w:val="00365A08"/>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AF8"/>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A7C28"/>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64D"/>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706"/>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2ADE"/>
    <w:rsid w:val="004B2E4A"/>
    <w:rsid w:val="004B332C"/>
    <w:rsid w:val="004B3A95"/>
    <w:rsid w:val="004B3B30"/>
    <w:rsid w:val="004B463C"/>
    <w:rsid w:val="004B55BD"/>
    <w:rsid w:val="004B69D2"/>
    <w:rsid w:val="004B6B5F"/>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2612"/>
    <w:rsid w:val="004D3499"/>
    <w:rsid w:val="004D4015"/>
    <w:rsid w:val="004D4C21"/>
    <w:rsid w:val="004D4D96"/>
    <w:rsid w:val="004D53C7"/>
    <w:rsid w:val="004D5C65"/>
    <w:rsid w:val="004D5D0D"/>
    <w:rsid w:val="004D6DA2"/>
    <w:rsid w:val="004D7AA0"/>
    <w:rsid w:val="004E0226"/>
    <w:rsid w:val="004E0812"/>
    <w:rsid w:val="004E0EF9"/>
    <w:rsid w:val="004E172D"/>
    <w:rsid w:val="004E1D76"/>
    <w:rsid w:val="004E1E10"/>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33A"/>
    <w:rsid w:val="004F76B0"/>
    <w:rsid w:val="00500883"/>
    <w:rsid w:val="00500929"/>
    <w:rsid w:val="00501855"/>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55"/>
    <w:rsid w:val="005237DA"/>
    <w:rsid w:val="00523C21"/>
    <w:rsid w:val="00523DAB"/>
    <w:rsid w:val="005243A1"/>
    <w:rsid w:val="00524693"/>
    <w:rsid w:val="0052485D"/>
    <w:rsid w:val="005249DC"/>
    <w:rsid w:val="00524C67"/>
    <w:rsid w:val="00524CA1"/>
    <w:rsid w:val="00524CE4"/>
    <w:rsid w:val="00524E45"/>
    <w:rsid w:val="00524EF7"/>
    <w:rsid w:val="00525BE0"/>
    <w:rsid w:val="005268AC"/>
    <w:rsid w:val="0052766E"/>
    <w:rsid w:val="0053195F"/>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EAB"/>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1DCF"/>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6874"/>
    <w:rsid w:val="005E71C4"/>
    <w:rsid w:val="005F00EE"/>
    <w:rsid w:val="005F17DB"/>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8DB"/>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FDD"/>
    <w:rsid w:val="00690350"/>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5C3A"/>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387"/>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2767"/>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2CA5"/>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367"/>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4A67"/>
    <w:rsid w:val="007D5206"/>
    <w:rsid w:val="007D5C2A"/>
    <w:rsid w:val="007D5E95"/>
    <w:rsid w:val="007D600D"/>
    <w:rsid w:val="007D6379"/>
    <w:rsid w:val="007D66E6"/>
    <w:rsid w:val="007E06C4"/>
    <w:rsid w:val="007E0832"/>
    <w:rsid w:val="007E123E"/>
    <w:rsid w:val="007E142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B9E"/>
    <w:rsid w:val="00813C21"/>
    <w:rsid w:val="0081407F"/>
    <w:rsid w:val="00817115"/>
    <w:rsid w:val="00817664"/>
    <w:rsid w:val="00817AC9"/>
    <w:rsid w:val="0082043F"/>
    <w:rsid w:val="008224BD"/>
    <w:rsid w:val="00823801"/>
    <w:rsid w:val="008239B7"/>
    <w:rsid w:val="008239E6"/>
    <w:rsid w:val="00823A9D"/>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1D24"/>
    <w:rsid w:val="008A2541"/>
    <w:rsid w:val="008A2A66"/>
    <w:rsid w:val="008A2E65"/>
    <w:rsid w:val="008A3031"/>
    <w:rsid w:val="008A3599"/>
    <w:rsid w:val="008A428E"/>
    <w:rsid w:val="008A5226"/>
    <w:rsid w:val="008A5359"/>
    <w:rsid w:val="008A683C"/>
    <w:rsid w:val="008A6F57"/>
    <w:rsid w:val="008A7027"/>
    <w:rsid w:val="008B0630"/>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3E"/>
    <w:rsid w:val="00906EE4"/>
    <w:rsid w:val="00910409"/>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876"/>
    <w:rsid w:val="00952965"/>
    <w:rsid w:val="00952D17"/>
    <w:rsid w:val="00953544"/>
    <w:rsid w:val="009548CF"/>
    <w:rsid w:val="00955091"/>
    <w:rsid w:val="00955BCD"/>
    <w:rsid w:val="00955EC7"/>
    <w:rsid w:val="00955FFC"/>
    <w:rsid w:val="009565BC"/>
    <w:rsid w:val="009566D6"/>
    <w:rsid w:val="00957E65"/>
    <w:rsid w:val="00960632"/>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0BE"/>
    <w:rsid w:val="009A268F"/>
    <w:rsid w:val="009A38C4"/>
    <w:rsid w:val="009A5952"/>
    <w:rsid w:val="009A5D42"/>
    <w:rsid w:val="009A60A1"/>
    <w:rsid w:val="009A76F2"/>
    <w:rsid w:val="009A7F4C"/>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9F"/>
    <w:rsid w:val="009C30C1"/>
    <w:rsid w:val="009C376B"/>
    <w:rsid w:val="009C418B"/>
    <w:rsid w:val="009C57F4"/>
    <w:rsid w:val="009C5833"/>
    <w:rsid w:val="009C5B48"/>
    <w:rsid w:val="009C72C6"/>
    <w:rsid w:val="009C79C8"/>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22B"/>
    <w:rsid w:val="009F4605"/>
    <w:rsid w:val="009F4A57"/>
    <w:rsid w:val="009F521E"/>
    <w:rsid w:val="009F5AF9"/>
    <w:rsid w:val="009F6214"/>
    <w:rsid w:val="009F6324"/>
    <w:rsid w:val="009F663E"/>
    <w:rsid w:val="009F711B"/>
    <w:rsid w:val="009F7CBD"/>
    <w:rsid w:val="00A02717"/>
    <w:rsid w:val="00A03FF3"/>
    <w:rsid w:val="00A04501"/>
    <w:rsid w:val="00A04940"/>
    <w:rsid w:val="00A04AF1"/>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37F"/>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B86"/>
    <w:rsid w:val="00A87C1B"/>
    <w:rsid w:val="00A87FB7"/>
    <w:rsid w:val="00A90271"/>
    <w:rsid w:val="00A90575"/>
    <w:rsid w:val="00A93BEB"/>
    <w:rsid w:val="00A93EA2"/>
    <w:rsid w:val="00A94ECA"/>
    <w:rsid w:val="00A952F4"/>
    <w:rsid w:val="00A95A3C"/>
    <w:rsid w:val="00A96EEE"/>
    <w:rsid w:val="00A96F09"/>
    <w:rsid w:val="00A972A0"/>
    <w:rsid w:val="00AA08DC"/>
    <w:rsid w:val="00AA0C7A"/>
    <w:rsid w:val="00AA136A"/>
    <w:rsid w:val="00AA2FBF"/>
    <w:rsid w:val="00AA3643"/>
    <w:rsid w:val="00AA3D38"/>
    <w:rsid w:val="00AA432E"/>
    <w:rsid w:val="00AA5338"/>
    <w:rsid w:val="00AA58A5"/>
    <w:rsid w:val="00AA655D"/>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2D6"/>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4E99"/>
    <w:rsid w:val="00B0527A"/>
    <w:rsid w:val="00B05F0A"/>
    <w:rsid w:val="00B10692"/>
    <w:rsid w:val="00B12F98"/>
    <w:rsid w:val="00B13BF3"/>
    <w:rsid w:val="00B15D2A"/>
    <w:rsid w:val="00B1695D"/>
    <w:rsid w:val="00B17719"/>
    <w:rsid w:val="00B205B6"/>
    <w:rsid w:val="00B20D44"/>
    <w:rsid w:val="00B2173C"/>
    <w:rsid w:val="00B21752"/>
    <w:rsid w:val="00B22DE0"/>
    <w:rsid w:val="00B230BF"/>
    <w:rsid w:val="00B230E8"/>
    <w:rsid w:val="00B23259"/>
    <w:rsid w:val="00B237AA"/>
    <w:rsid w:val="00B237B1"/>
    <w:rsid w:val="00B2416A"/>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AD2"/>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6CBA"/>
    <w:rsid w:val="00B8794A"/>
    <w:rsid w:val="00B90030"/>
    <w:rsid w:val="00B917DB"/>
    <w:rsid w:val="00B92F49"/>
    <w:rsid w:val="00B93A44"/>
    <w:rsid w:val="00B946F3"/>
    <w:rsid w:val="00B95BE1"/>
    <w:rsid w:val="00B95C02"/>
    <w:rsid w:val="00B95F4A"/>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9FD"/>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3F9A"/>
    <w:rsid w:val="00C640E7"/>
    <w:rsid w:val="00C64220"/>
    <w:rsid w:val="00C64CF7"/>
    <w:rsid w:val="00C651F6"/>
    <w:rsid w:val="00C65451"/>
    <w:rsid w:val="00C66368"/>
    <w:rsid w:val="00C678F8"/>
    <w:rsid w:val="00C7028B"/>
    <w:rsid w:val="00C704B9"/>
    <w:rsid w:val="00C70823"/>
    <w:rsid w:val="00C7092D"/>
    <w:rsid w:val="00C70CB2"/>
    <w:rsid w:val="00C70FA5"/>
    <w:rsid w:val="00C7184D"/>
    <w:rsid w:val="00C71B90"/>
    <w:rsid w:val="00C71DF4"/>
    <w:rsid w:val="00C75385"/>
    <w:rsid w:val="00C75E65"/>
    <w:rsid w:val="00C76796"/>
    <w:rsid w:val="00C7767C"/>
    <w:rsid w:val="00C80C93"/>
    <w:rsid w:val="00C811FA"/>
    <w:rsid w:val="00C813CC"/>
    <w:rsid w:val="00C81826"/>
    <w:rsid w:val="00C850A6"/>
    <w:rsid w:val="00C85EA7"/>
    <w:rsid w:val="00C85FCF"/>
    <w:rsid w:val="00C90553"/>
    <w:rsid w:val="00C9135C"/>
    <w:rsid w:val="00C91750"/>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8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4AC"/>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5187"/>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845"/>
    <w:rsid w:val="00DB2F62"/>
    <w:rsid w:val="00DB3848"/>
    <w:rsid w:val="00DB471C"/>
    <w:rsid w:val="00DB4ABF"/>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D6C17"/>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5C5F"/>
    <w:rsid w:val="00E066AA"/>
    <w:rsid w:val="00E066EA"/>
    <w:rsid w:val="00E0769A"/>
    <w:rsid w:val="00E07ECF"/>
    <w:rsid w:val="00E10347"/>
    <w:rsid w:val="00E11331"/>
    <w:rsid w:val="00E115BD"/>
    <w:rsid w:val="00E12D12"/>
    <w:rsid w:val="00E14D06"/>
    <w:rsid w:val="00E151D6"/>
    <w:rsid w:val="00E167CE"/>
    <w:rsid w:val="00E16FDD"/>
    <w:rsid w:val="00E20EB7"/>
    <w:rsid w:val="00E21E40"/>
    <w:rsid w:val="00E2319F"/>
    <w:rsid w:val="00E24D86"/>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478FD"/>
    <w:rsid w:val="00E509E7"/>
    <w:rsid w:val="00E5122C"/>
    <w:rsid w:val="00E518BC"/>
    <w:rsid w:val="00E5284F"/>
    <w:rsid w:val="00E52A03"/>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616"/>
    <w:rsid w:val="00E82D58"/>
    <w:rsid w:val="00E8323C"/>
    <w:rsid w:val="00E837B1"/>
    <w:rsid w:val="00E8467A"/>
    <w:rsid w:val="00E8497F"/>
    <w:rsid w:val="00E87839"/>
    <w:rsid w:val="00E8796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2E0E"/>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4E7A"/>
    <w:rsid w:val="00F2598D"/>
    <w:rsid w:val="00F25AE1"/>
    <w:rsid w:val="00F25C9D"/>
    <w:rsid w:val="00F25F74"/>
    <w:rsid w:val="00F278CE"/>
    <w:rsid w:val="00F30287"/>
    <w:rsid w:val="00F30C5B"/>
    <w:rsid w:val="00F31191"/>
    <w:rsid w:val="00F3300B"/>
    <w:rsid w:val="00F335BB"/>
    <w:rsid w:val="00F33B36"/>
    <w:rsid w:val="00F33C88"/>
    <w:rsid w:val="00F34185"/>
    <w:rsid w:val="00F3563D"/>
    <w:rsid w:val="00F35B3C"/>
    <w:rsid w:val="00F3677B"/>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1870"/>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01E"/>
    <w:rsid w:val="00FA050A"/>
    <w:rsid w:val="00FA0D9F"/>
    <w:rsid w:val="00FA1AAD"/>
    <w:rsid w:val="00FA34D0"/>
    <w:rsid w:val="00FA3811"/>
    <w:rsid w:val="00FA3819"/>
    <w:rsid w:val="00FA436A"/>
    <w:rsid w:val="00FA45B8"/>
    <w:rsid w:val="00FA5E05"/>
    <w:rsid w:val="00FA5EC3"/>
    <w:rsid w:val="00FA6478"/>
    <w:rsid w:val="00FB03C8"/>
    <w:rsid w:val="00FB082B"/>
    <w:rsid w:val="00FB17EC"/>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29FF"/>
    <w:rsid w:val="00FD3080"/>
    <w:rsid w:val="00FD318A"/>
    <w:rsid w:val="00FD3CA6"/>
    <w:rsid w:val="00FD4129"/>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 w:type="paragraph" w:styleId="HTMLPreformatted">
    <w:name w:val="HTML Preformatted"/>
    <w:basedOn w:val="Normal"/>
    <w:link w:val="HTMLPreformattedChar"/>
    <w:uiPriority w:val="99"/>
    <w:semiHidden/>
    <w:unhideWhenUsed/>
    <w:rsid w:val="004E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4E1E10"/>
    <w:rPr>
      <w:rFonts w:ascii="Courier New" w:eastAsia="Times New Roman" w:hAnsi="Courier New" w:cs="Courier New"/>
      <w:sz w:val="20"/>
      <w:szCs w:val="20"/>
      <w:lang w:val="en-US"/>
    </w:rPr>
  </w:style>
  <w:style w:type="character" w:customStyle="1" w:styleId="type">
    <w:name w:val="type"/>
    <w:basedOn w:val="DefaultParagraphFont"/>
    <w:rsid w:val="004E1E10"/>
  </w:style>
  <w:style w:type="character" w:styleId="Hyperlink">
    <w:name w:val="Hyperlink"/>
    <w:basedOn w:val="DefaultParagraphFont"/>
    <w:uiPriority w:val="99"/>
    <w:semiHidden/>
    <w:unhideWhenUsed/>
    <w:rsid w:val="004E1E10"/>
    <w:rPr>
      <w:color w:val="0000FF"/>
      <w:u w:val="single"/>
    </w:rPr>
  </w:style>
  <w:style w:type="character" w:customStyle="1" w:styleId="optional">
    <w:name w:val="optional"/>
    <w:basedOn w:val="DefaultParagraphFont"/>
    <w:rsid w:val="004E1E10"/>
  </w:style>
  <w:style w:type="character" w:customStyle="1" w:styleId="termtype">
    <w:name w:val="termtype"/>
    <w:basedOn w:val="DefaultParagraphFont"/>
    <w:rsid w:val="004E1E10"/>
  </w:style>
  <w:style w:type="character" w:customStyle="1" w:styleId="typeaux">
    <w:name w:val="type_aux"/>
    <w:basedOn w:val="DefaultParagraphFont"/>
    <w:rsid w:val="004E1E10"/>
  </w:style>
  <w:style w:type="table" w:styleId="TableGrid">
    <w:name w:val="Table Grid"/>
    <w:basedOn w:val="TableNormal"/>
    <w:uiPriority w:val="39"/>
    <w:rsid w:val="006C5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83572656">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32508286">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813</Words>
  <Characters>4082</Characters>
  <Application>Microsoft Office Word</Application>
  <DocSecurity>0</DocSecurity>
  <Lines>76</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29</cp:revision>
  <dcterms:created xsi:type="dcterms:W3CDTF">2019-04-30T21:12:00Z</dcterms:created>
  <dcterms:modified xsi:type="dcterms:W3CDTF">2019-05-03T04:24:00Z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NEXT GEN &amp; STANDARDS GROUP</vt:lpwstr>
  </property>
  <property fmtid="{D5CDD505-2E9C-101B-9397-08002B2CF9AE}" pid="3" name="CTP_TimeStamp">
    <vt:lpwstr>2019-05-03 04:24:20Z</vt:lpwstr>
  </property>
  <property fmtid="{D5CDD505-2E9C-101B-9397-08002B2CF9AE}" pid="4" name="ContentTypeId">
    <vt:lpwstr>0x0101001A6C2134160B1A4083A3FDA85C8A909E</vt:lpwstr>
  </property>
  <property fmtid="{D5CDD505-2E9C-101B-9397-08002B2CF9AE}" pid="5" name="CTP_IDSID">
    <vt:lpwstr>NA</vt:lpwstr>
  </property>
  <property fmtid="{D5CDD505-2E9C-101B-9397-08002B2CF9AE}" pid="6" name="CTP_WWID">
    <vt:lpwstr>NA</vt:lpwstr>
  </property>
  <property fmtid="{D5CDD505-2E9C-101B-9397-08002B2CF9AE}" pid="7" name="TitusGUID">
    <vt:lpwstr>327cccd3-d853-491a-8f9b-b67bbbb879d1</vt:lpwstr>
  </property>
  <property fmtid="{D5CDD505-2E9C-101B-9397-08002B2CF9AE}" pid="8" name="CTPClassification">
    <vt:lpwstr>CTP_IC</vt:lpwstr>
  </property>
</Properties>
</file>