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470666E1"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C677A5">
        <w:rPr>
          <w:sz w:val="24"/>
          <w:lang w:val="en-GB" w:eastAsia="zh-CN"/>
        </w:rPr>
        <w:t>6</w:t>
      </w:r>
      <w:r w:rsidRPr="00EE6198">
        <w:rPr>
          <w:sz w:val="24"/>
          <w:lang w:val="en-GB" w:eastAsia="zh-CN"/>
        </w:rPr>
        <w:tab/>
      </w:r>
      <w:r w:rsidR="00EB37AB" w:rsidRPr="00EB37AB">
        <w:rPr>
          <w:sz w:val="24"/>
          <w:lang w:val="en-GB" w:eastAsia="zh-CN"/>
        </w:rPr>
        <w:t>R2-1906433</w:t>
      </w:r>
    </w:p>
    <w:p w14:paraId="4C209772" w14:textId="4A641B8F" w:rsidR="00A507B8" w:rsidRPr="00550983" w:rsidRDefault="00C677A5" w:rsidP="00A507B8">
      <w:pPr>
        <w:pStyle w:val="Header"/>
        <w:tabs>
          <w:tab w:val="right" w:pos="9639"/>
        </w:tabs>
        <w:rPr>
          <w:sz w:val="24"/>
          <w:lang w:val="en-GB" w:eastAsia="zh-CN"/>
        </w:rPr>
      </w:pPr>
      <w:r>
        <w:rPr>
          <w:sz w:val="24"/>
          <w:lang w:val="en-GB" w:eastAsia="ko-KR"/>
        </w:rPr>
        <w:t>Reno</w:t>
      </w:r>
      <w:r w:rsidRPr="00B24821">
        <w:rPr>
          <w:sz w:val="24"/>
          <w:lang w:val="en-GB" w:eastAsia="ko-KR"/>
        </w:rPr>
        <w:t xml:space="preserve">, </w:t>
      </w:r>
      <w:r>
        <w:rPr>
          <w:sz w:val="24"/>
          <w:lang w:val="en-GB" w:eastAsia="ko-KR"/>
        </w:rPr>
        <w:t>USA</w:t>
      </w:r>
      <w:r w:rsidR="00670A37">
        <w:rPr>
          <w:sz w:val="24"/>
          <w:lang w:val="en-GB" w:eastAsia="ko-KR"/>
        </w:rPr>
        <w:t>, 13</w:t>
      </w:r>
      <w:r w:rsidRPr="00B24821">
        <w:rPr>
          <w:sz w:val="24"/>
          <w:vertAlign w:val="superscript"/>
          <w:lang w:val="en-GB" w:eastAsia="ko-KR"/>
        </w:rPr>
        <w:t>th</w:t>
      </w:r>
      <w:r w:rsidR="00670A37">
        <w:rPr>
          <w:sz w:val="24"/>
          <w:lang w:val="en-GB" w:eastAsia="ko-KR"/>
        </w:rPr>
        <w:t xml:space="preserve"> – 17</w:t>
      </w:r>
      <w:r w:rsidRPr="00B24821">
        <w:rPr>
          <w:sz w:val="24"/>
          <w:vertAlign w:val="superscript"/>
          <w:lang w:val="en-GB" w:eastAsia="ko-KR"/>
        </w:rPr>
        <w:t>th</w:t>
      </w:r>
      <w:r w:rsidRPr="00B24821">
        <w:rPr>
          <w:sz w:val="24"/>
          <w:lang w:val="en-GB" w:eastAsia="ko-KR"/>
        </w:rPr>
        <w:t xml:space="preserve"> </w:t>
      </w:r>
      <w:r>
        <w:rPr>
          <w:sz w:val="24"/>
          <w:lang w:val="en-GB" w:eastAsia="ko-KR"/>
        </w:rPr>
        <w:t>May</w:t>
      </w:r>
      <w:r w:rsidRPr="00B24821">
        <w:rPr>
          <w:sz w:val="24"/>
          <w:lang w:val="en-GB" w:eastAsia="ko-KR"/>
        </w:rPr>
        <w:t xml:space="preserve"> 2019</w:t>
      </w:r>
      <w:r w:rsidR="00A507B8">
        <w:rPr>
          <w:sz w:val="24"/>
          <w:lang w:val="en-GB" w:eastAsia="zh-CN"/>
        </w:rPr>
        <w:tab/>
      </w:r>
      <w:r w:rsidR="00696931">
        <w:rPr>
          <w:sz w:val="24"/>
          <w:lang w:val="en-GB" w:eastAsia="zh-CN"/>
        </w:rPr>
        <w:t xml:space="preserve">(Revision of </w:t>
      </w:r>
      <w:r w:rsidR="006D4790" w:rsidRPr="006D4790">
        <w:rPr>
          <w:sz w:val="24"/>
          <w:lang w:val="en-GB" w:eastAsia="zh-CN"/>
        </w:rPr>
        <w:t>R2-1903669</w:t>
      </w:r>
      <w:r w:rsidR="00696931">
        <w:rPr>
          <w:sz w:val="24"/>
          <w:lang w:val="en-GB" w:eastAsia="zh-CN"/>
        </w:rPr>
        <w:t>)</w:t>
      </w:r>
    </w:p>
    <w:p w14:paraId="16D5C317" w14:textId="6610F1DE" w:rsidR="009D5BAB" w:rsidRPr="009D56B1" w:rsidRDefault="009D5BAB" w:rsidP="003848A3">
      <w:pPr>
        <w:pStyle w:val="Header"/>
        <w:tabs>
          <w:tab w:val="right" w:pos="9639"/>
        </w:tabs>
        <w:rPr>
          <w:bCs/>
          <w:i/>
          <w:noProof w:val="0"/>
          <w:sz w:val="24"/>
        </w:rPr>
      </w:pPr>
      <w:bookmarkStart w:id="0" w:name="_GoBack"/>
      <w:bookmarkEnd w:id="0"/>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FBFE448"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C677A5">
        <w:rPr>
          <w:rFonts w:eastAsia="SimSun" w:cs="Arial"/>
          <w:b/>
          <w:bCs/>
          <w:sz w:val="24"/>
          <w:lang w:val="en-US"/>
        </w:rPr>
        <w:t>11.4.6</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A48396B"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696931">
        <w:rPr>
          <w:rFonts w:ascii="Arial" w:hAnsi="Arial" w:cs="Arial"/>
          <w:b/>
          <w:bCs/>
          <w:sz w:val="24"/>
        </w:rPr>
        <w:t>UL/SL prioritization 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20C0C9BE" w:rsidR="00B81256" w:rsidRDefault="0069693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With normative work expected to be starting from this RAN2 meeting, the SL UP procedures have to be designed, taking into account the QoS framework defined for NR V2X</w:t>
      </w:r>
      <w:r w:rsidR="00086899">
        <w:rPr>
          <w:rFonts w:ascii="Times New Roman" w:hAnsi="Times New Roman"/>
          <w:sz w:val="20"/>
          <w:szCs w:val="20"/>
          <w:lang w:eastAsia="ja-JP"/>
        </w:rPr>
        <w:t xml:space="preserve">. </w:t>
      </w:r>
      <w:r w:rsidR="002C70A1">
        <w:rPr>
          <w:rFonts w:ascii="Times New Roman" w:hAnsi="Times New Roman"/>
          <w:sz w:val="20"/>
          <w:szCs w:val="20"/>
          <w:lang w:eastAsia="ja-JP"/>
        </w:rPr>
        <w:t xml:space="preserve">In this </w:t>
      </w:r>
      <w:r w:rsidR="00927E8A">
        <w:rPr>
          <w:rFonts w:ascii="Times New Roman" w:hAnsi="Times New Roman"/>
          <w:sz w:val="20"/>
          <w:szCs w:val="20"/>
          <w:lang w:eastAsia="ja-JP"/>
        </w:rPr>
        <w:t>contribution</w:t>
      </w:r>
      <w:r w:rsidR="002C70A1">
        <w:rPr>
          <w:rFonts w:ascii="Times New Roman" w:hAnsi="Times New Roman"/>
          <w:sz w:val="20"/>
          <w:szCs w:val="20"/>
          <w:lang w:eastAsia="ja-JP"/>
        </w:rPr>
        <w:t xml:space="preserve">, we </w:t>
      </w:r>
      <w:r w:rsidR="00086899">
        <w:rPr>
          <w:rFonts w:ascii="Times New Roman" w:hAnsi="Times New Roman"/>
          <w:sz w:val="20"/>
          <w:szCs w:val="20"/>
          <w:lang w:eastAsia="ja-JP"/>
        </w:rPr>
        <w:t xml:space="preserve">focus </w:t>
      </w:r>
      <w:r>
        <w:rPr>
          <w:rFonts w:ascii="Times New Roman" w:hAnsi="Times New Roman"/>
          <w:sz w:val="20"/>
          <w:szCs w:val="20"/>
          <w:lang w:eastAsia="ja-JP"/>
        </w:rPr>
        <w:t xml:space="preserve">specifically </w:t>
      </w:r>
      <w:r w:rsidR="00086899">
        <w:rPr>
          <w:rFonts w:ascii="Times New Roman" w:hAnsi="Times New Roman"/>
          <w:sz w:val="20"/>
          <w:szCs w:val="20"/>
          <w:lang w:eastAsia="ja-JP"/>
        </w:rPr>
        <w:t xml:space="preserve">on </w:t>
      </w:r>
      <w:r>
        <w:rPr>
          <w:rFonts w:ascii="Times New Roman" w:hAnsi="Times New Roman"/>
          <w:sz w:val="20"/>
          <w:szCs w:val="20"/>
          <w:lang w:eastAsia="ja-JP"/>
        </w:rPr>
        <w:t xml:space="preserve">the UL/SL prioritization aspect and its role in the LCP procedure </w:t>
      </w:r>
      <w:r w:rsidR="00086899">
        <w:rPr>
          <w:rFonts w:ascii="Times New Roman" w:hAnsi="Times New Roman"/>
          <w:sz w:val="20"/>
          <w:szCs w:val="20"/>
          <w:lang w:eastAsia="ja-JP"/>
        </w:rPr>
        <w:t>and present our view</w:t>
      </w:r>
      <w:r w:rsidR="002C70A1">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6BEBA938" w14:textId="6271CBF3" w:rsidR="00696931" w:rsidRDefault="009A3984" w:rsidP="007244AA">
      <w:pPr>
        <w:rPr>
          <w:rFonts w:ascii="Times New Roman" w:hAnsi="Times New Roman"/>
          <w:sz w:val="20"/>
          <w:lang w:val="en-GB" w:eastAsia="zh-CN"/>
        </w:rPr>
      </w:pPr>
      <w:r>
        <w:rPr>
          <w:rFonts w:ascii="Times New Roman" w:hAnsi="Times New Roman"/>
          <w:sz w:val="20"/>
          <w:lang w:val="en-GB" w:eastAsia="zh-CN"/>
        </w:rPr>
        <w:t>The question of QoS design for NR SL has been discussed at great lengths</w:t>
      </w:r>
      <w:r w:rsidR="00696931">
        <w:rPr>
          <w:rFonts w:ascii="Times New Roman" w:hAnsi="Times New Roman"/>
          <w:sz w:val="20"/>
          <w:lang w:val="en-GB" w:eastAsia="zh-CN"/>
        </w:rPr>
        <w:t xml:space="preserve"> up until now and the following </w:t>
      </w:r>
      <w:r w:rsidR="006D4790">
        <w:rPr>
          <w:rFonts w:ascii="Times New Roman" w:hAnsi="Times New Roman"/>
          <w:sz w:val="20"/>
          <w:lang w:val="en-GB" w:eastAsia="zh-CN"/>
        </w:rPr>
        <w:t>was</w:t>
      </w:r>
      <w:r w:rsidR="00696931">
        <w:rPr>
          <w:rFonts w:ascii="Times New Roman" w:hAnsi="Times New Roman"/>
          <w:sz w:val="20"/>
          <w:lang w:val="en-GB" w:eastAsia="zh-CN"/>
        </w:rPr>
        <w:t xml:space="preserve"> agreed in RAN2#105</w:t>
      </w:r>
      <w:sdt>
        <w:sdtPr>
          <w:rPr>
            <w:rFonts w:ascii="Times New Roman" w:hAnsi="Times New Roman"/>
            <w:sz w:val="20"/>
            <w:lang w:val="en-GB" w:eastAsia="zh-CN"/>
          </w:rPr>
          <w:id w:val="733971842"/>
          <w:citation/>
        </w:sdtPr>
        <w:sdtEndPr/>
        <w:sdtContent>
          <w:r w:rsidR="00696931">
            <w:rPr>
              <w:rFonts w:ascii="Times New Roman" w:hAnsi="Times New Roman"/>
              <w:sz w:val="20"/>
              <w:lang w:val="en-GB" w:eastAsia="zh-CN"/>
            </w:rPr>
            <w:fldChar w:fldCharType="begin"/>
          </w:r>
          <w:r w:rsidR="00696931">
            <w:rPr>
              <w:rFonts w:ascii="Times New Roman" w:hAnsi="Times New Roman"/>
              <w:sz w:val="20"/>
              <w:lang w:eastAsia="zh-CN"/>
            </w:rPr>
            <w:instrText xml:space="preserve"> CITATION 105V2XNotes \l 1033 </w:instrText>
          </w:r>
          <w:r w:rsidR="00696931">
            <w:rPr>
              <w:rFonts w:ascii="Times New Roman" w:hAnsi="Times New Roman"/>
              <w:sz w:val="20"/>
              <w:lang w:val="en-GB" w:eastAsia="zh-CN"/>
            </w:rPr>
            <w:fldChar w:fldCharType="separate"/>
          </w:r>
          <w:r w:rsidR="00696931">
            <w:rPr>
              <w:rFonts w:ascii="Times New Roman" w:hAnsi="Times New Roman"/>
              <w:noProof/>
              <w:sz w:val="20"/>
              <w:lang w:eastAsia="zh-CN"/>
            </w:rPr>
            <w:t xml:space="preserve"> </w:t>
          </w:r>
          <w:r w:rsidR="00696931" w:rsidRPr="00696931">
            <w:rPr>
              <w:rFonts w:ascii="Times New Roman" w:hAnsi="Times New Roman"/>
              <w:noProof/>
              <w:sz w:val="20"/>
              <w:lang w:eastAsia="zh-CN"/>
            </w:rPr>
            <w:t>[1]</w:t>
          </w:r>
          <w:r w:rsidR="00696931">
            <w:rPr>
              <w:rFonts w:ascii="Times New Roman" w:hAnsi="Times New Roman"/>
              <w:sz w:val="20"/>
              <w:lang w:val="en-GB" w:eastAsia="zh-CN"/>
            </w:rPr>
            <w:fldChar w:fldCharType="end"/>
          </w:r>
        </w:sdtContent>
      </w:sdt>
      <w:r w:rsidR="00696931">
        <w:rPr>
          <w:rFonts w:ascii="Times New Roman" w:hAnsi="Times New Roman"/>
          <w:sz w:val="20"/>
          <w:lang w:val="en-GB" w:eastAsia="zh-CN"/>
        </w:rPr>
        <w:t>:</w:t>
      </w:r>
    </w:p>
    <w:p w14:paraId="15B40F91"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val="en-GB" w:eastAsia="en-GB"/>
        </w:rPr>
      </w:pPr>
      <w:r w:rsidRPr="00696931">
        <w:rPr>
          <w:rFonts w:ascii="Arial" w:eastAsia="MS Mincho" w:hAnsi="Arial"/>
          <w:sz w:val="20"/>
          <w:szCs w:val="24"/>
          <w:lang w:val="en-GB" w:eastAsia="en-GB"/>
        </w:rPr>
        <w:t xml:space="preserve">Agreements on </w:t>
      </w:r>
      <w:r w:rsidRPr="00696931">
        <w:rPr>
          <w:rFonts w:ascii="Arial" w:eastAsia="MS Mincho" w:hAnsi="Arial"/>
          <w:noProof/>
          <w:sz w:val="20"/>
          <w:szCs w:val="24"/>
          <w:lang w:val="en-GB" w:eastAsia="en-GB"/>
        </w:rPr>
        <w:t>QoS</w:t>
      </w:r>
      <w:r w:rsidRPr="00696931">
        <w:rPr>
          <w:rFonts w:ascii="Arial" w:eastAsia="MS Mincho" w:hAnsi="Arial"/>
          <w:sz w:val="20"/>
          <w:szCs w:val="24"/>
          <w:lang w:val="en-GB" w:eastAsia="en-GB"/>
        </w:rPr>
        <w:t>:</w:t>
      </w:r>
    </w:p>
    <w:p w14:paraId="37C5DC35"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sz w:val="20"/>
          <w:szCs w:val="24"/>
          <w:lang w:val="en-GB" w:eastAsia="en-GB"/>
        </w:rPr>
        <w:t xml:space="preserve">1: </w:t>
      </w:r>
      <w:r w:rsidRPr="00696931">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3C9DAF60"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085DD2B7"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12696BFB"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71604A2E"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sz w:val="20"/>
          <w:szCs w:val="24"/>
          <w:lang w:val="en-GB" w:eastAsia="en-GB"/>
        </w:rPr>
        <w:t xml:space="preserve">4b: </w:t>
      </w:r>
      <w:r w:rsidRPr="00696931">
        <w:rPr>
          <w:rFonts w:ascii="Arial" w:eastAsia="MS Mincho" w:hAnsi="Arial"/>
          <w:noProof/>
          <w:sz w:val="20"/>
          <w:szCs w:val="24"/>
          <w:highlight w:val="yellow"/>
          <w:lang w:val="en-GB" w:eastAsia="en-GB"/>
        </w:rPr>
        <w:t>From RAN2 perspective, per-flow QoS model is preferred for NR SL unicast.</w:t>
      </w:r>
    </w:p>
    <w:p w14:paraId="160ACA4A"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36FF2ADC"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4d: Adopt the procedures in Option b and e (corresponding to Option 2 and 5 in Appendix respectively) for NR SL unicast.</w:t>
      </w:r>
    </w:p>
    <w:p w14:paraId="761C19AD"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2F12074C"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4f</w:t>
      </w:r>
      <w:r w:rsidRPr="00696931">
        <w:rPr>
          <w:rFonts w:ascii="Arial" w:eastAsia="MS Mincho" w:hAnsi="Arial"/>
          <w:noProof/>
          <w:sz w:val="20"/>
          <w:szCs w:val="24"/>
          <w:highlight w:val="yellow"/>
          <w:lang w:val="en-GB" w:eastAsia="en-GB"/>
        </w:rPr>
        <w:t>: RAN2 agrees that from RAN2 perspective, per-packet QoS model is preferred for NR SL broadcast. Also RAN2 prefers to apply per-packet QoS based model for SL groupcast.</w:t>
      </w:r>
    </w:p>
    <w:p w14:paraId="61AEB56A"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0672964D"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74FCC5EF"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20426A59"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2EF68A03"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noProof/>
          <w:sz w:val="20"/>
          <w:szCs w:val="24"/>
          <w:lang w:val="en-GB" w:eastAsia="en-GB"/>
        </w:rPr>
      </w:pPr>
      <w:r w:rsidRPr="00696931">
        <w:rPr>
          <w:rFonts w:ascii="Arial" w:eastAsia="MS Mincho" w:hAnsi="Arial"/>
          <w:noProof/>
          <w:sz w:val="20"/>
          <w:szCs w:val="24"/>
          <w:lang w:val="en-GB" w:eastAsia="en-GB"/>
        </w:rPr>
        <w:t>7: RLC AM is supported for NR SL unicast.</w:t>
      </w:r>
    </w:p>
    <w:p w14:paraId="431958FA" w14:textId="77777777" w:rsidR="006D4790" w:rsidRPr="00696931" w:rsidRDefault="006D4790" w:rsidP="006D47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 w:val="20"/>
          <w:szCs w:val="24"/>
          <w:lang w:val="en-GB" w:eastAsia="en-GB"/>
        </w:rPr>
      </w:pPr>
      <w:r w:rsidRPr="00696931">
        <w:rPr>
          <w:rFonts w:ascii="Arial" w:eastAsia="MS Mincho" w:hAnsi="Arial"/>
          <w:noProof/>
          <w:sz w:val="20"/>
          <w:szCs w:val="24"/>
          <w:lang w:val="en-GB" w:eastAsia="en-GB"/>
        </w:rPr>
        <w:t>8: Need of admission control in NR SL can be discussed in WI.</w:t>
      </w:r>
    </w:p>
    <w:p w14:paraId="3E773807" w14:textId="77777777" w:rsidR="006D4790" w:rsidRDefault="006D4790" w:rsidP="006D4790">
      <w:pPr>
        <w:rPr>
          <w:rFonts w:ascii="Times New Roman" w:hAnsi="Times New Roman"/>
          <w:sz w:val="20"/>
          <w:lang w:val="en-GB" w:eastAsia="zh-CN"/>
        </w:rPr>
      </w:pPr>
    </w:p>
    <w:p w14:paraId="7EAD29C6" w14:textId="77777777" w:rsidR="006D4790" w:rsidRDefault="006D4790" w:rsidP="006D4790">
      <w:pPr>
        <w:rPr>
          <w:rFonts w:ascii="Times New Roman" w:hAnsi="Times New Roman"/>
          <w:sz w:val="20"/>
          <w:lang w:val="en-GB" w:eastAsia="zh-CN"/>
        </w:rPr>
      </w:pPr>
      <w:r>
        <w:rPr>
          <w:rFonts w:ascii="Times New Roman" w:hAnsi="Times New Roman"/>
          <w:sz w:val="20"/>
          <w:lang w:val="en-GB" w:eastAsia="zh-CN"/>
        </w:rPr>
        <w:lastRenderedPageBreak/>
        <w:t xml:space="preserve">For the sake of this discussion, we focus on the per-flow QoS model, where the SLRBs are configured by the network, similar to the Uu case. To elaborate, the gNB can configure the mapping of V2X traffic flow to SLRBs and set the bearer-level configurations explicitly. This is different from LTE V2X case, where the SL LCH configuration (mapping of PPPP to LCH) was left to UE implementation. By contrast, in NR, the drive is to bring this under network control for better overall system performance. </w:t>
      </w:r>
    </w:p>
    <w:p w14:paraId="54288AD6" w14:textId="77777777" w:rsidR="006D4790" w:rsidRDefault="006D4790" w:rsidP="006D4790">
      <w:pPr>
        <w:rPr>
          <w:rFonts w:ascii="Times New Roman" w:hAnsi="Times New Roman"/>
          <w:sz w:val="20"/>
          <w:lang w:val="en-GB" w:eastAsia="zh-CN"/>
        </w:rPr>
      </w:pPr>
      <w:r>
        <w:rPr>
          <w:rFonts w:ascii="Times New Roman" w:hAnsi="Times New Roman"/>
          <w:sz w:val="20"/>
          <w:lang w:val="en-GB" w:eastAsia="zh-CN"/>
        </w:rPr>
        <w:t xml:space="preserve">For NR Uu, the logical channel prioritization (LCP) procedure is applied for UL transmissions, whereby gNB can configure parameters such as priority, prioritized bit rate, bucket size duration and other parameters through configuration of </w:t>
      </w:r>
      <w:r w:rsidRPr="00764389">
        <w:rPr>
          <w:rFonts w:ascii="Times New Roman" w:hAnsi="Times New Roman"/>
          <w:i/>
          <w:sz w:val="20"/>
          <w:lang w:val="en-GB" w:eastAsia="zh-CN"/>
        </w:rPr>
        <w:t>LogicalChannelConfig</w:t>
      </w:r>
      <w:r>
        <w:rPr>
          <w:rFonts w:ascii="Times New Roman" w:hAnsi="Times New Roman"/>
          <w:i/>
          <w:sz w:val="20"/>
          <w:lang w:val="en-GB" w:eastAsia="zh-CN"/>
        </w:rPr>
        <w:t xml:space="preserve"> </w:t>
      </w:r>
      <w:r>
        <w:rPr>
          <w:rFonts w:ascii="Times New Roman" w:hAnsi="Times New Roman"/>
          <w:sz w:val="20"/>
          <w:lang w:val="en-GB" w:eastAsia="zh-CN"/>
        </w:rPr>
        <w:t xml:space="preserve">IE. In a similar way, NR SL design is expected to be based on NW configuration of SL-LCH priority. While SL logical channel prioritization procedure is already agreed as supported for NR SL, a related question is handling prioritization when the UE cannot simultaneously perform UL and SL V2X transmissions in the same TTI. As readers might recall, this was discussed in detail for LTE V2X and due to the packet driven QoS nature of V2X traffic, the main determinant was an explicit comparison of each V2X packet’s priority (PPPP) to a configured threshold to determine whether it took precedence over UL transmission within that TTI </w:t>
      </w:r>
      <w:sdt>
        <w:sdtPr>
          <w:rPr>
            <w:rFonts w:ascii="Times New Roman" w:hAnsi="Times New Roman"/>
            <w:sz w:val="20"/>
            <w:lang w:val="en-GB" w:eastAsia="zh-CN"/>
          </w:rPr>
          <w:id w:val="528382467"/>
          <w:citation/>
        </w:sdtPr>
        <w:sdtEndPr/>
        <w:sdtContent>
          <w:r>
            <w:rPr>
              <w:rFonts w:ascii="Times New Roman" w:hAnsi="Times New Roman"/>
              <w:sz w:val="20"/>
              <w:lang w:val="en-GB" w:eastAsia="zh-CN"/>
            </w:rPr>
            <w:fldChar w:fldCharType="begin"/>
          </w:r>
          <w:r>
            <w:rPr>
              <w:rFonts w:ascii="Times New Roman" w:hAnsi="Times New Roman"/>
              <w:sz w:val="20"/>
              <w:lang w:eastAsia="zh-CN"/>
            </w:rPr>
            <w:instrText xml:space="preserve"> CITATION TS36321 \l 1033 </w:instrText>
          </w:r>
          <w:r>
            <w:rPr>
              <w:rFonts w:ascii="Times New Roman" w:hAnsi="Times New Roman"/>
              <w:sz w:val="20"/>
              <w:lang w:val="en-GB" w:eastAsia="zh-CN"/>
            </w:rPr>
            <w:fldChar w:fldCharType="separate"/>
          </w:r>
          <w:r w:rsidRPr="00696931">
            <w:rPr>
              <w:rFonts w:ascii="Times New Roman" w:hAnsi="Times New Roman"/>
              <w:noProof/>
              <w:sz w:val="20"/>
              <w:lang w:eastAsia="zh-CN"/>
            </w:rPr>
            <w:t>[2]</w:t>
          </w:r>
          <w:r>
            <w:rPr>
              <w:rFonts w:ascii="Times New Roman" w:hAnsi="Times New Roman"/>
              <w:sz w:val="20"/>
              <w:lang w:val="en-GB" w:eastAsia="zh-CN"/>
            </w:rPr>
            <w:fldChar w:fldCharType="end"/>
          </w:r>
        </w:sdtContent>
      </w:sdt>
      <w:r>
        <w:rPr>
          <w:rFonts w:ascii="Times New Roman" w:hAnsi="Times New Roman"/>
          <w:sz w:val="20"/>
          <w:lang w:val="en-GB" w:eastAsia="zh-CN"/>
        </w:rPr>
        <w:t>:</w:t>
      </w:r>
    </w:p>
    <w:tbl>
      <w:tblPr>
        <w:tblStyle w:val="TableGrid"/>
        <w:tblW w:w="0" w:type="auto"/>
        <w:tblLook w:val="04A0" w:firstRow="1" w:lastRow="0" w:firstColumn="1" w:lastColumn="0" w:noHBand="0" w:noVBand="1"/>
      </w:tblPr>
      <w:tblGrid>
        <w:gridCol w:w="9629"/>
      </w:tblGrid>
      <w:tr w:rsidR="006D4790" w14:paraId="1DAE2CB6" w14:textId="77777777" w:rsidTr="00F02C1D">
        <w:tc>
          <w:tcPr>
            <w:tcW w:w="9629" w:type="dxa"/>
          </w:tcPr>
          <w:p w14:paraId="326321F6" w14:textId="77777777" w:rsidR="006D4790" w:rsidRPr="00351024" w:rsidRDefault="006D4790" w:rsidP="00F02C1D">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The transmission of the MAC PDU for V2X sidelink communication is prioritized over uplink transmissions if the following conditions are met:</w:t>
            </w:r>
          </w:p>
          <w:p w14:paraId="201ABBA0" w14:textId="77777777" w:rsidR="006D4790" w:rsidRPr="00351024" w:rsidRDefault="006D4790" w:rsidP="00F02C1D">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t>if the MAC entity is not able to perform all uplink transmissions and all transmissions of V2X sidelink communication simultaneously at the time of the transmission; and</w:t>
            </w:r>
          </w:p>
          <w:p w14:paraId="3C9CBA1F" w14:textId="77777777" w:rsidR="006D4790" w:rsidRPr="00351024" w:rsidRDefault="006D4790" w:rsidP="00F02C1D">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t>if uplink transmission is not prioritized by upper layer according to TS 24.386 [15]; and</w:t>
            </w:r>
          </w:p>
          <w:p w14:paraId="639D1EA9" w14:textId="77777777" w:rsidR="006D4790" w:rsidRDefault="006D4790" w:rsidP="00F02C1D">
            <w:pPr>
              <w:overflowPunct w:val="0"/>
              <w:autoSpaceDE w:val="0"/>
              <w:autoSpaceDN w:val="0"/>
              <w:adjustRightInd w:val="0"/>
              <w:spacing w:after="180" w:line="240" w:lineRule="auto"/>
              <w:ind w:left="568" w:hanging="284"/>
              <w:textAlignment w:val="baseline"/>
              <w:rPr>
                <w:rFonts w:ascii="Times New Roman" w:hAnsi="Times New Roman"/>
                <w:sz w:val="20"/>
                <w:lang w:val="en-GB" w:eastAsia="zh-CN"/>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r>
            <w:r w:rsidRPr="00351024">
              <w:rPr>
                <w:rFonts w:ascii="Times New Roman" w:eastAsia="Times New Roman" w:hAnsi="Times New Roman"/>
                <w:sz w:val="20"/>
                <w:szCs w:val="20"/>
                <w:highlight w:val="yellow"/>
                <w:lang w:val="en-GB" w:eastAsia="en-GB"/>
              </w:rPr>
              <w:t xml:space="preserve">if the value of the highest priority of the sidelink logical channel(s) in the MAC PDU is lower than </w:t>
            </w:r>
            <w:r w:rsidRPr="00351024">
              <w:rPr>
                <w:rFonts w:ascii="Times New Roman" w:eastAsia="Times New Roman" w:hAnsi="Times New Roman"/>
                <w:i/>
                <w:sz w:val="20"/>
                <w:szCs w:val="20"/>
                <w:highlight w:val="yellow"/>
                <w:lang w:val="en-GB" w:eastAsia="en-GB"/>
              </w:rPr>
              <w:t>thresSL-TxPrioritization</w:t>
            </w:r>
            <w:r w:rsidRPr="00351024">
              <w:rPr>
                <w:rFonts w:ascii="Times New Roman" w:eastAsia="Times New Roman" w:hAnsi="Times New Roman"/>
                <w:sz w:val="20"/>
                <w:szCs w:val="20"/>
                <w:highlight w:val="yellow"/>
                <w:lang w:val="en-GB" w:eastAsia="en-GB"/>
              </w:rPr>
              <w:t xml:space="preserve"> if </w:t>
            </w:r>
            <w:r w:rsidRPr="00351024">
              <w:rPr>
                <w:rFonts w:ascii="Times New Roman" w:eastAsia="Times New Roman" w:hAnsi="Times New Roman"/>
                <w:i/>
                <w:sz w:val="20"/>
                <w:szCs w:val="20"/>
                <w:highlight w:val="yellow"/>
                <w:lang w:val="en-GB" w:eastAsia="en-GB"/>
              </w:rPr>
              <w:t>thresSL-TxPrioritization</w:t>
            </w:r>
            <w:r w:rsidRPr="00351024">
              <w:rPr>
                <w:rFonts w:ascii="Times New Roman" w:eastAsia="Times New Roman" w:hAnsi="Times New Roman"/>
                <w:sz w:val="20"/>
                <w:szCs w:val="20"/>
                <w:highlight w:val="yellow"/>
                <w:lang w:val="en-GB" w:eastAsia="en-GB"/>
              </w:rPr>
              <w:t xml:space="preserve"> is configured.</w:t>
            </w:r>
          </w:p>
        </w:tc>
      </w:tr>
    </w:tbl>
    <w:p w14:paraId="3DF60A80" w14:textId="77777777" w:rsidR="006D4790" w:rsidRPr="00764389" w:rsidRDefault="006D4790" w:rsidP="006D4790">
      <w:pPr>
        <w:rPr>
          <w:rFonts w:ascii="Times New Roman" w:hAnsi="Times New Roman"/>
          <w:sz w:val="20"/>
          <w:lang w:val="en-GB" w:eastAsia="zh-CN"/>
        </w:rPr>
      </w:pPr>
    </w:p>
    <w:p w14:paraId="243CAFD1" w14:textId="5513E9F2" w:rsidR="006D4790" w:rsidRPr="00696931" w:rsidRDefault="006D4790" w:rsidP="006D4790">
      <w:pPr>
        <w:rPr>
          <w:rFonts w:ascii="Times New Roman" w:hAnsi="Times New Roman"/>
          <w:sz w:val="20"/>
          <w:lang w:val="en-GB" w:eastAsia="zh-CN"/>
        </w:rPr>
      </w:pPr>
      <w:r>
        <w:rPr>
          <w:rFonts w:ascii="Times New Roman" w:hAnsi="Times New Roman"/>
          <w:sz w:val="20"/>
          <w:lang w:val="en-GB" w:eastAsia="zh-CN"/>
        </w:rPr>
        <w:t>For the case of NR, the general idea should still be applicable. Since we expect certain UEs to have limited TX capability such that simultaneous transmission of UL as well as SL V2X MAC PDU would not be possible, the above prioritization should be considered. However, due to NR V2X moving away from the PPPP based QoS methodology and potential alignment of Uu and SL QoS models, the exact procedure is expected to be different. While the determination of the exact metrics and procedure for UL/SL prioritization can be discussed further, it is worthwhile to discuss and agree upon the basic principle in RAN2 for unicast</w:t>
      </w:r>
      <w:r w:rsidR="00955200">
        <w:rPr>
          <w:rFonts w:ascii="Times New Roman" w:hAnsi="Times New Roman"/>
          <w:sz w:val="20"/>
          <w:lang w:val="en-GB" w:eastAsia="zh-CN"/>
        </w:rPr>
        <w:t xml:space="preserve">, </w:t>
      </w:r>
      <w:r>
        <w:rPr>
          <w:rFonts w:ascii="Times New Roman" w:hAnsi="Times New Roman"/>
          <w:sz w:val="20"/>
          <w:lang w:val="en-GB" w:eastAsia="zh-CN"/>
        </w:rPr>
        <w:t>groupcast</w:t>
      </w:r>
      <w:r w:rsidR="00955200">
        <w:rPr>
          <w:rFonts w:ascii="Times New Roman" w:hAnsi="Times New Roman"/>
          <w:sz w:val="20"/>
          <w:lang w:val="en-GB" w:eastAsia="zh-CN"/>
        </w:rPr>
        <w:t xml:space="preserve"> and </w:t>
      </w:r>
      <w:r>
        <w:rPr>
          <w:rFonts w:ascii="Times New Roman" w:hAnsi="Times New Roman"/>
          <w:sz w:val="20"/>
          <w:lang w:val="en-GB" w:eastAsia="zh-CN"/>
        </w:rPr>
        <w:t>broadcast</w:t>
      </w:r>
      <w:r w:rsidR="00955200">
        <w:rPr>
          <w:rFonts w:ascii="Times New Roman" w:hAnsi="Times New Roman"/>
          <w:sz w:val="20"/>
          <w:lang w:val="en-GB" w:eastAsia="zh-CN"/>
        </w:rPr>
        <w:t xml:space="preserve">, where </w:t>
      </w:r>
      <w:r w:rsidRPr="00696931">
        <w:rPr>
          <w:rFonts w:ascii="Times New Roman" w:hAnsi="Times New Roman"/>
          <w:sz w:val="20"/>
          <w:lang w:val="en-GB" w:eastAsia="zh-CN"/>
        </w:rPr>
        <w:t xml:space="preserve">the UL/SL prioritization should be </w:t>
      </w:r>
      <w:r w:rsidR="00955200">
        <w:rPr>
          <w:rFonts w:ascii="Times New Roman" w:hAnsi="Times New Roman"/>
          <w:sz w:val="20"/>
          <w:lang w:val="en-GB" w:eastAsia="zh-CN"/>
        </w:rPr>
        <w:t xml:space="preserve">done </w:t>
      </w:r>
      <w:r w:rsidRPr="00696931">
        <w:rPr>
          <w:rFonts w:ascii="Times New Roman" w:hAnsi="Times New Roman"/>
          <w:sz w:val="20"/>
          <w:lang w:val="en-GB" w:eastAsia="zh-CN"/>
        </w:rPr>
        <w:t xml:space="preserve">based on QoS characteristic(s) derived from the VQI/PQI for a particular QoS flow, corresponding to </w:t>
      </w:r>
      <w:r w:rsidR="00955200">
        <w:rPr>
          <w:rFonts w:ascii="Times New Roman" w:hAnsi="Times New Roman"/>
          <w:sz w:val="20"/>
          <w:lang w:val="en-GB" w:eastAsia="zh-CN"/>
        </w:rPr>
        <w:t>V2X traffic. Since the flow based QoS model has been agreed in SA2 to be used regardless of cast type, a common UL/SL prioritization scheme based on VQI/PQI for corresponding QoS flow is proposed</w:t>
      </w:r>
      <w:r>
        <w:rPr>
          <w:rFonts w:ascii="Times New Roman" w:hAnsi="Times New Roman"/>
          <w:sz w:val="20"/>
          <w:lang w:val="en-GB" w:eastAsia="zh-CN"/>
        </w:rPr>
        <w:t>.</w:t>
      </w:r>
    </w:p>
    <w:p w14:paraId="5A3F5912" w14:textId="292C6DAE" w:rsidR="006D4790" w:rsidRPr="00696931" w:rsidRDefault="006D4790" w:rsidP="00670A37">
      <w:pPr>
        <w:ind w:left="1170" w:hanging="1170"/>
        <w:rPr>
          <w:rFonts w:ascii="Times New Roman" w:eastAsia="Times New Roman" w:hAnsi="Times New Roman"/>
          <w:bCs/>
          <w:i/>
          <w:sz w:val="20"/>
          <w:szCs w:val="20"/>
          <w:lang w:val="en-GB" w:eastAsia="zh-CN"/>
        </w:rPr>
      </w:pPr>
      <w:commentRangeStart w:id="1"/>
      <w:commentRangeStart w:id="2"/>
      <w:r>
        <w:rPr>
          <w:rFonts w:ascii="Times New Roman" w:eastAsia="Times New Roman" w:hAnsi="Times New Roman"/>
          <w:b/>
          <w:bCs/>
          <w:sz w:val="20"/>
          <w:szCs w:val="20"/>
          <w:u w:val="single"/>
          <w:lang w:val="en-GB" w:eastAsia="zh-CN"/>
        </w:rPr>
        <w:t>Proposal:</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UL/SL prioritization for NR V2X communication should</w:t>
      </w:r>
      <w:r w:rsidR="00955200">
        <w:rPr>
          <w:rFonts w:ascii="Times New Roman" w:eastAsia="Times New Roman" w:hAnsi="Times New Roman"/>
          <w:bCs/>
          <w:i/>
          <w:sz w:val="20"/>
          <w:szCs w:val="20"/>
          <w:lang w:val="en-GB" w:eastAsia="zh-CN"/>
        </w:rPr>
        <w:t xml:space="preserve"> be</w:t>
      </w:r>
      <w:r w:rsidRPr="00696931">
        <w:rPr>
          <w:rFonts w:ascii="Times New Roman" w:eastAsia="Times New Roman" w:hAnsi="Times New Roman"/>
          <w:bCs/>
          <w:i/>
          <w:sz w:val="20"/>
          <w:szCs w:val="20"/>
          <w:lang w:val="en-GB" w:eastAsia="zh-CN"/>
        </w:rPr>
        <w:t xml:space="preserve"> based on QoS characteristic(s) derived from the VQI/PQI for a particular QoS flow, corresponding to SL </w:t>
      </w:r>
      <w:r w:rsidR="00955200">
        <w:rPr>
          <w:rFonts w:ascii="Times New Roman" w:eastAsia="Times New Roman" w:hAnsi="Times New Roman"/>
          <w:bCs/>
          <w:i/>
          <w:sz w:val="20"/>
          <w:szCs w:val="20"/>
          <w:lang w:val="en-GB" w:eastAsia="zh-CN"/>
        </w:rPr>
        <w:t>V2X traffic (regardless of cast type)</w:t>
      </w:r>
    </w:p>
    <w:commentRangeEnd w:id="1"/>
    <w:commentRangeEnd w:id="2"/>
    <w:p w14:paraId="50A28EC3" w14:textId="77777777" w:rsidR="008669B1" w:rsidRPr="00E0063E" w:rsidRDefault="008669B1" w:rsidP="008669B1">
      <w:pPr>
        <w:pStyle w:val="Tdoc"/>
      </w:pPr>
      <w:r w:rsidRPr="00E0063E">
        <w:t>Conclusion</w:t>
      </w:r>
    </w:p>
    <w:p w14:paraId="50A28EC4" w14:textId="663EC95E"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3" w:name="_Ref458739888"/>
      <w:r>
        <w:rPr>
          <w:rFonts w:ascii="Times New Roman" w:eastAsia="Times New Roman" w:hAnsi="Times New Roman"/>
          <w:bCs/>
          <w:sz w:val="20"/>
          <w:szCs w:val="20"/>
          <w:lang w:val="en-GB" w:eastAsia="zh-CN"/>
        </w:rPr>
        <w:t xml:space="preserve">This contributions discusses </w:t>
      </w:r>
      <w:r w:rsidR="00696931">
        <w:rPr>
          <w:rFonts w:ascii="Times New Roman" w:eastAsia="Times New Roman" w:hAnsi="Times New Roman"/>
          <w:bCs/>
          <w:sz w:val="20"/>
          <w:szCs w:val="20"/>
          <w:lang w:val="en-GB" w:eastAsia="zh-CN"/>
        </w:rPr>
        <w:t>the UL/SL prioritization aspect</w:t>
      </w:r>
      <w:r w:rsidR="00F827C5">
        <w:rPr>
          <w:rFonts w:ascii="Times New Roman" w:eastAsia="Times New Roman" w:hAnsi="Times New Roman"/>
          <w:bCs/>
          <w:sz w:val="20"/>
          <w:szCs w:val="20"/>
          <w:lang w:val="en-GB" w:eastAsia="zh-CN"/>
        </w:rPr>
        <w:t xml:space="preserve"> </w:t>
      </w:r>
      <w:r w:rsidR="00492B7F">
        <w:rPr>
          <w:rFonts w:ascii="Times New Roman" w:eastAsia="Times New Roman" w:hAnsi="Times New Roman"/>
          <w:bCs/>
          <w:sz w:val="20"/>
          <w:szCs w:val="20"/>
          <w:lang w:val="en-GB" w:eastAsia="zh-CN"/>
        </w:rPr>
        <w:t>for</w:t>
      </w:r>
      <w:r w:rsidR="00DF323D">
        <w:rPr>
          <w:rFonts w:ascii="Times New Roman" w:eastAsia="Times New Roman" w:hAnsi="Times New Roman"/>
          <w:bCs/>
          <w:sz w:val="20"/>
          <w:szCs w:val="20"/>
          <w:lang w:val="en-GB" w:eastAsia="zh-CN"/>
        </w:rPr>
        <w:t xml:space="preserve"> NR</w:t>
      </w:r>
      <w:r w:rsidR="00883D0A">
        <w:rPr>
          <w:rFonts w:ascii="Times New Roman" w:eastAsia="Times New Roman" w:hAnsi="Times New Roman"/>
          <w:bCs/>
          <w:sz w:val="20"/>
          <w:szCs w:val="20"/>
          <w:lang w:val="en-GB" w:eastAsia="zh-CN"/>
        </w:rPr>
        <w:t xml:space="preserve"> </w:t>
      </w:r>
      <w:r w:rsidR="00492B7F">
        <w:rPr>
          <w:rFonts w:ascii="Times New Roman" w:eastAsia="Times New Roman" w:hAnsi="Times New Roman"/>
          <w:bCs/>
          <w:sz w:val="20"/>
          <w:szCs w:val="20"/>
          <w:lang w:val="en-GB" w:eastAsia="zh-CN"/>
        </w:rPr>
        <w:t xml:space="preserve">V2X </w:t>
      </w:r>
      <w:r w:rsidR="00696931">
        <w:rPr>
          <w:rFonts w:ascii="Times New Roman" w:eastAsia="Times New Roman" w:hAnsi="Times New Roman"/>
          <w:bCs/>
          <w:sz w:val="20"/>
          <w:szCs w:val="20"/>
          <w:lang w:val="en-GB" w:eastAsia="zh-CN"/>
        </w:rPr>
        <w:t xml:space="preserve">operation </w:t>
      </w:r>
      <w:r w:rsidR="00883D0A">
        <w:rPr>
          <w:rFonts w:ascii="Times New Roman" w:eastAsia="Times New Roman" w:hAnsi="Times New Roman"/>
          <w:bCs/>
          <w:sz w:val="20"/>
          <w:szCs w:val="20"/>
          <w:lang w:val="en-GB" w:eastAsia="zh-CN"/>
        </w:rPr>
        <w:t xml:space="preserve">and </w:t>
      </w:r>
      <w:r w:rsidR="00696931">
        <w:rPr>
          <w:rFonts w:ascii="Times New Roman" w:eastAsia="Times New Roman" w:hAnsi="Times New Roman"/>
          <w:bCs/>
          <w:sz w:val="20"/>
          <w:szCs w:val="20"/>
          <w:lang w:val="en-GB" w:eastAsia="zh-CN"/>
        </w:rPr>
        <w:t>makes the following proposal</w:t>
      </w:r>
      <w:r w:rsidR="00777344">
        <w:rPr>
          <w:rFonts w:ascii="Times New Roman" w:eastAsia="Times New Roman" w:hAnsi="Times New Roman"/>
          <w:bCs/>
          <w:sz w:val="20"/>
          <w:szCs w:val="20"/>
          <w:lang w:val="en-GB" w:eastAsia="zh-CN"/>
        </w:rPr>
        <w:t>:</w:t>
      </w:r>
    </w:p>
    <w:p w14:paraId="0C225603" w14:textId="77777777" w:rsidR="00955200" w:rsidRPr="00696931" w:rsidRDefault="00955200" w:rsidP="0095520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UL/SL prioritization for NR V2X communication should be</w:t>
      </w:r>
      <w:r w:rsidRPr="00696931">
        <w:rPr>
          <w:rFonts w:ascii="Times New Roman" w:eastAsia="Times New Roman" w:hAnsi="Times New Roman"/>
          <w:bCs/>
          <w:i/>
          <w:sz w:val="20"/>
          <w:szCs w:val="20"/>
          <w:lang w:val="en-GB" w:eastAsia="zh-CN"/>
        </w:rPr>
        <w:t xml:space="preserve"> based on QoS characteristic(s) derived from the VQI/PQI for a particular QoS flow, corresponding to SL </w:t>
      </w:r>
      <w:r>
        <w:rPr>
          <w:rFonts w:ascii="Times New Roman" w:eastAsia="Times New Roman" w:hAnsi="Times New Roman"/>
          <w:bCs/>
          <w:i/>
          <w:sz w:val="20"/>
          <w:szCs w:val="20"/>
          <w:lang w:val="en-GB" w:eastAsia="zh-CN"/>
        </w:rPr>
        <w:t>V2X traffic (regardless of cast type)</w:t>
      </w:r>
    </w:p>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0588A457" w14:textId="77777777" w:rsidR="00696931" w:rsidRDefault="00DF27D3" w:rsidP="00E52F3C">
          <w:pPr>
            <w:pStyle w:val="Tdoc"/>
            <w:numPr>
              <w:ilvl w:val="0"/>
              <w:numId w:val="0"/>
            </w:numPr>
            <w:rPr>
              <w:rFonts w:ascii="Calibri" w:eastAsia="SimSun" w:hAnsi="Calibri"/>
              <w:sz w:val="20"/>
              <w:lang w:eastAsia="en-US"/>
            </w:rPr>
          </w:pPr>
          <w:r>
            <w:t>References</w:t>
          </w:r>
          <w:r w:rsidR="00E52F3C">
            <w:fldChar w:fldCharType="begin"/>
          </w:r>
          <w:r w:rsidR="00E52F3C">
            <w:instrText xml:space="preserve"> BIBLIOGRAPHY  \l 1033 </w:instrText>
          </w:r>
          <w:r w:rsidR="00E52F3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96931" w14:paraId="65406C28" w14:textId="77777777">
            <w:trPr>
              <w:divId w:val="1756900298"/>
              <w:tblCellSpacing w:w="15" w:type="dxa"/>
            </w:trPr>
            <w:tc>
              <w:tcPr>
                <w:tcW w:w="50" w:type="pct"/>
                <w:hideMark/>
              </w:tcPr>
              <w:p w14:paraId="6A5AA100" w14:textId="77777777" w:rsidR="00696931" w:rsidRDefault="00696931">
                <w:pPr>
                  <w:pStyle w:val="Bibliography"/>
                  <w:rPr>
                    <w:noProof/>
                    <w:sz w:val="24"/>
                    <w:szCs w:val="24"/>
                  </w:rPr>
                </w:pPr>
                <w:r>
                  <w:rPr>
                    <w:noProof/>
                  </w:rPr>
                  <w:t xml:space="preserve">[1] </w:t>
                </w:r>
              </w:p>
            </w:tc>
            <w:tc>
              <w:tcPr>
                <w:tcW w:w="0" w:type="auto"/>
                <w:hideMark/>
              </w:tcPr>
              <w:p w14:paraId="31DF7962" w14:textId="77777777" w:rsidR="00696931" w:rsidRDefault="00696931">
                <w:pPr>
                  <w:pStyle w:val="Bibliography"/>
                  <w:rPr>
                    <w:noProof/>
                  </w:rPr>
                </w:pPr>
                <w:r>
                  <w:rPr>
                    <w:noProof/>
                  </w:rPr>
                  <w:t xml:space="preserve">"RAN2#105, NR V2X: Chairman Notes". </w:t>
                </w:r>
              </w:p>
            </w:tc>
          </w:tr>
          <w:tr w:rsidR="00696931" w14:paraId="119E8A69" w14:textId="77777777">
            <w:trPr>
              <w:divId w:val="1756900298"/>
              <w:tblCellSpacing w:w="15" w:type="dxa"/>
            </w:trPr>
            <w:tc>
              <w:tcPr>
                <w:tcW w:w="50" w:type="pct"/>
                <w:hideMark/>
              </w:tcPr>
              <w:p w14:paraId="73822646" w14:textId="77777777" w:rsidR="00696931" w:rsidRDefault="00696931">
                <w:pPr>
                  <w:pStyle w:val="Bibliography"/>
                  <w:rPr>
                    <w:noProof/>
                  </w:rPr>
                </w:pPr>
                <w:r>
                  <w:rPr>
                    <w:noProof/>
                  </w:rPr>
                  <w:t xml:space="preserve">[2] </w:t>
                </w:r>
              </w:p>
            </w:tc>
            <w:tc>
              <w:tcPr>
                <w:tcW w:w="0" w:type="auto"/>
                <w:hideMark/>
              </w:tcPr>
              <w:p w14:paraId="63035346" w14:textId="77777777" w:rsidR="00696931" w:rsidRDefault="00696931">
                <w:pPr>
                  <w:pStyle w:val="Bibliography"/>
                  <w:rPr>
                    <w:noProof/>
                  </w:rPr>
                </w:pPr>
                <w:r>
                  <w:rPr>
                    <w:noProof/>
                  </w:rPr>
                  <w:t xml:space="preserve">"TS 36.321, Evolved Universal Terrestrial Radio Access (E-UTRA); Medium Access Control (MAC); Protocol specification". </w:t>
                </w:r>
              </w:p>
            </w:tc>
          </w:tr>
        </w:tbl>
        <w:p w14:paraId="0A3099CB" w14:textId="77777777" w:rsidR="00696931" w:rsidRDefault="00696931">
          <w:pPr>
            <w:divId w:val="1756900298"/>
            <w:rPr>
              <w:rFonts w:eastAsia="Times New Roman"/>
              <w:noProof/>
            </w:rPr>
          </w:pPr>
        </w:p>
        <w:p w14:paraId="1A999DCD" w14:textId="2D35B5E5" w:rsidR="00DF27D3" w:rsidRDefault="00E52F3C" w:rsidP="00E52F3C">
          <w:pPr>
            <w:pStyle w:val="Tdoc"/>
            <w:numPr>
              <w:ilvl w:val="0"/>
              <w:numId w:val="0"/>
            </w:numPr>
          </w:pPr>
          <w:r>
            <w:fldChar w:fldCharType="end"/>
          </w:r>
        </w:p>
        <w:p w14:paraId="4196A02B" w14:textId="45EC0B30" w:rsidR="00DF25A3" w:rsidRDefault="00670A37" w:rsidP="00682BFF">
          <w:pPr>
            <w:pStyle w:val="Doc-text2"/>
            <w:ind w:left="0" w:firstLine="0"/>
          </w:pPr>
        </w:p>
      </w:sdtContent>
    </w:sdt>
    <w:bookmarkEnd w:id="3" w:displacedByCustomXml="prev"/>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10259" w:rsidRDefault="00A10259">
      <w:pPr>
        <w:spacing w:after="0" w:line="240" w:lineRule="auto"/>
      </w:pPr>
      <w:r>
        <w:separator/>
      </w:r>
    </w:p>
  </w:endnote>
  <w:endnote w:type="continuationSeparator" w:id="0">
    <w:p w14:paraId="50A28EF3" w14:textId="77777777" w:rsidR="00A10259" w:rsidRDefault="00A10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10259" w:rsidRDefault="00A10259"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0A37">
      <w:rPr>
        <w:rFonts w:ascii="Arial" w:hAnsi="Arial" w:cs="Arial"/>
        <w:b/>
        <w:noProof/>
        <w:sz w:val="18"/>
        <w:szCs w:val="18"/>
      </w:rPr>
      <w:t>3</w:t>
    </w:r>
    <w:r>
      <w:rPr>
        <w:rFonts w:ascii="Arial" w:hAnsi="Arial" w:cs="Arial"/>
        <w:b/>
        <w:sz w:val="18"/>
        <w:szCs w:val="18"/>
      </w:rPr>
      <w:fldChar w:fldCharType="end"/>
    </w:r>
  </w:p>
  <w:p w14:paraId="50A28EF5" w14:textId="77777777" w:rsidR="00A10259" w:rsidRDefault="00A1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10259" w:rsidRDefault="00A10259">
      <w:pPr>
        <w:spacing w:after="0" w:line="240" w:lineRule="auto"/>
      </w:pPr>
      <w:r>
        <w:separator/>
      </w:r>
    </w:p>
  </w:footnote>
  <w:footnote w:type="continuationSeparator" w:id="0">
    <w:p w14:paraId="50A28EF1" w14:textId="77777777" w:rsidR="00A10259" w:rsidRDefault="00A10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07B8A"/>
    <w:multiLevelType w:val="hybridMultilevel"/>
    <w:tmpl w:val="1A046ABE"/>
    <w:lvl w:ilvl="0" w:tplc="0A6EA3B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15:restartNumberingAfterBreak="0">
    <w:nsid w:val="58A620BC"/>
    <w:multiLevelType w:val="hybridMultilevel"/>
    <w:tmpl w:val="6CE8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3268B"/>
    <w:multiLevelType w:val="hybridMultilevel"/>
    <w:tmpl w:val="BE600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A75F4"/>
    <w:multiLevelType w:val="hybridMultilevel"/>
    <w:tmpl w:val="3FA63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2"/>
  </w:num>
  <w:num w:numId="3">
    <w:abstractNumId w:val="16"/>
  </w:num>
  <w:num w:numId="4">
    <w:abstractNumId w:val="15"/>
  </w:num>
  <w:num w:numId="5">
    <w:abstractNumId w:val="5"/>
    <w:lvlOverride w:ilvl="0">
      <w:startOverride w:val="1"/>
    </w:lvlOverride>
  </w:num>
  <w:num w:numId="6">
    <w:abstractNumId w:val="8"/>
    <w:lvlOverride w:ilvl="0">
      <w:startOverride w:val="2"/>
    </w:lvlOverride>
  </w:num>
  <w:num w:numId="7">
    <w:abstractNumId w:val="31"/>
  </w:num>
  <w:num w:numId="8">
    <w:abstractNumId w:val="12"/>
  </w:num>
  <w:num w:numId="9">
    <w:abstractNumId w:val="9"/>
  </w:num>
  <w:num w:numId="10">
    <w:abstractNumId w:val="25"/>
  </w:num>
  <w:num w:numId="11">
    <w:abstractNumId w:val="33"/>
  </w:num>
  <w:num w:numId="12">
    <w:abstractNumId w:val="7"/>
  </w:num>
  <w:num w:numId="13">
    <w:abstractNumId w:val="10"/>
  </w:num>
  <w:num w:numId="14">
    <w:abstractNumId w:val="3"/>
  </w:num>
  <w:num w:numId="15">
    <w:abstractNumId w:val="4"/>
  </w:num>
  <w:num w:numId="16">
    <w:abstractNumId w:val="14"/>
  </w:num>
  <w:num w:numId="17">
    <w:abstractNumId w:val="30"/>
  </w:num>
  <w:num w:numId="18">
    <w:abstractNumId w:val="13"/>
  </w:num>
  <w:num w:numId="19">
    <w:abstractNumId w:val="26"/>
  </w:num>
  <w:num w:numId="20">
    <w:abstractNumId w:val="2"/>
  </w:num>
  <w:num w:numId="21">
    <w:abstractNumId w:val="32"/>
  </w:num>
  <w:num w:numId="22">
    <w:abstractNumId w:val="1"/>
  </w:num>
  <w:num w:numId="23">
    <w:abstractNumId w:val="24"/>
  </w:num>
  <w:num w:numId="24">
    <w:abstractNumId w:val="35"/>
  </w:num>
  <w:num w:numId="25">
    <w:abstractNumId w:val="23"/>
  </w:num>
  <w:num w:numId="26">
    <w:abstractNumId w:val="19"/>
  </w:num>
  <w:num w:numId="27">
    <w:abstractNumId w:val="18"/>
  </w:num>
  <w:num w:numId="28">
    <w:abstractNumId w:val="34"/>
  </w:num>
  <w:num w:numId="29">
    <w:abstractNumId w:val="0"/>
  </w:num>
  <w:num w:numId="30">
    <w:abstractNumId w:val="6"/>
  </w:num>
  <w:num w:numId="31">
    <w:abstractNumId w:val="20"/>
  </w:num>
  <w:num w:numId="32">
    <w:abstractNumId w:val="17"/>
  </w:num>
  <w:num w:numId="33">
    <w:abstractNumId w:val="21"/>
  </w:num>
  <w:num w:numId="34">
    <w:abstractNumId w:val="11"/>
  </w:num>
  <w:num w:numId="35">
    <w:abstractNumId w:val="28"/>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6770"/>
    <w:rsid w:val="000074D2"/>
    <w:rsid w:val="0002151A"/>
    <w:rsid w:val="00031A47"/>
    <w:rsid w:val="000336C8"/>
    <w:rsid w:val="0005299F"/>
    <w:rsid w:val="00053B8A"/>
    <w:rsid w:val="00061F84"/>
    <w:rsid w:val="000632AE"/>
    <w:rsid w:val="00066057"/>
    <w:rsid w:val="00071BD0"/>
    <w:rsid w:val="000760CC"/>
    <w:rsid w:val="0007638E"/>
    <w:rsid w:val="00077473"/>
    <w:rsid w:val="00081766"/>
    <w:rsid w:val="0008197A"/>
    <w:rsid w:val="00086899"/>
    <w:rsid w:val="00093CDE"/>
    <w:rsid w:val="00093DBA"/>
    <w:rsid w:val="00096596"/>
    <w:rsid w:val="000A09B3"/>
    <w:rsid w:val="000A09E6"/>
    <w:rsid w:val="000A7E1C"/>
    <w:rsid w:val="000B5647"/>
    <w:rsid w:val="000E26C9"/>
    <w:rsid w:val="000E4761"/>
    <w:rsid w:val="000E493C"/>
    <w:rsid w:val="000F1C37"/>
    <w:rsid w:val="000F3159"/>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CC9"/>
    <w:rsid w:val="00160710"/>
    <w:rsid w:val="00160F7D"/>
    <w:rsid w:val="0016207C"/>
    <w:rsid w:val="0016488C"/>
    <w:rsid w:val="00171180"/>
    <w:rsid w:val="00175B7F"/>
    <w:rsid w:val="00175DCB"/>
    <w:rsid w:val="00195430"/>
    <w:rsid w:val="001954A3"/>
    <w:rsid w:val="00197B45"/>
    <w:rsid w:val="001A7512"/>
    <w:rsid w:val="001A793C"/>
    <w:rsid w:val="001B7098"/>
    <w:rsid w:val="001C137C"/>
    <w:rsid w:val="001C65DC"/>
    <w:rsid w:val="001C6D4F"/>
    <w:rsid w:val="001C6E8B"/>
    <w:rsid w:val="001D1FD6"/>
    <w:rsid w:val="001D28A0"/>
    <w:rsid w:val="001D5230"/>
    <w:rsid w:val="001E221E"/>
    <w:rsid w:val="001E54F9"/>
    <w:rsid w:val="001F221E"/>
    <w:rsid w:val="001F6A7D"/>
    <w:rsid w:val="002020C5"/>
    <w:rsid w:val="00203D1C"/>
    <w:rsid w:val="0020567B"/>
    <w:rsid w:val="0020671E"/>
    <w:rsid w:val="00220EC4"/>
    <w:rsid w:val="00225341"/>
    <w:rsid w:val="002263C8"/>
    <w:rsid w:val="002356DF"/>
    <w:rsid w:val="0024165F"/>
    <w:rsid w:val="00251048"/>
    <w:rsid w:val="00253F58"/>
    <w:rsid w:val="00255F2A"/>
    <w:rsid w:val="00260222"/>
    <w:rsid w:val="00260FE6"/>
    <w:rsid w:val="00263354"/>
    <w:rsid w:val="00265EF0"/>
    <w:rsid w:val="00270883"/>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C2951"/>
    <w:rsid w:val="002C70A1"/>
    <w:rsid w:val="002F04F8"/>
    <w:rsid w:val="002F153B"/>
    <w:rsid w:val="002F432E"/>
    <w:rsid w:val="003033F9"/>
    <w:rsid w:val="00305CD5"/>
    <w:rsid w:val="003067DC"/>
    <w:rsid w:val="00310E3D"/>
    <w:rsid w:val="00321D25"/>
    <w:rsid w:val="0032490D"/>
    <w:rsid w:val="00330823"/>
    <w:rsid w:val="00332463"/>
    <w:rsid w:val="00332851"/>
    <w:rsid w:val="00336D1D"/>
    <w:rsid w:val="003379D6"/>
    <w:rsid w:val="00337A0E"/>
    <w:rsid w:val="00342211"/>
    <w:rsid w:val="00345654"/>
    <w:rsid w:val="00351024"/>
    <w:rsid w:val="0035278E"/>
    <w:rsid w:val="003603C6"/>
    <w:rsid w:val="00361EF9"/>
    <w:rsid w:val="0037540A"/>
    <w:rsid w:val="00376E2A"/>
    <w:rsid w:val="003848A3"/>
    <w:rsid w:val="00384CB8"/>
    <w:rsid w:val="00385E3E"/>
    <w:rsid w:val="00396B24"/>
    <w:rsid w:val="00397FA3"/>
    <w:rsid w:val="003A7511"/>
    <w:rsid w:val="003A766F"/>
    <w:rsid w:val="003B424F"/>
    <w:rsid w:val="003B497F"/>
    <w:rsid w:val="003B6208"/>
    <w:rsid w:val="003B6BC4"/>
    <w:rsid w:val="003C24AD"/>
    <w:rsid w:val="003C2812"/>
    <w:rsid w:val="003D1D55"/>
    <w:rsid w:val="003E1161"/>
    <w:rsid w:val="003E76DD"/>
    <w:rsid w:val="003F0F74"/>
    <w:rsid w:val="00400792"/>
    <w:rsid w:val="0040277F"/>
    <w:rsid w:val="004035EF"/>
    <w:rsid w:val="00412F14"/>
    <w:rsid w:val="00415F96"/>
    <w:rsid w:val="00416235"/>
    <w:rsid w:val="0042051B"/>
    <w:rsid w:val="00420F37"/>
    <w:rsid w:val="00424635"/>
    <w:rsid w:val="00426D91"/>
    <w:rsid w:val="00430F3A"/>
    <w:rsid w:val="00433DA4"/>
    <w:rsid w:val="00434F17"/>
    <w:rsid w:val="0043655F"/>
    <w:rsid w:val="004367C3"/>
    <w:rsid w:val="00437AB1"/>
    <w:rsid w:val="00440C74"/>
    <w:rsid w:val="00445B7E"/>
    <w:rsid w:val="00453DB6"/>
    <w:rsid w:val="0045665A"/>
    <w:rsid w:val="00460EBA"/>
    <w:rsid w:val="00463184"/>
    <w:rsid w:val="0046730A"/>
    <w:rsid w:val="00467867"/>
    <w:rsid w:val="00471E04"/>
    <w:rsid w:val="004747C6"/>
    <w:rsid w:val="00483C87"/>
    <w:rsid w:val="004873A1"/>
    <w:rsid w:val="0049247B"/>
    <w:rsid w:val="00492B7F"/>
    <w:rsid w:val="004941A2"/>
    <w:rsid w:val="004A45E2"/>
    <w:rsid w:val="004B2F1A"/>
    <w:rsid w:val="004C546C"/>
    <w:rsid w:val="004D360F"/>
    <w:rsid w:val="004D44CA"/>
    <w:rsid w:val="004D6C2B"/>
    <w:rsid w:val="004D7A2E"/>
    <w:rsid w:val="004E07CD"/>
    <w:rsid w:val="004E2339"/>
    <w:rsid w:val="004E3975"/>
    <w:rsid w:val="004E3ED3"/>
    <w:rsid w:val="004E5AAE"/>
    <w:rsid w:val="005067A7"/>
    <w:rsid w:val="00511AF4"/>
    <w:rsid w:val="0051392C"/>
    <w:rsid w:val="005214C0"/>
    <w:rsid w:val="005231DC"/>
    <w:rsid w:val="00523734"/>
    <w:rsid w:val="005279F9"/>
    <w:rsid w:val="00532E44"/>
    <w:rsid w:val="00545C8C"/>
    <w:rsid w:val="0055379C"/>
    <w:rsid w:val="00555440"/>
    <w:rsid w:val="0055706A"/>
    <w:rsid w:val="00557402"/>
    <w:rsid w:val="00593190"/>
    <w:rsid w:val="00597FD5"/>
    <w:rsid w:val="005A4656"/>
    <w:rsid w:val="005A7CEA"/>
    <w:rsid w:val="005C158A"/>
    <w:rsid w:val="005C3DFF"/>
    <w:rsid w:val="005E2748"/>
    <w:rsid w:val="005E3E1B"/>
    <w:rsid w:val="005E4E14"/>
    <w:rsid w:val="005E6205"/>
    <w:rsid w:val="005F30EF"/>
    <w:rsid w:val="006029C3"/>
    <w:rsid w:val="00625D8E"/>
    <w:rsid w:val="00627647"/>
    <w:rsid w:val="00633024"/>
    <w:rsid w:val="00644CEC"/>
    <w:rsid w:val="00661C20"/>
    <w:rsid w:val="00667231"/>
    <w:rsid w:val="00670A37"/>
    <w:rsid w:val="006720DF"/>
    <w:rsid w:val="00673EBD"/>
    <w:rsid w:val="00677F17"/>
    <w:rsid w:val="00682BFF"/>
    <w:rsid w:val="00685A21"/>
    <w:rsid w:val="00696931"/>
    <w:rsid w:val="00696FDC"/>
    <w:rsid w:val="006A27E5"/>
    <w:rsid w:val="006A65D5"/>
    <w:rsid w:val="006A7922"/>
    <w:rsid w:val="006C65A8"/>
    <w:rsid w:val="006D0058"/>
    <w:rsid w:val="006D4790"/>
    <w:rsid w:val="006D512C"/>
    <w:rsid w:val="006D53FD"/>
    <w:rsid w:val="006D7CC2"/>
    <w:rsid w:val="006E0F37"/>
    <w:rsid w:val="006F631D"/>
    <w:rsid w:val="00705D31"/>
    <w:rsid w:val="00710503"/>
    <w:rsid w:val="00710E4F"/>
    <w:rsid w:val="00711B34"/>
    <w:rsid w:val="007158F5"/>
    <w:rsid w:val="00722993"/>
    <w:rsid w:val="00723298"/>
    <w:rsid w:val="007244AA"/>
    <w:rsid w:val="00732A41"/>
    <w:rsid w:val="00732CD4"/>
    <w:rsid w:val="007336B5"/>
    <w:rsid w:val="007356BA"/>
    <w:rsid w:val="00740D3E"/>
    <w:rsid w:val="00743313"/>
    <w:rsid w:val="00764389"/>
    <w:rsid w:val="007646CF"/>
    <w:rsid w:val="00773EF0"/>
    <w:rsid w:val="00777344"/>
    <w:rsid w:val="00781376"/>
    <w:rsid w:val="007851DA"/>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35FDE"/>
    <w:rsid w:val="008418C6"/>
    <w:rsid w:val="00842457"/>
    <w:rsid w:val="00851A91"/>
    <w:rsid w:val="00861C7A"/>
    <w:rsid w:val="00862933"/>
    <w:rsid w:val="008669B1"/>
    <w:rsid w:val="008754AC"/>
    <w:rsid w:val="00875F14"/>
    <w:rsid w:val="00876F5D"/>
    <w:rsid w:val="008775ED"/>
    <w:rsid w:val="00883BF6"/>
    <w:rsid w:val="00883D0A"/>
    <w:rsid w:val="00883EF2"/>
    <w:rsid w:val="008848AB"/>
    <w:rsid w:val="00886353"/>
    <w:rsid w:val="00897CC2"/>
    <w:rsid w:val="008A12F1"/>
    <w:rsid w:val="008A1604"/>
    <w:rsid w:val="008A3B9F"/>
    <w:rsid w:val="008A3EC6"/>
    <w:rsid w:val="008B0017"/>
    <w:rsid w:val="008B1A68"/>
    <w:rsid w:val="008B7DB0"/>
    <w:rsid w:val="008C0567"/>
    <w:rsid w:val="008C6004"/>
    <w:rsid w:val="008D2846"/>
    <w:rsid w:val="008E03BE"/>
    <w:rsid w:val="008E4A12"/>
    <w:rsid w:val="008E5071"/>
    <w:rsid w:val="008F15B9"/>
    <w:rsid w:val="008F7B19"/>
    <w:rsid w:val="0090031E"/>
    <w:rsid w:val="00901F6D"/>
    <w:rsid w:val="00902C16"/>
    <w:rsid w:val="00904EBE"/>
    <w:rsid w:val="00915CAD"/>
    <w:rsid w:val="009209B1"/>
    <w:rsid w:val="009215C6"/>
    <w:rsid w:val="00925869"/>
    <w:rsid w:val="00926ABB"/>
    <w:rsid w:val="00927261"/>
    <w:rsid w:val="00927E8A"/>
    <w:rsid w:val="009331B4"/>
    <w:rsid w:val="00934516"/>
    <w:rsid w:val="00936F83"/>
    <w:rsid w:val="009423E7"/>
    <w:rsid w:val="00943FF6"/>
    <w:rsid w:val="00944290"/>
    <w:rsid w:val="009459D5"/>
    <w:rsid w:val="00946CD4"/>
    <w:rsid w:val="0094797B"/>
    <w:rsid w:val="00952743"/>
    <w:rsid w:val="00954A13"/>
    <w:rsid w:val="00955200"/>
    <w:rsid w:val="00955F6D"/>
    <w:rsid w:val="009573C2"/>
    <w:rsid w:val="00963E9A"/>
    <w:rsid w:val="009737B4"/>
    <w:rsid w:val="0097483B"/>
    <w:rsid w:val="009759A1"/>
    <w:rsid w:val="00981471"/>
    <w:rsid w:val="009917F0"/>
    <w:rsid w:val="009A301E"/>
    <w:rsid w:val="009A3832"/>
    <w:rsid w:val="009A3984"/>
    <w:rsid w:val="009A5E1C"/>
    <w:rsid w:val="009B5872"/>
    <w:rsid w:val="009B6A2D"/>
    <w:rsid w:val="009C4F61"/>
    <w:rsid w:val="009D5BAB"/>
    <w:rsid w:val="009E4EC5"/>
    <w:rsid w:val="009E6ED4"/>
    <w:rsid w:val="009E7171"/>
    <w:rsid w:val="009F06CB"/>
    <w:rsid w:val="009F731B"/>
    <w:rsid w:val="009F758B"/>
    <w:rsid w:val="00A01CDB"/>
    <w:rsid w:val="00A10259"/>
    <w:rsid w:val="00A10292"/>
    <w:rsid w:val="00A23CEE"/>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F256D"/>
    <w:rsid w:val="00B019D2"/>
    <w:rsid w:val="00B07D76"/>
    <w:rsid w:val="00B14023"/>
    <w:rsid w:val="00B178E8"/>
    <w:rsid w:val="00B20B32"/>
    <w:rsid w:val="00B3125C"/>
    <w:rsid w:val="00B326C8"/>
    <w:rsid w:val="00B329F9"/>
    <w:rsid w:val="00B438F2"/>
    <w:rsid w:val="00B45EDF"/>
    <w:rsid w:val="00B549AC"/>
    <w:rsid w:val="00B70F01"/>
    <w:rsid w:val="00B737FF"/>
    <w:rsid w:val="00B74D9C"/>
    <w:rsid w:val="00B76EA2"/>
    <w:rsid w:val="00B810AC"/>
    <w:rsid w:val="00B81256"/>
    <w:rsid w:val="00B9000F"/>
    <w:rsid w:val="00B911B1"/>
    <w:rsid w:val="00B91D6D"/>
    <w:rsid w:val="00B92FEE"/>
    <w:rsid w:val="00B9460B"/>
    <w:rsid w:val="00BA2CEB"/>
    <w:rsid w:val="00BA6EE8"/>
    <w:rsid w:val="00BB7B6E"/>
    <w:rsid w:val="00BC0AA3"/>
    <w:rsid w:val="00BC58FD"/>
    <w:rsid w:val="00BD4114"/>
    <w:rsid w:val="00BD4C5D"/>
    <w:rsid w:val="00BD4D14"/>
    <w:rsid w:val="00BD67D0"/>
    <w:rsid w:val="00BE0DBD"/>
    <w:rsid w:val="00BE6D20"/>
    <w:rsid w:val="00BF04B8"/>
    <w:rsid w:val="00BF78E3"/>
    <w:rsid w:val="00C10CE1"/>
    <w:rsid w:val="00C16A65"/>
    <w:rsid w:val="00C27475"/>
    <w:rsid w:val="00C348A8"/>
    <w:rsid w:val="00C44346"/>
    <w:rsid w:val="00C47BFB"/>
    <w:rsid w:val="00C641CB"/>
    <w:rsid w:val="00C65B7C"/>
    <w:rsid w:val="00C66689"/>
    <w:rsid w:val="00C667DF"/>
    <w:rsid w:val="00C677A5"/>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254FA"/>
    <w:rsid w:val="00D26429"/>
    <w:rsid w:val="00D30389"/>
    <w:rsid w:val="00D304C8"/>
    <w:rsid w:val="00D30D35"/>
    <w:rsid w:val="00D4144E"/>
    <w:rsid w:val="00D4639F"/>
    <w:rsid w:val="00D5233B"/>
    <w:rsid w:val="00D65AAE"/>
    <w:rsid w:val="00D6734B"/>
    <w:rsid w:val="00D70FEC"/>
    <w:rsid w:val="00D74365"/>
    <w:rsid w:val="00D75EC2"/>
    <w:rsid w:val="00D75FE1"/>
    <w:rsid w:val="00D80BD1"/>
    <w:rsid w:val="00D93ECB"/>
    <w:rsid w:val="00D94525"/>
    <w:rsid w:val="00DA2C5B"/>
    <w:rsid w:val="00DC00B2"/>
    <w:rsid w:val="00DC299B"/>
    <w:rsid w:val="00DD532A"/>
    <w:rsid w:val="00DE207A"/>
    <w:rsid w:val="00DF07FB"/>
    <w:rsid w:val="00DF106B"/>
    <w:rsid w:val="00DF2222"/>
    <w:rsid w:val="00DF25A3"/>
    <w:rsid w:val="00DF27D3"/>
    <w:rsid w:val="00DF323D"/>
    <w:rsid w:val="00E0063E"/>
    <w:rsid w:val="00E01E30"/>
    <w:rsid w:val="00E10C75"/>
    <w:rsid w:val="00E127AF"/>
    <w:rsid w:val="00E13016"/>
    <w:rsid w:val="00E14C3C"/>
    <w:rsid w:val="00E267E6"/>
    <w:rsid w:val="00E31E41"/>
    <w:rsid w:val="00E32368"/>
    <w:rsid w:val="00E33257"/>
    <w:rsid w:val="00E37913"/>
    <w:rsid w:val="00E42BBE"/>
    <w:rsid w:val="00E4600C"/>
    <w:rsid w:val="00E52F3C"/>
    <w:rsid w:val="00E53137"/>
    <w:rsid w:val="00E60548"/>
    <w:rsid w:val="00E63487"/>
    <w:rsid w:val="00E65894"/>
    <w:rsid w:val="00E67351"/>
    <w:rsid w:val="00E6786C"/>
    <w:rsid w:val="00E73BA3"/>
    <w:rsid w:val="00E76581"/>
    <w:rsid w:val="00E772C0"/>
    <w:rsid w:val="00E77D40"/>
    <w:rsid w:val="00E86837"/>
    <w:rsid w:val="00E87B8A"/>
    <w:rsid w:val="00E93113"/>
    <w:rsid w:val="00E936F6"/>
    <w:rsid w:val="00E94F69"/>
    <w:rsid w:val="00EA395E"/>
    <w:rsid w:val="00EB0968"/>
    <w:rsid w:val="00EB37AB"/>
    <w:rsid w:val="00EC1C57"/>
    <w:rsid w:val="00EC6E8C"/>
    <w:rsid w:val="00EC7E0A"/>
    <w:rsid w:val="00ED00AF"/>
    <w:rsid w:val="00ED7949"/>
    <w:rsid w:val="00EE3B7D"/>
    <w:rsid w:val="00EF7293"/>
    <w:rsid w:val="00F066D7"/>
    <w:rsid w:val="00F14233"/>
    <w:rsid w:val="00F14583"/>
    <w:rsid w:val="00F16547"/>
    <w:rsid w:val="00F16840"/>
    <w:rsid w:val="00F17014"/>
    <w:rsid w:val="00F20B33"/>
    <w:rsid w:val="00F2103E"/>
    <w:rsid w:val="00F239D6"/>
    <w:rsid w:val="00F25073"/>
    <w:rsid w:val="00F267E0"/>
    <w:rsid w:val="00F27189"/>
    <w:rsid w:val="00F349C6"/>
    <w:rsid w:val="00F37D4B"/>
    <w:rsid w:val="00F37FEE"/>
    <w:rsid w:val="00F4118A"/>
    <w:rsid w:val="00F41896"/>
    <w:rsid w:val="00F443D7"/>
    <w:rsid w:val="00F46717"/>
    <w:rsid w:val="00F55CFD"/>
    <w:rsid w:val="00F6097D"/>
    <w:rsid w:val="00F63B93"/>
    <w:rsid w:val="00F6440F"/>
    <w:rsid w:val="00F6500C"/>
    <w:rsid w:val="00F71990"/>
    <w:rsid w:val="00F758EB"/>
    <w:rsid w:val="00F77B6D"/>
    <w:rsid w:val="00F77BD9"/>
    <w:rsid w:val="00F816A9"/>
    <w:rsid w:val="00F827C5"/>
    <w:rsid w:val="00F83629"/>
    <w:rsid w:val="00F87B5D"/>
    <w:rsid w:val="00F97382"/>
    <w:rsid w:val="00FA03CA"/>
    <w:rsid w:val="00FA3DA1"/>
    <w:rsid w:val="00FA458F"/>
    <w:rsid w:val="00FA4DC9"/>
    <w:rsid w:val="00FB08ED"/>
    <w:rsid w:val="00FB286B"/>
    <w:rsid w:val="00FC16BC"/>
    <w:rsid w:val="00FC2DCE"/>
    <w:rsid w:val="00FC2EDB"/>
    <w:rsid w:val="00FD039C"/>
    <w:rsid w:val="00FE1F75"/>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359">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3868212">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3746391">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7188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141512">
      <w:bodyDiv w:val="1"/>
      <w:marLeft w:val="0"/>
      <w:marRight w:val="0"/>
      <w:marTop w:val="0"/>
      <w:marBottom w:val="0"/>
      <w:divBdr>
        <w:top w:val="none" w:sz="0" w:space="0" w:color="auto"/>
        <w:left w:val="none" w:sz="0" w:space="0" w:color="auto"/>
        <w:bottom w:val="none" w:sz="0" w:space="0" w:color="auto"/>
        <w:right w:val="none" w:sz="0" w:space="0" w:color="auto"/>
      </w:divBdr>
    </w:div>
    <w:div w:id="274561484">
      <w:bodyDiv w:val="1"/>
      <w:marLeft w:val="0"/>
      <w:marRight w:val="0"/>
      <w:marTop w:val="0"/>
      <w:marBottom w:val="0"/>
      <w:divBdr>
        <w:top w:val="none" w:sz="0" w:space="0" w:color="auto"/>
        <w:left w:val="none" w:sz="0" w:space="0" w:color="auto"/>
        <w:bottom w:val="none" w:sz="0" w:space="0" w:color="auto"/>
        <w:right w:val="none" w:sz="0" w:space="0" w:color="auto"/>
      </w:divBdr>
    </w:div>
    <w:div w:id="274947403">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678296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2800651">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320932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80654236">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294258">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0067171">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3902811">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2861906">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641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802523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445051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782068771">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17455241">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34275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966729">
      <w:bodyDiv w:val="1"/>
      <w:marLeft w:val="0"/>
      <w:marRight w:val="0"/>
      <w:marTop w:val="0"/>
      <w:marBottom w:val="0"/>
      <w:divBdr>
        <w:top w:val="none" w:sz="0" w:space="0" w:color="auto"/>
        <w:left w:val="none" w:sz="0" w:space="0" w:color="auto"/>
        <w:bottom w:val="none" w:sz="0" w:space="0" w:color="auto"/>
        <w:right w:val="none" w:sz="0" w:space="0" w:color="auto"/>
      </w:divBdr>
    </w:div>
    <w:div w:id="847211011">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667673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1744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09460330">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862524">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542508">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8553397">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08282820">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795796">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2234906">
      <w:bodyDiv w:val="1"/>
      <w:marLeft w:val="0"/>
      <w:marRight w:val="0"/>
      <w:marTop w:val="0"/>
      <w:marBottom w:val="0"/>
      <w:divBdr>
        <w:top w:val="none" w:sz="0" w:space="0" w:color="auto"/>
        <w:left w:val="none" w:sz="0" w:space="0" w:color="auto"/>
        <w:bottom w:val="none" w:sz="0" w:space="0" w:color="auto"/>
        <w:right w:val="none" w:sz="0" w:space="0" w:color="auto"/>
      </w:divBdr>
    </w:div>
    <w:div w:id="1252354857">
      <w:bodyDiv w:val="1"/>
      <w:marLeft w:val="0"/>
      <w:marRight w:val="0"/>
      <w:marTop w:val="0"/>
      <w:marBottom w:val="0"/>
      <w:divBdr>
        <w:top w:val="none" w:sz="0" w:space="0" w:color="auto"/>
        <w:left w:val="none" w:sz="0" w:space="0" w:color="auto"/>
        <w:bottom w:val="none" w:sz="0" w:space="0" w:color="auto"/>
        <w:right w:val="none" w:sz="0" w:space="0" w:color="auto"/>
      </w:divBdr>
    </w:div>
    <w:div w:id="1260062709">
      <w:bodyDiv w:val="1"/>
      <w:marLeft w:val="0"/>
      <w:marRight w:val="0"/>
      <w:marTop w:val="0"/>
      <w:marBottom w:val="0"/>
      <w:divBdr>
        <w:top w:val="none" w:sz="0" w:space="0" w:color="auto"/>
        <w:left w:val="none" w:sz="0" w:space="0" w:color="auto"/>
        <w:bottom w:val="none" w:sz="0" w:space="0" w:color="auto"/>
        <w:right w:val="none" w:sz="0" w:space="0" w:color="auto"/>
      </w:divBdr>
    </w:div>
    <w:div w:id="1265726650">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25626166">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30209339">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860703">
      <w:bodyDiv w:val="1"/>
      <w:marLeft w:val="0"/>
      <w:marRight w:val="0"/>
      <w:marTop w:val="0"/>
      <w:marBottom w:val="0"/>
      <w:divBdr>
        <w:top w:val="none" w:sz="0" w:space="0" w:color="auto"/>
        <w:left w:val="none" w:sz="0" w:space="0" w:color="auto"/>
        <w:bottom w:val="none" w:sz="0" w:space="0" w:color="auto"/>
        <w:right w:val="none" w:sz="0" w:space="0" w:color="auto"/>
      </w:divBdr>
    </w:div>
    <w:div w:id="1418869319">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30010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405962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6704056">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2956028">
      <w:bodyDiv w:val="1"/>
      <w:marLeft w:val="0"/>
      <w:marRight w:val="0"/>
      <w:marTop w:val="0"/>
      <w:marBottom w:val="0"/>
      <w:divBdr>
        <w:top w:val="none" w:sz="0" w:space="0" w:color="auto"/>
        <w:left w:val="none" w:sz="0" w:space="0" w:color="auto"/>
        <w:bottom w:val="none" w:sz="0" w:space="0" w:color="auto"/>
        <w:right w:val="none" w:sz="0" w:space="0" w:color="auto"/>
      </w:divBdr>
    </w:div>
    <w:div w:id="1555462092">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107460">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303652">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663064">
      <w:bodyDiv w:val="1"/>
      <w:marLeft w:val="0"/>
      <w:marRight w:val="0"/>
      <w:marTop w:val="0"/>
      <w:marBottom w:val="0"/>
      <w:divBdr>
        <w:top w:val="none" w:sz="0" w:space="0" w:color="auto"/>
        <w:left w:val="none" w:sz="0" w:space="0" w:color="auto"/>
        <w:bottom w:val="none" w:sz="0" w:space="0" w:color="auto"/>
        <w:right w:val="none" w:sz="0" w:space="0" w:color="auto"/>
      </w:divBdr>
    </w:div>
    <w:div w:id="1695615770">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07422">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2777283">
      <w:bodyDiv w:val="1"/>
      <w:marLeft w:val="0"/>
      <w:marRight w:val="0"/>
      <w:marTop w:val="0"/>
      <w:marBottom w:val="0"/>
      <w:divBdr>
        <w:top w:val="none" w:sz="0" w:space="0" w:color="auto"/>
        <w:left w:val="none" w:sz="0" w:space="0" w:color="auto"/>
        <w:bottom w:val="none" w:sz="0" w:space="0" w:color="auto"/>
        <w:right w:val="none" w:sz="0" w:space="0" w:color="auto"/>
      </w:divBdr>
    </w:div>
    <w:div w:id="1756900298">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859669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613724">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525701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7192417">
      <w:bodyDiv w:val="1"/>
      <w:marLeft w:val="0"/>
      <w:marRight w:val="0"/>
      <w:marTop w:val="0"/>
      <w:marBottom w:val="0"/>
      <w:divBdr>
        <w:top w:val="none" w:sz="0" w:space="0" w:color="auto"/>
        <w:left w:val="none" w:sz="0" w:space="0" w:color="auto"/>
        <w:bottom w:val="none" w:sz="0" w:space="0" w:color="auto"/>
        <w:right w:val="none" w:sz="0" w:space="0" w:color="auto"/>
      </w:divBdr>
    </w:div>
    <w:div w:id="2039620807">
      <w:bodyDiv w:val="1"/>
      <w:marLeft w:val="0"/>
      <w:marRight w:val="0"/>
      <w:marTop w:val="0"/>
      <w:marBottom w:val="0"/>
      <w:divBdr>
        <w:top w:val="none" w:sz="0" w:space="0" w:color="auto"/>
        <w:left w:val="none" w:sz="0" w:space="0" w:color="auto"/>
        <w:bottom w:val="none" w:sz="0" w:space="0" w:color="auto"/>
        <w:right w:val="none" w:sz="0" w:space="0" w:color="auto"/>
      </w:divBdr>
    </w:div>
    <w:div w:id="2041781924">
      <w:bodyDiv w:val="1"/>
      <w:marLeft w:val="0"/>
      <w:marRight w:val="0"/>
      <w:marTop w:val="0"/>
      <w:marBottom w:val="0"/>
      <w:divBdr>
        <w:top w:val="none" w:sz="0" w:space="0" w:color="auto"/>
        <w:left w:val="none" w:sz="0" w:space="0" w:color="auto"/>
        <w:bottom w:val="none" w:sz="0" w:space="0" w:color="auto"/>
        <w:right w:val="none" w:sz="0" w:space="0" w:color="auto"/>
      </w:divBdr>
    </w:div>
    <w:div w:id="205045241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3551992">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5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TS36321</b:Tag>
    <b:SourceType>ConferenceProceedings</b:SourceType>
    <b:Guid>{E1E66C42-2F02-4417-8E7A-6310D941D54A}</b:Guid>
    <b:Title>TS 36.321, Evolved Universal Terrestrial Radio Access (E-UTRA); Medium Access Control (MAC); Protocol specification</b:Title>
    <b:RefOrder>2</b:RefOrder>
  </b:Source>
  <b:Source>
    <b:Tag>105V2XNotes</b:Tag>
    <b:SourceType>ConferenceProceedings</b:SourceType>
    <b:Guid>{205D3344-869D-4120-9944-1A3FE9BE9851}</b:Guid>
    <b:Title>RAN2#105, NR V2X: Chairman Notes</b:Title>
    <b:RefOrder>1</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78ABDB8-6377-44CF-A866-D850A946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3</Pages>
  <Words>1139</Words>
  <Characters>5842</Characters>
  <Application>Microsoft Office Word</Application>
  <DocSecurity>0</DocSecurity>
  <Lines>96</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57</cp:revision>
  <dcterms:created xsi:type="dcterms:W3CDTF">2018-10-30T22:51:00Z</dcterms:created>
  <dcterms:modified xsi:type="dcterms:W3CDTF">2019-05-03T02:12:00Z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d0394fd4-e592-49db-be13-059d129729b0</vt:lpwstr>
  </property>
  <property fmtid="{D5CDD505-2E9C-101B-9397-08002B2CF9AE}" pid="4" name="CTP_BU">
    <vt:lpwstr>NA</vt:lpwstr>
  </property>
  <property fmtid="{D5CDD505-2E9C-101B-9397-08002B2CF9AE}" pid="5" name="CTP_TimeStamp">
    <vt:lpwstr>2019-05-03 02:12:39Z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