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37450728"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E5DBE">
        <w:rPr>
          <w:sz w:val="24"/>
          <w:lang w:val="en-GB" w:eastAsia="zh-CN"/>
        </w:rPr>
        <w:t>6</w:t>
      </w:r>
      <w:r w:rsidRPr="00EE6198">
        <w:rPr>
          <w:sz w:val="24"/>
          <w:lang w:val="en-GB" w:eastAsia="zh-CN"/>
        </w:rPr>
        <w:tab/>
      </w:r>
      <w:r w:rsidR="00C97AD4" w:rsidRPr="00C97AD4">
        <w:rPr>
          <w:sz w:val="24"/>
          <w:lang w:val="en-GB" w:eastAsia="zh-CN"/>
        </w:rPr>
        <w:t>R2-1906432</w:t>
      </w:r>
    </w:p>
    <w:p w14:paraId="7D109D32" w14:textId="336D040B" w:rsidR="00B24821" w:rsidRPr="00B24821" w:rsidRDefault="00EE5DBE" w:rsidP="00B24821">
      <w:pPr>
        <w:pStyle w:val="Header"/>
        <w:tabs>
          <w:tab w:val="right" w:pos="9639"/>
        </w:tabs>
        <w:rPr>
          <w:sz w:val="24"/>
          <w:lang w:val="en-GB" w:eastAsia="ko-KR"/>
        </w:rPr>
      </w:pPr>
      <w:r>
        <w:rPr>
          <w:sz w:val="24"/>
          <w:lang w:val="en-GB" w:eastAsia="ko-KR"/>
        </w:rPr>
        <w:t>Reno</w:t>
      </w:r>
      <w:r w:rsidR="00B24821" w:rsidRPr="00B24821">
        <w:rPr>
          <w:sz w:val="24"/>
          <w:lang w:val="en-GB" w:eastAsia="ko-KR"/>
        </w:rPr>
        <w:t xml:space="preserve">, </w:t>
      </w:r>
      <w:r>
        <w:rPr>
          <w:sz w:val="24"/>
          <w:lang w:val="en-GB" w:eastAsia="ko-KR"/>
        </w:rPr>
        <w:t>USA</w:t>
      </w:r>
      <w:r w:rsidR="00374DDD">
        <w:rPr>
          <w:sz w:val="24"/>
          <w:lang w:val="en-GB" w:eastAsia="ko-KR"/>
        </w:rPr>
        <w:t>, 13</w:t>
      </w:r>
      <w:r w:rsidR="00B24821" w:rsidRPr="00B24821">
        <w:rPr>
          <w:sz w:val="24"/>
          <w:vertAlign w:val="superscript"/>
          <w:lang w:val="en-GB" w:eastAsia="ko-KR"/>
        </w:rPr>
        <w:t>th</w:t>
      </w:r>
      <w:r w:rsidR="00374DDD">
        <w:rPr>
          <w:sz w:val="24"/>
          <w:lang w:val="en-GB" w:eastAsia="ko-KR"/>
        </w:rPr>
        <w:t xml:space="preserve"> – 17</w:t>
      </w:r>
      <w:r w:rsidR="00B24821" w:rsidRPr="00B24821">
        <w:rPr>
          <w:sz w:val="24"/>
          <w:vertAlign w:val="superscript"/>
          <w:lang w:val="en-GB" w:eastAsia="ko-KR"/>
        </w:rPr>
        <w:t>th</w:t>
      </w:r>
      <w:r w:rsidR="00B24821" w:rsidRPr="00B24821">
        <w:rPr>
          <w:sz w:val="24"/>
          <w:lang w:val="en-GB" w:eastAsia="ko-KR"/>
        </w:rPr>
        <w:t xml:space="preserve"> </w:t>
      </w:r>
      <w:r>
        <w:rPr>
          <w:sz w:val="24"/>
          <w:lang w:val="en-GB" w:eastAsia="ko-KR"/>
        </w:rPr>
        <w:t>May</w:t>
      </w:r>
      <w:r w:rsidR="00B24821" w:rsidRPr="00B24821">
        <w:rPr>
          <w:sz w:val="24"/>
          <w:lang w:val="en-GB" w:eastAsia="ko-KR"/>
        </w:rPr>
        <w:t xml:space="preserve"> 2019</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363E0953"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4864A7">
        <w:rPr>
          <w:rFonts w:eastAsia="SimSun" w:cs="Arial"/>
          <w:b/>
          <w:bCs/>
          <w:sz w:val="24"/>
          <w:lang w:val="en-US"/>
        </w:rPr>
        <w:t>11.4.7</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418AB3B0"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4864A7">
        <w:rPr>
          <w:rFonts w:ascii="Arial" w:hAnsi="Arial" w:cs="Arial"/>
          <w:b/>
          <w:bCs/>
          <w:sz w:val="24"/>
        </w:rPr>
        <w:t>Cross-RAT scheduling for NR V2X SL</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055297F1" w:rsidR="00E67A80"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t>During RAN2</w:t>
      </w:r>
      <w:r w:rsidR="0019239B">
        <w:rPr>
          <w:rFonts w:ascii="Times New Roman" w:hAnsi="Times New Roman"/>
          <w:sz w:val="20"/>
          <w:szCs w:val="20"/>
          <w:lang w:eastAsia="zh-CN"/>
        </w:rPr>
        <w:t>#</w:t>
      </w:r>
      <w:r>
        <w:rPr>
          <w:rFonts w:ascii="Times New Roman" w:hAnsi="Times New Roman"/>
          <w:sz w:val="20"/>
          <w:szCs w:val="20"/>
          <w:lang w:eastAsia="zh-CN"/>
        </w:rPr>
        <w:t>105</w:t>
      </w:r>
      <w:r w:rsidR="0019239B">
        <w:rPr>
          <w:rFonts w:ascii="Times New Roman" w:hAnsi="Times New Roman"/>
          <w:sz w:val="20"/>
          <w:szCs w:val="20"/>
          <w:lang w:eastAsia="zh-CN"/>
        </w:rPr>
        <w:t xml:space="preserve">bis, there was </w:t>
      </w:r>
      <w:r>
        <w:rPr>
          <w:rFonts w:ascii="Times New Roman" w:hAnsi="Times New Roman"/>
          <w:sz w:val="20"/>
          <w:szCs w:val="20"/>
          <w:lang w:eastAsia="zh-CN"/>
        </w:rPr>
        <w:t>discussion on the cross RAT scheduling and resource allocation aspect for NR V2X. Specifically, how LTE Uu can be used to schedule resource for transmission over NR sidelink and vice versa was discussed, leading to th</w:t>
      </w:r>
      <w:r w:rsidR="00F2512E">
        <w:rPr>
          <w:rFonts w:ascii="Times New Roman" w:hAnsi="Times New Roman"/>
          <w:sz w:val="20"/>
          <w:szCs w:val="20"/>
          <w:lang w:eastAsia="zh-CN"/>
        </w:rPr>
        <w:t>e following set of agreements</w:t>
      </w:r>
      <w:r>
        <w:rPr>
          <w:rFonts w:ascii="Times New Roman" w:hAnsi="Times New Roman"/>
          <w:sz w:val="20"/>
          <w:szCs w:val="20"/>
          <w:lang w:eastAsia="zh-CN"/>
        </w:rPr>
        <w:t>:</w:t>
      </w:r>
    </w:p>
    <w:p w14:paraId="25A84E70" w14:textId="77777777" w:rsidR="001F6AD1" w:rsidRDefault="001F6AD1"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p>
    <w:p w14:paraId="5C96115E"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1F6AD1">
        <w:rPr>
          <w:rFonts w:ascii="Arial" w:eastAsia="MS Mincho" w:hAnsi="Arial"/>
          <w:sz w:val="20"/>
          <w:szCs w:val="24"/>
          <w:lang w:val="en-GB" w:eastAsia="en-GB"/>
        </w:rPr>
        <w:t xml:space="preserve">Agreements on inter-RAT resource allocation: </w:t>
      </w:r>
    </w:p>
    <w:p w14:paraId="04252289"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sz w:val="20"/>
          <w:szCs w:val="24"/>
          <w:lang w:val="en-GB" w:eastAsia="en-GB"/>
        </w:rPr>
        <w:t xml:space="preserve">1: </w:t>
      </w:r>
      <w:r w:rsidRPr="001F6AD1">
        <w:rPr>
          <w:rFonts w:ascii="Arial" w:eastAsia="MS Mincho" w:hAnsi="Arial"/>
          <w:sz w:val="20"/>
          <w:szCs w:val="24"/>
          <w:lang w:val="en-GB" w:eastAsia="en-GB"/>
        </w:rPr>
        <w:tab/>
      </w:r>
      <w:r w:rsidRPr="001F6AD1">
        <w:rPr>
          <w:rFonts w:ascii="Arial" w:eastAsia="MS Mincho" w:hAnsi="Arial"/>
          <w:noProof/>
          <w:sz w:val="20"/>
          <w:szCs w:val="24"/>
          <w:lang w:val="en-GB" w:eastAsia="en-GB"/>
        </w:rPr>
        <w:t>New system information block type should be designed to support NR sidelink Tx and Rx resource pool configuration via LTE Uu. New system information will be defined as container (OCTET STRING) and actual information will follow what is defined in NR RRC.</w:t>
      </w:r>
    </w:p>
    <w:p w14:paraId="1FAA9E04"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2:</w:t>
      </w:r>
      <w:r w:rsidRPr="001F6AD1">
        <w:rPr>
          <w:rFonts w:ascii="Arial" w:eastAsia="MS Mincho" w:hAnsi="Arial"/>
          <w:noProof/>
          <w:sz w:val="20"/>
          <w:szCs w:val="24"/>
          <w:lang w:val="en-GB" w:eastAsia="en-GB"/>
        </w:rPr>
        <w:tab/>
        <w:t>eNB should be able to configure the NR V2X mode 2 sidelink resource pool or type 1 configured grant for NR V2X sidelink communication via dedicated signalling.</w:t>
      </w:r>
    </w:p>
    <w:p w14:paraId="6F7CB46D"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3:</w:t>
      </w:r>
      <w:r w:rsidRPr="001F6AD1">
        <w:rPr>
          <w:rFonts w:ascii="Arial" w:eastAsia="MS Mincho" w:hAnsi="Arial"/>
          <w:noProof/>
          <w:sz w:val="20"/>
          <w:szCs w:val="24"/>
          <w:lang w:val="en-GB" w:eastAsia="en-GB"/>
        </w:rPr>
        <w:tab/>
        <w:t>NR Sidelink UE information and/or NR UE Assistance information will be transmitted as container (OCTET STRING) and actual information will be defined in NR RRC.</w:t>
      </w:r>
    </w:p>
    <w:p w14:paraId="1E22A38C"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4:</w:t>
      </w:r>
      <w:r w:rsidRPr="001F6AD1">
        <w:rPr>
          <w:rFonts w:ascii="Arial" w:eastAsia="MS Mincho" w:hAnsi="Arial"/>
          <w:noProof/>
          <w:sz w:val="20"/>
          <w:szCs w:val="24"/>
          <w:lang w:val="en-GB" w:eastAsia="en-GB"/>
        </w:rPr>
        <w:tab/>
        <w:t>Separate system information block should be designed to support LTE resource pool configuration via NR Uu. It will be defined as a container (OCTET STRING) and actual information follows what defined in LTE RRC.</w:t>
      </w:r>
    </w:p>
    <w:p w14:paraId="31E905B5" w14:textId="77777777" w:rsidR="001F6AD1" w:rsidRPr="001F6AD1" w:rsidRDefault="001F6AD1" w:rsidP="001F6AD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1F6AD1">
        <w:rPr>
          <w:rFonts w:ascii="Arial" w:eastAsia="MS Mincho" w:hAnsi="Arial"/>
          <w:noProof/>
          <w:sz w:val="20"/>
          <w:szCs w:val="24"/>
          <w:lang w:val="en-GB" w:eastAsia="en-GB"/>
        </w:rPr>
        <w:t xml:space="preserve">5: </w:t>
      </w:r>
      <w:r w:rsidRPr="001F6AD1">
        <w:rPr>
          <w:rFonts w:ascii="Arial" w:eastAsia="MS Mincho" w:hAnsi="Arial"/>
          <w:noProof/>
          <w:sz w:val="20"/>
          <w:szCs w:val="24"/>
          <w:lang w:val="en-GB" w:eastAsia="en-GB"/>
        </w:rPr>
        <w:tab/>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6C445650" w14:textId="77777777" w:rsidR="008D28E8"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44D5D7B5" w14:textId="0031ACF9" w:rsidR="001F6AD1" w:rsidRPr="00C11F0A" w:rsidRDefault="008D28E8"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One reaming aspect that was left as FFS from the last meeting is whether dynamic resource scheduling in a cross-RAT manner is to be supported. In this contribution, we analyze this aspect and present our view.</w:t>
      </w:r>
    </w:p>
    <w:p w14:paraId="63BA8D55" w14:textId="77777777" w:rsidR="00100A13" w:rsidRPr="00EA68B2" w:rsidRDefault="000760CC" w:rsidP="00934A52">
      <w:pPr>
        <w:pStyle w:val="Tdoc"/>
      </w:pPr>
      <w:r>
        <w:t>Discussion</w:t>
      </w:r>
    </w:p>
    <w:p w14:paraId="5424CCC2" w14:textId="77777777" w:rsidR="00A3213E" w:rsidRDefault="00A3213E" w:rsidP="00305CD5">
      <w:pPr>
        <w:rPr>
          <w:rFonts w:ascii="Times New Roman" w:hAnsi="Times New Roman"/>
          <w:sz w:val="20"/>
          <w:lang w:val="en-GB" w:eastAsia="zh-CN"/>
        </w:rPr>
      </w:pPr>
    </w:p>
    <w:p w14:paraId="24A3A49F" w14:textId="54585CCE" w:rsidR="00D7292A" w:rsidRDefault="008D28E8" w:rsidP="00E67A80">
      <w:pPr>
        <w:rPr>
          <w:rFonts w:ascii="Times New Roman" w:hAnsi="Times New Roman"/>
          <w:sz w:val="20"/>
          <w:lang w:val="en-GB" w:eastAsia="zh-CN"/>
        </w:rPr>
      </w:pPr>
      <w:r>
        <w:rPr>
          <w:rFonts w:ascii="Times New Roman" w:hAnsi="Times New Roman"/>
          <w:sz w:val="20"/>
          <w:lang w:val="en-GB" w:eastAsia="zh-CN"/>
        </w:rPr>
        <w:t xml:space="preserve">Based on the WID scope, the main use case for such cross-RAT scheduling extends to semi-static resource configurations. Specifically, for NR Mode 1, the configuration is for Type 1 configured grant, limited to time-frequency resources and periodicity, without additional functions and procedures. Therefore, for the case of </w:t>
      </w:r>
      <w:r w:rsidR="00D7292A">
        <w:rPr>
          <w:rFonts w:ascii="Times New Roman" w:hAnsi="Times New Roman"/>
          <w:sz w:val="20"/>
          <w:lang w:val="en-GB" w:eastAsia="zh-CN"/>
        </w:rPr>
        <w:t>NR</w:t>
      </w:r>
      <w:r>
        <w:rPr>
          <w:rFonts w:ascii="Times New Roman" w:hAnsi="Times New Roman"/>
          <w:sz w:val="20"/>
          <w:lang w:val="en-GB" w:eastAsia="zh-CN"/>
        </w:rPr>
        <w:t xml:space="preserve"> SL control by </w:t>
      </w:r>
      <w:r w:rsidR="00D7292A">
        <w:rPr>
          <w:rFonts w:ascii="Times New Roman" w:hAnsi="Times New Roman"/>
          <w:sz w:val="20"/>
          <w:lang w:val="en-GB" w:eastAsia="zh-CN"/>
        </w:rPr>
        <w:t>LTE</w:t>
      </w:r>
      <w:r>
        <w:rPr>
          <w:rFonts w:ascii="Times New Roman" w:hAnsi="Times New Roman"/>
          <w:sz w:val="20"/>
          <w:lang w:val="en-GB" w:eastAsia="zh-CN"/>
        </w:rPr>
        <w:t xml:space="preserve"> Uu, the main use case for mode 1 is periodic traffic, in which case the all the relevant information regarding periodicity and QoS can be indicated using </w:t>
      </w:r>
      <w:r w:rsidR="00D7292A">
        <w:rPr>
          <w:rFonts w:ascii="Times New Roman" w:hAnsi="Times New Roman"/>
          <w:sz w:val="20"/>
          <w:lang w:val="en-GB" w:eastAsia="zh-CN"/>
        </w:rPr>
        <w:t>the NR Sidelink UE information and/or NR UE assistance information. While we have to define the exact scope and details for the IEs themselves, we assume that at least information relevant for scheduling the SL grant can be indicated therein. Then, the question of whether additional information in the form of inter-RAT BSR also needs to be defined. While s</w:t>
      </w:r>
      <w:r w:rsidR="00D7292A" w:rsidRPr="00D7292A">
        <w:rPr>
          <w:rFonts w:ascii="Times New Roman" w:hAnsi="Times New Roman"/>
          <w:sz w:val="20"/>
          <w:lang w:val="en-GB" w:eastAsia="zh-CN"/>
        </w:rPr>
        <w:t xml:space="preserve">ome </w:t>
      </w:r>
      <w:r w:rsidR="00D7292A">
        <w:rPr>
          <w:rFonts w:ascii="Times New Roman" w:hAnsi="Times New Roman"/>
          <w:sz w:val="20"/>
          <w:lang w:val="en-GB" w:eastAsia="zh-CN"/>
        </w:rPr>
        <w:t xml:space="preserve">companies </w:t>
      </w:r>
      <w:r w:rsidR="00D7292A" w:rsidRPr="00D7292A">
        <w:rPr>
          <w:rFonts w:ascii="Times New Roman" w:hAnsi="Times New Roman"/>
          <w:sz w:val="20"/>
          <w:lang w:val="en-GB" w:eastAsia="zh-CN"/>
        </w:rPr>
        <w:t>argue</w:t>
      </w:r>
      <w:r w:rsidR="00D7292A">
        <w:rPr>
          <w:rFonts w:ascii="Times New Roman" w:hAnsi="Times New Roman"/>
          <w:sz w:val="20"/>
          <w:lang w:val="en-GB" w:eastAsia="zh-CN"/>
        </w:rPr>
        <w:t>d</w:t>
      </w:r>
      <w:r w:rsidR="00D7292A" w:rsidRPr="00D7292A">
        <w:rPr>
          <w:rFonts w:ascii="Times New Roman" w:hAnsi="Times New Roman"/>
          <w:sz w:val="20"/>
          <w:lang w:val="en-GB" w:eastAsia="zh-CN"/>
        </w:rPr>
        <w:t xml:space="preserve"> that LTE buffer status report should also contain NR buffer status information in addition to LTE buffer status information</w:t>
      </w:r>
      <w:r w:rsidR="00D7292A">
        <w:rPr>
          <w:rFonts w:ascii="Times New Roman" w:hAnsi="Times New Roman"/>
          <w:sz w:val="20"/>
          <w:lang w:val="en-GB" w:eastAsia="zh-CN"/>
        </w:rPr>
        <w:t>, we do not think this is needed</w:t>
      </w:r>
      <w:r w:rsidR="00D7292A" w:rsidRPr="00D7292A">
        <w:rPr>
          <w:rFonts w:ascii="Times New Roman" w:hAnsi="Times New Roman"/>
          <w:sz w:val="20"/>
          <w:lang w:val="en-GB" w:eastAsia="zh-CN"/>
        </w:rPr>
        <w:t xml:space="preserve">. </w:t>
      </w:r>
      <w:r w:rsidR="00D7292A">
        <w:rPr>
          <w:rFonts w:ascii="Times New Roman" w:hAnsi="Times New Roman"/>
          <w:sz w:val="20"/>
          <w:lang w:val="en-GB" w:eastAsia="zh-CN"/>
        </w:rPr>
        <w:t>C</w:t>
      </w:r>
      <w:r w:rsidR="00D7292A" w:rsidRPr="00D7292A">
        <w:rPr>
          <w:rFonts w:ascii="Times New Roman" w:hAnsi="Times New Roman"/>
          <w:sz w:val="20"/>
          <w:lang w:val="en-GB" w:eastAsia="zh-CN"/>
        </w:rPr>
        <w:t>onsidering dynamic cross-RAT scheduling is not supported and type 1 configured grant is configured according to periodic traffic pattern, we do not see a real need of any MAC specification change.</w:t>
      </w:r>
      <w:r w:rsidR="00D7292A">
        <w:rPr>
          <w:rFonts w:ascii="Times New Roman" w:hAnsi="Times New Roman"/>
          <w:sz w:val="20"/>
          <w:lang w:val="en-GB" w:eastAsia="zh-CN"/>
        </w:rPr>
        <w:t xml:space="preserve"> </w:t>
      </w:r>
    </w:p>
    <w:p w14:paraId="1E440B64" w14:textId="77777777" w:rsidR="005013B7" w:rsidRDefault="005013B7" w:rsidP="00E67A80">
      <w:pPr>
        <w:rPr>
          <w:rFonts w:ascii="Times New Roman" w:hAnsi="Times New Roman"/>
          <w:sz w:val="20"/>
          <w:lang w:val="en-GB" w:eastAsia="zh-CN"/>
        </w:rPr>
      </w:pPr>
    </w:p>
    <w:p w14:paraId="552DEA50" w14:textId="76425762" w:rsidR="00395DCA" w:rsidRDefault="00D7292A" w:rsidP="005013B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5013B7">
        <w:rPr>
          <w:rFonts w:ascii="Times New Roman" w:eastAsia="Times New Roman" w:hAnsi="Times New Roman"/>
          <w:b/>
          <w:bCs/>
          <w:sz w:val="20"/>
          <w:szCs w:val="20"/>
          <w:u w:val="single"/>
          <w:lang w:val="en-GB" w:eastAsia="zh-CN"/>
        </w:rPr>
        <w:t>1:</w:t>
      </w:r>
      <w:r w:rsidR="005013B7">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w:t>
      </w:r>
      <w:r w:rsidR="00BF2A2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005013B7" w:rsidRPr="005013B7">
        <w:rPr>
          <w:rFonts w:ascii="Times New Roman" w:eastAsia="Times New Roman" w:hAnsi="Times New Roman"/>
          <w:bCs/>
          <w:i/>
          <w:sz w:val="20"/>
          <w:szCs w:val="20"/>
          <w:lang w:val="en-GB" w:eastAsia="zh-CN"/>
        </w:rPr>
        <w:t>.</w:t>
      </w:r>
    </w:p>
    <w:p w14:paraId="71A0D093" w14:textId="77777777" w:rsidR="005013B7" w:rsidRDefault="005013B7" w:rsidP="005013B7">
      <w:pPr>
        <w:ind w:left="1350" w:hanging="1350"/>
        <w:rPr>
          <w:rFonts w:ascii="Times New Roman" w:hAnsi="Times New Roman"/>
          <w:sz w:val="20"/>
          <w:lang w:val="en-GB" w:eastAsia="zh-CN"/>
        </w:rPr>
      </w:pPr>
    </w:p>
    <w:p w14:paraId="33D91F45" w14:textId="4D0B45CE" w:rsidR="00D7292A" w:rsidRDefault="00D7292A" w:rsidP="00E67A80">
      <w:pPr>
        <w:rPr>
          <w:rFonts w:ascii="Times New Roman" w:hAnsi="Times New Roman"/>
          <w:sz w:val="20"/>
          <w:lang w:val="en-GB" w:eastAsia="zh-CN"/>
        </w:rPr>
      </w:pPr>
      <w:r>
        <w:rPr>
          <w:rFonts w:ascii="Times New Roman" w:hAnsi="Times New Roman"/>
          <w:sz w:val="20"/>
          <w:lang w:val="en-GB" w:eastAsia="zh-CN"/>
        </w:rPr>
        <w:t>Similarly, for the case of LTE SL scheduling by NR Uu, specifically for mode 3 SPS scheduling and whether RRC based or DCI based activation/deactivation is considered, the discussions are still ongoing in RAN1 and the following agreements were made in the last RAN1 meeting []:</w:t>
      </w:r>
    </w:p>
    <w:p w14:paraId="02B3F6AF" w14:textId="77777777" w:rsidR="00D7292A" w:rsidRDefault="00D7292A" w:rsidP="00E67A80">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D7292A" w14:paraId="0C70F729" w14:textId="77777777" w:rsidTr="00D7292A">
        <w:tc>
          <w:tcPr>
            <w:tcW w:w="9629" w:type="dxa"/>
          </w:tcPr>
          <w:p w14:paraId="61654A77" w14:textId="77777777" w:rsidR="00D7292A" w:rsidRPr="00D7292A" w:rsidRDefault="00D7292A" w:rsidP="00D7292A">
            <w:pPr>
              <w:spacing w:after="0" w:line="240" w:lineRule="auto"/>
              <w:contextualSpacing w:val="0"/>
              <w:rPr>
                <w:rFonts w:ascii="Times" w:eastAsia="Batang" w:hAnsi="Times"/>
                <w:b/>
                <w:sz w:val="20"/>
                <w:szCs w:val="20"/>
                <w:lang w:val="en-GB"/>
              </w:rPr>
            </w:pPr>
            <w:r w:rsidRPr="00D7292A">
              <w:rPr>
                <w:rFonts w:ascii="Times" w:eastAsia="Batang" w:hAnsi="Times"/>
                <w:sz w:val="20"/>
                <w:szCs w:val="20"/>
                <w:highlight w:val="green"/>
                <w:lang w:val="en-GB"/>
              </w:rPr>
              <w:t>Agreements</w:t>
            </w:r>
            <w:r w:rsidRPr="00D7292A">
              <w:rPr>
                <w:rFonts w:ascii="Times" w:eastAsia="Batang" w:hAnsi="Times"/>
                <w:b/>
                <w:sz w:val="20"/>
                <w:szCs w:val="20"/>
                <w:lang w:val="en-GB"/>
              </w:rPr>
              <w:t>:</w:t>
            </w:r>
          </w:p>
          <w:p w14:paraId="05E6A873" w14:textId="77777777" w:rsidR="00D7292A" w:rsidRPr="00D7292A" w:rsidRDefault="00D7292A" w:rsidP="00D7292A">
            <w:pPr>
              <w:spacing w:after="0" w:line="240" w:lineRule="auto"/>
              <w:contextualSpacing w:val="0"/>
              <w:rPr>
                <w:rFonts w:ascii="Times" w:eastAsia="Batang" w:hAnsi="Times"/>
                <w:sz w:val="20"/>
                <w:szCs w:val="20"/>
                <w:lang w:val="en-GB"/>
              </w:rPr>
            </w:pPr>
            <w:r w:rsidRPr="00D7292A">
              <w:rPr>
                <w:rFonts w:ascii="Times" w:eastAsia="Batang" w:hAnsi="Times"/>
                <w:sz w:val="20"/>
                <w:szCs w:val="20"/>
                <w:lang w:val="en-GB"/>
              </w:rPr>
              <w:lastRenderedPageBreak/>
              <w:t>Regarding RRC-based versus DCI-based activation/release of LTE sidelink SPS, RAN1 agrees to make the choice on the basis of at least:</w:t>
            </w:r>
          </w:p>
          <w:p w14:paraId="7CD908DC" w14:textId="77777777" w:rsidR="00D7292A" w:rsidRPr="00D7292A" w:rsidRDefault="00D7292A" w:rsidP="00D7292A">
            <w:pPr>
              <w:numPr>
                <w:ilvl w:val="0"/>
                <w:numId w:val="41"/>
              </w:numPr>
              <w:spacing w:after="120" w:line="240" w:lineRule="auto"/>
              <w:contextualSpacing w:val="0"/>
              <w:jc w:val="both"/>
              <w:rPr>
                <w:rFonts w:ascii="Times New Roman" w:eastAsia="Batang" w:hAnsi="Times New Roman"/>
                <w:sz w:val="20"/>
                <w:szCs w:val="20"/>
                <w:lang w:eastAsia="x-none"/>
              </w:rPr>
            </w:pPr>
            <w:r w:rsidRPr="00D7292A">
              <w:rPr>
                <w:rFonts w:ascii="Times New Roman" w:eastAsia="Batang" w:hAnsi="Times New Roman"/>
                <w:sz w:val="20"/>
                <w:szCs w:val="20"/>
                <w:lang w:eastAsia="x-none"/>
              </w:rPr>
              <w:t>Spec impact</w:t>
            </w:r>
          </w:p>
          <w:p w14:paraId="2D35CBE5" w14:textId="77777777" w:rsidR="00D7292A" w:rsidRPr="00D7292A" w:rsidRDefault="00D7292A" w:rsidP="00D7292A">
            <w:pPr>
              <w:numPr>
                <w:ilvl w:val="0"/>
                <w:numId w:val="41"/>
              </w:numPr>
              <w:spacing w:after="120" w:line="240" w:lineRule="auto"/>
              <w:contextualSpacing w:val="0"/>
              <w:jc w:val="both"/>
              <w:rPr>
                <w:rFonts w:ascii="Times New Roman" w:eastAsia="Batang" w:hAnsi="Times New Roman"/>
                <w:sz w:val="20"/>
                <w:szCs w:val="20"/>
                <w:lang w:eastAsia="x-none"/>
              </w:rPr>
            </w:pPr>
            <w:r w:rsidRPr="00D7292A">
              <w:rPr>
                <w:rFonts w:ascii="Times New Roman" w:eastAsia="Batang" w:hAnsi="Times New Roman"/>
                <w:sz w:val="20"/>
                <w:szCs w:val="20"/>
                <w:lang w:eastAsia="x-none"/>
              </w:rPr>
              <w:t>Flexibility</w:t>
            </w:r>
          </w:p>
          <w:p w14:paraId="03DBE04B" w14:textId="77777777" w:rsidR="00D7292A" w:rsidRPr="00D7292A" w:rsidRDefault="00D7292A" w:rsidP="00D7292A">
            <w:pPr>
              <w:numPr>
                <w:ilvl w:val="0"/>
                <w:numId w:val="41"/>
              </w:numPr>
              <w:spacing w:after="120" w:line="240" w:lineRule="auto"/>
              <w:contextualSpacing w:val="0"/>
              <w:jc w:val="both"/>
              <w:rPr>
                <w:rFonts w:ascii="Times New Roman" w:eastAsia="Batang" w:hAnsi="Times New Roman"/>
                <w:sz w:val="20"/>
                <w:szCs w:val="20"/>
                <w:lang w:eastAsia="x-none"/>
              </w:rPr>
            </w:pPr>
            <w:r w:rsidRPr="00D7292A">
              <w:rPr>
                <w:rFonts w:ascii="Times New Roman" w:eastAsia="Batang" w:hAnsi="Times New Roman"/>
                <w:sz w:val="20"/>
                <w:szCs w:val="20"/>
                <w:lang w:eastAsia="x-none"/>
              </w:rPr>
              <w:t>Performance, including latency</w:t>
            </w:r>
          </w:p>
          <w:p w14:paraId="25385764" w14:textId="77777777" w:rsidR="00D7292A" w:rsidRPr="00D7292A" w:rsidRDefault="00D7292A" w:rsidP="00D7292A">
            <w:pPr>
              <w:numPr>
                <w:ilvl w:val="0"/>
                <w:numId w:val="41"/>
              </w:numPr>
              <w:spacing w:after="120" w:line="240" w:lineRule="auto"/>
              <w:contextualSpacing w:val="0"/>
              <w:jc w:val="both"/>
              <w:rPr>
                <w:rFonts w:ascii="Times New Roman" w:eastAsia="Batang" w:hAnsi="Times New Roman"/>
                <w:sz w:val="20"/>
                <w:szCs w:val="20"/>
                <w:lang w:eastAsia="x-none"/>
              </w:rPr>
            </w:pPr>
            <w:r w:rsidRPr="00D7292A">
              <w:rPr>
                <w:rFonts w:ascii="Times New Roman" w:eastAsia="Batang" w:hAnsi="Times New Roman"/>
                <w:sz w:val="20"/>
                <w:szCs w:val="20"/>
                <w:lang w:eastAsia="x-none"/>
              </w:rPr>
              <w:t>Implementation complexity</w:t>
            </w:r>
          </w:p>
          <w:p w14:paraId="7D7D6F5E" w14:textId="77777777" w:rsidR="00D7292A" w:rsidRPr="00D7292A" w:rsidRDefault="00D7292A" w:rsidP="00D7292A">
            <w:pPr>
              <w:numPr>
                <w:ilvl w:val="0"/>
                <w:numId w:val="41"/>
              </w:numPr>
              <w:spacing w:after="120" w:line="240" w:lineRule="auto"/>
              <w:contextualSpacing w:val="0"/>
              <w:jc w:val="both"/>
              <w:rPr>
                <w:rFonts w:ascii="Times New Roman" w:eastAsia="Batang" w:hAnsi="Times New Roman"/>
                <w:sz w:val="20"/>
                <w:szCs w:val="20"/>
                <w:lang w:eastAsia="x-none"/>
              </w:rPr>
            </w:pPr>
            <w:r w:rsidRPr="00D7292A">
              <w:rPr>
                <w:rFonts w:ascii="Times New Roman" w:eastAsia="Batang" w:hAnsi="Times New Roman"/>
                <w:sz w:val="20"/>
                <w:szCs w:val="20"/>
                <w:lang w:eastAsia="x-none"/>
              </w:rPr>
              <w:t>Timing of the activation/deactivation</w:t>
            </w:r>
          </w:p>
          <w:p w14:paraId="072408C4" w14:textId="77777777" w:rsidR="00D7292A" w:rsidRDefault="00D7292A" w:rsidP="00E67A80">
            <w:pPr>
              <w:rPr>
                <w:rFonts w:ascii="Times New Roman" w:hAnsi="Times New Roman"/>
                <w:sz w:val="20"/>
                <w:lang w:val="en-GB" w:eastAsia="zh-CN"/>
              </w:rPr>
            </w:pPr>
          </w:p>
        </w:tc>
      </w:tr>
    </w:tbl>
    <w:p w14:paraId="4481CC73" w14:textId="77777777" w:rsidR="00D7292A" w:rsidRDefault="00D7292A" w:rsidP="00E67A80">
      <w:pPr>
        <w:rPr>
          <w:rFonts w:ascii="Times New Roman" w:hAnsi="Times New Roman"/>
          <w:sz w:val="20"/>
          <w:lang w:val="en-GB" w:eastAsia="zh-CN"/>
        </w:rPr>
      </w:pPr>
    </w:p>
    <w:p w14:paraId="2B917209" w14:textId="77777777" w:rsidR="00D7292A" w:rsidRDefault="00D7292A" w:rsidP="00E67A80">
      <w:pPr>
        <w:rPr>
          <w:rFonts w:ascii="Times New Roman" w:hAnsi="Times New Roman"/>
          <w:sz w:val="20"/>
          <w:lang w:val="en-GB" w:eastAsia="zh-CN"/>
        </w:rPr>
      </w:pPr>
    </w:p>
    <w:p w14:paraId="695A3968" w14:textId="4947AA2D" w:rsidR="00D7292A" w:rsidRDefault="00D7292A" w:rsidP="00E67A80">
      <w:pPr>
        <w:rPr>
          <w:rFonts w:ascii="Times New Roman" w:hAnsi="Times New Roman"/>
          <w:sz w:val="20"/>
          <w:lang w:val="en-GB" w:eastAsia="zh-CN"/>
        </w:rPr>
      </w:pPr>
      <w:r>
        <w:rPr>
          <w:rFonts w:ascii="Times New Roman" w:hAnsi="Times New Roman"/>
          <w:sz w:val="20"/>
          <w:lang w:val="en-GB" w:eastAsia="zh-CN"/>
        </w:rPr>
        <w:t>However, r</w:t>
      </w:r>
      <w:r w:rsidRPr="00D7292A">
        <w:rPr>
          <w:rFonts w:ascii="Times New Roman" w:hAnsi="Times New Roman"/>
          <w:sz w:val="20"/>
          <w:lang w:val="en-GB" w:eastAsia="zh-CN"/>
        </w:rPr>
        <w:t xml:space="preserve">egardless of which activation/deactivation mechanism is </w:t>
      </w:r>
      <w:r w:rsidR="00BF2A29">
        <w:rPr>
          <w:rFonts w:ascii="Times New Roman" w:hAnsi="Times New Roman"/>
          <w:sz w:val="20"/>
          <w:lang w:val="en-GB" w:eastAsia="zh-CN"/>
        </w:rPr>
        <w:t>ultimately decided to be used</w:t>
      </w:r>
      <w:r w:rsidRPr="00D7292A">
        <w:rPr>
          <w:rFonts w:ascii="Times New Roman" w:hAnsi="Times New Roman"/>
          <w:sz w:val="20"/>
          <w:lang w:val="en-GB" w:eastAsia="zh-CN"/>
        </w:rPr>
        <w:t>, it is obvious that NR RRC is still used to configure LTE SPS resources and cross-RAT dynamic scheduling is not used for LTE mode 3. So we think the same approach as proposed above can be applied here.</w:t>
      </w:r>
    </w:p>
    <w:p w14:paraId="184BD33C" w14:textId="77777777" w:rsidR="0019239B" w:rsidRDefault="0019239B" w:rsidP="00E67A80">
      <w:pPr>
        <w:rPr>
          <w:rFonts w:ascii="Times New Roman" w:hAnsi="Times New Roman"/>
          <w:sz w:val="20"/>
          <w:lang w:val="en-GB" w:eastAsia="zh-CN"/>
        </w:rPr>
      </w:pPr>
    </w:p>
    <w:p w14:paraId="28EC50BB" w14:textId="53FB5436" w:rsidR="005C2350" w:rsidRPr="00B1479A" w:rsidRDefault="00BF2A29" w:rsidP="005C235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sidR="005C2350">
        <w:rPr>
          <w:rFonts w:ascii="Times New Roman" w:eastAsia="Times New Roman" w:hAnsi="Times New Roman"/>
          <w:b/>
          <w:bCs/>
          <w:sz w:val="20"/>
          <w:szCs w:val="20"/>
          <w:u w:val="single"/>
          <w:lang w:val="en-GB" w:eastAsia="zh-CN"/>
        </w:rPr>
        <w:t>:</w:t>
      </w:r>
      <w:r w:rsidR="005C2350">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MAC BSR enhancements for </w:t>
      </w:r>
      <w:r w:rsidR="00EC2438">
        <w:rPr>
          <w:rFonts w:ascii="Times New Roman" w:eastAsia="Times New Roman" w:hAnsi="Times New Roman"/>
          <w:bCs/>
          <w:i/>
          <w:sz w:val="20"/>
          <w:szCs w:val="20"/>
          <w:lang w:val="en-GB" w:eastAsia="zh-CN"/>
        </w:rPr>
        <w:t xml:space="preserve">LTE SL </w:t>
      </w:r>
      <w:r>
        <w:rPr>
          <w:rFonts w:ascii="Times New Roman" w:eastAsia="Times New Roman" w:hAnsi="Times New Roman"/>
          <w:bCs/>
          <w:i/>
          <w:sz w:val="20"/>
          <w:szCs w:val="20"/>
          <w:lang w:val="en-GB" w:eastAsia="zh-CN"/>
        </w:rPr>
        <w:t>dynamic mode 3 resource allocation are not supported</w:t>
      </w:r>
      <w:r w:rsidR="005C2350">
        <w:rPr>
          <w:rFonts w:ascii="Times New Roman" w:eastAsia="Times New Roman" w:hAnsi="Times New Roman"/>
          <w:bCs/>
          <w:i/>
          <w:sz w:val="20"/>
          <w:szCs w:val="20"/>
          <w:lang w:val="en-GB" w:eastAsia="zh-CN"/>
        </w:rPr>
        <w:t>.</w:t>
      </w:r>
    </w:p>
    <w:p w14:paraId="0751770D" w14:textId="65095C16" w:rsidR="00B556A6" w:rsidRPr="00BF2A29" w:rsidRDefault="00BF2A29" w:rsidP="0050416E">
      <w:pPr>
        <w:rPr>
          <w:rFonts w:ascii="Times New Roman" w:eastAsia="Times New Roman" w:hAnsi="Times New Roman"/>
          <w:bCs/>
          <w:i/>
          <w:sz w:val="20"/>
          <w:szCs w:val="20"/>
          <w:lang w:val="en-GB" w:eastAsia="zh-CN"/>
        </w:rPr>
      </w:pPr>
      <w:bookmarkStart w:id="0" w:name="_GoBack"/>
      <w:bookmarkEnd w:id="0"/>
      <w:r>
        <w:rPr>
          <w:rFonts w:ascii="Times New Roman" w:hAnsi="Times New Roman"/>
          <w:sz w:val="20"/>
          <w:lang w:val="en-GB" w:eastAsia="zh-CN"/>
        </w:rPr>
        <w:t xml:space="preserve"> </w:t>
      </w:r>
    </w:p>
    <w:p w14:paraId="50A28EC3" w14:textId="77777777" w:rsidR="008669B1" w:rsidRPr="00E0063E" w:rsidRDefault="008669B1" w:rsidP="008669B1">
      <w:pPr>
        <w:pStyle w:val="Tdoc"/>
      </w:pPr>
      <w:r w:rsidRPr="00E0063E">
        <w:t>Conclusion</w:t>
      </w:r>
    </w:p>
    <w:p w14:paraId="50A28EC4" w14:textId="0897FD58"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w:t>
      </w:r>
      <w:r w:rsidR="00BD4C5D">
        <w:rPr>
          <w:rFonts w:ascii="Times New Roman" w:eastAsia="Times New Roman" w:hAnsi="Times New Roman"/>
          <w:bCs/>
          <w:sz w:val="20"/>
          <w:szCs w:val="20"/>
          <w:lang w:val="en-GB" w:eastAsia="zh-CN"/>
        </w:rPr>
        <w:t xml:space="preserve">makes the following </w:t>
      </w:r>
      <w:r w:rsidR="00BF2A29">
        <w:rPr>
          <w:rFonts w:ascii="Times New Roman" w:eastAsia="Times New Roman" w:hAnsi="Times New Roman"/>
          <w:bCs/>
          <w:sz w:val="20"/>
          <w:szCs w:val="20"/>
          <w:lang w:val="en-GB" w:eastAsia="zh-CN"/>
        </w:rPr>
        <w:t>p</w:t>
      </w:r>
      <w:r w:rsidR="00BD4C5D">
        <w:rPr>
          <w:rFonts w:ascii="Times New Roman" w:eastAsia="Times New Roman" w:hAnsi="Times New Roman"/>
          <w:bCs/>
          <w:sz w:val="20"/>
          <w:szCs w:val="20"/>
          <w:lang w:val="en-GB" w:eastAsia="zh-CN"/>
        </w:rPr>
        <w:t>roposals</w:t>
      </w:r>
      <w:r w:rsidR="00BF2A29">
        <w:rPr>
          <w:rFonts w:ascii="Times New Roman" w:eastAsia="Times New Roman" w:hAnsi="Times New Roman"/>
          <w:bCs/>
          <w:sz w:val="20"/>
          <w:szCs w:val="20"/>
          <w:lang w:val="en-GB" w:eastAsia="zh-CN"/>
        </w:rPr>
        <w:t xml:space="preserve"> regarding cross-RAT SL resource allocation for NR V2X</w:t>
      </w:r>
      <w:r w:rsidR="00777344">
        <w:rPr>
          <w:rFonts w:ascii="Times New Roman" w:eastAsia="Times New Roman" w:hAnsi="Times New Roman"/>
          <w:bCs/>
          <w:sz w:val="20"/>
          <w:szCs w:val="20"/>
          <w:lang w:val="en-GB" w:eastAsia="zh-CN"/>
        </w:rPr>
        <w:t>:</w:t>
      </w:r>
    </w:p>
    <w:p w14:paraId="63A31C61" w14:textId="77777777" w:rsidR="00BF2A29" w:rsidRDefault="00BF2A29"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14684AC7" w14:textId="6B20779F" w:rsidR="00BF2A29" w:rsidRDefault="00BF2A29" w:rsidP="00BF2A2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LTE MAC BSR enhancements for </w:t>
      </w:r>
      <w:r w:rsidR="00EC2438">
        <w:rPr>
          <w:rFonts w:ascii="Times New Roman" w:eastAsia="Times New Roman" w:hAnsi="Times New Roman"/>
          <w:bCs/>
          <w:i/>
          <w:sz w:val="20"/>
          <w:szCs w:val="20"/>
          <w:lang w:val="en-GB" w:eastAsia="zh-CN"/>
        </w:rPr>
        <w:t xml:space="preserve">NR SL </w:t>
      </w:r>
      <w:r>
        <w:rPr>
          <w:rFonts w:ascii="Times New Roman" w:eastAsia="Times New Roman" w:hAnsi="Times New Roman"/>
          <w:bCs/>
          <w:i/>
          <w:sz w:val="20"/>
          <w:szCs w:val="20"/>
          <w:lang w:val="en-GB" w:eastAsia="zh-CN"/>
        </w:rPr>
        <w:t>dynamic mode 1 resource allocation are not supported</w:t>
      </w:r>
      <w:r w:rsidRPr="005013B7">
        <w:rPr>
          <w:rFonts w:ascii="Times New Roman" w:eastAsia="Times New Roman" w:hAnsi="Times New Roman"/>
          <w:bCs/>
          <w:i/>
          <w:sz w:val="20"/>
          <w:szCs w:val="20"/>
          <w:lang w:val="en-GB" w:eastAsia="zh-CN"/>
        </w:rPr>
        <w:t>.</w:t>
      </w:r>
    </w:p>
    <w:p w14:paraId="06CA209E" w14:textId="77777777" w:rsidR="00BF2A29" w:rsidRDefault="00BF2A29" w:rsidP="00BF2A29">
      <w:pPr>
        <w:ind w:left="1350" w:hanging="1350"/>
        <w:rPr>
          <w:rFonts w:ascii="Times New Roman" w:eastAsia="Times New Roman" w:hAnsi="Times New Roman"/>
          <w:b/>
          <w:bCs/>
          <w:sz w:val="20"/>
          <w:szCs w:val="20"/>
          <w:u w:val="single"/>
          <w:lang w:val="en-GB" w:eastAsia="zh-CN"/>
        </w:rPr>
      </w:pPr>
    </w:p>
    <w:p w14:paraId="00097B41" w14:textId="69EB5107" w:rsidR="00BF2A29" w:rsidRPr="00B1479A" w:rsidRDefault="00BF2A29" w:rsidP="00BF2A2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NR MAC BSR enhancements for </w:t>
      </w:r>
      <w:r w:rsidR="00EC2438">
        <w:rPr>
          <w:rFonts w:ascii="Times New Roman" w:eastAsia="Times New Roman" w:hAnsi="Times New Roman"/>
          <w:bCs/>
          <w:i/>
          <w:sz w:val="20"/>
          <w:szCs w:val="20"/>
          <w:lang w:val="en-GB" w:eastAsia="zh-CN"/>
        </w:rPr>
        <w:t xml:space="preserve">LTE SL </w:t>
      </w:r>
      <w:r>
        <w:rPr>
          <w:rFonts w:ascii="Times New Roman" w:eastAsia="Times New Roman" w:hAnsi="Times New Roman"/>
          <w:bCs/>
          <w:i/>
          <w:sz w:val="20"/>
          <w:szCs w:val="20"/>
          <w:lang w:val="en-GB" w:eastAsia="zh-CN"/>
        </w:rPr>
        <w:t>dynamic mode 3 resource allocation are not supported.</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5715B685" w14:textId="28031EB5" w:rsidR="000B32EB" w:rsidRPr="000B32EB" w:rsidRDefault="0063286E" w:rsidP="000B32EB">
          <w:pPr>
            <w:pStyle w:val="Tdoc"/>
          </w:pPr>
          <w:r>
            <w:t>References</w:t>
          </w:r>
          <w:r w:rsidR="000A472B">
            <w:rPr>
              <w:rFonts w:eastAsia="Times New Roman"/>
            </w:rPr>
            <w:fldChar w:fldCharType="begin"/>
          </w:r>
          <w:r w:rsidR="000A472B" w:rsidRPr="000B32EB">
            <w:rPr>
              <w:rFonts w:eastAsia="Times New Roman"/>
            </w:rPr>
            <w:instrText xml:space="preserve"> BIBLIOGRAPHY  \l 1033 </w:instrText>
          </w:r>
          <w:r w:rsidR="000A472B">
            <w:rPr>
              <w:rFonts w:eastAsia="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B32EB" w14:paraId="09E1D28C" w14:textId="77777777" w:rsidTr="000B32EB">
            <w:trPr>
              <w:divId w:val="1131898881"/>
              <w:tblCellSpacing w:w="15" w:type="dxa"/>
            </w:trPr>
            <w:tc>
              <w:tcPr>
                <w:tcW w:w="50" w:type="pct"/>
                <w:hideMark/>
              </w:tcPr>
              <w:p w14:paraId="5C96991D" w14:textId="77777777" w:rsidR="000B32EB" w:rsidRDefault="000B32EB">
                <w:pPr>
                  <w:pStyle w:val="Bibliography"/>
                  <w:rPr>
                    <w:noProof/>
                    <w:sz w:val="24"/>
                    <w:szCs w:val="24"/>
                  </w:rPr>
                </w:pPr>
                <w:r>
                  <w:rPr>
                    <w:noProof/>
                  </w:rPr>
                  <w:t xml:space="preserve">[1] </w:t>
                </w:r>
              </w:p>
            </w:tc>
            <w:tc>
              <w:tcPr>
                <w:tcW w:w="0" w:type="auto"/>
                <w:hideMark/>
              </w:tcPr>
              <w:p w14:paraId="187CE174" w14:textId="77777777" w:rsidR="000B32EB" w:rsidRDefault="000B32EB">
                <w:pPr>
                  <w:pStyle w:val="Bibliography"/>
                  <w:rPr>
                    <w:noProof/>
                  </w:rPr>
                </w:pPr>
                <w:r>
                  <w:rPr>
                    <w:noProof/>
                  </w:rPr>
                  <w:t xml:space="preserve">"RAN2#105, NR V2X: Chairman Notes". </w:t>
                </w:r>
              </w:p>
            </w:tc>
          </w:tr>
          <w:tr w:rsidR="000B32EB" w14:paraId="710F787B" w14:textId="77777777" w:rsidTr="000B32EB">
            <w:trPr>
              <w:divId w:val="1131898881"/>
              <w:tblCellSpacing w:w="15" w:type="dxa"/>
            </w:trPr>
            <w:tc>
              <w:tcPr>
                <w:tcW w:w="50" w:type="pct"/>
                <w:hideMark/>
              </w:tcPr>
              <w:p w14:paraId="3756E933" w14:textId="77777777" w:rsidR="000B32EB" w:rsidRDefault="000B32EB">
                <w:pPr>
                  <w:pStyle w:val="Bibliography"/>
                  <w:rPr>
                    <w:noProof/>
                  </w:rPr>
                </w:pPr>
                <w:r>
                  <w:rPr>
                    <w:noProof/>
                  </w:rPr>
                  <w:t xml:space="preserve">[2] </w:t>
                </w:r>
              </w:p>
            </w:tc>
            <w:tc>
              <w:tcPr>
                <w:tcW w:w="0" w:type="auto"/>
                <w:hideMark/>
              </w:tcPr>
              <w:p w14:paraId="1C3D270A" w14:textId="77777777" w:rsidR="000B32EB" w:rsidRDefault="000B32EB">
                <w:pPr>
                  <w:pStyle w:val="Bibliography"/>
                  <w:rPr>
                    <w:noProof/>
                  </w:rPr>
                </w:pPr>
                <w:r>
                  <w:rPr>
                    <w:noProof/>
                  </w:rPr>
                  <w:t xml:space="preserve">"R2-1901730, Summary Report of [104#60][NR/V2X] Groupcast (Qualcomm)". </w:t>
                </w:r>
              </w:p>
            </w:tc>
          </w:tr>
        </w:tbl>
        <w:p w14:paraId="798DFC51" w14:textId="77777777" w:rsidR="000B32EB" w:rsidRDefault="000B32EB" w:rsidP="000B32EB">
          <w:pPr>
            <w:divId w:val="1131898881"/>
            <w:rPr>
              <w:rFonts w:eastAsia="Times New Roman"/>
              <w:noProof/>
            </w:rPr>
          </w:pPr>
        </w:p>
        <w:p w14:paraId="3B293168" w14:textId="42F460DC" w:rsidR="00E43B63" w:rsidRDefault="000A472B" w:rsidP="000B32EB">
          <w:pPr>
            <w:divId w:val="1131898881"/>
            <w:rPr>
              <w:rFonts w:eastAsia="Times New Roman"/>
              <w:noProof/>
            </w:rPr>
          </w:pPr>
          <w:r>
            <w:rPr>
              <w:rFonts w:eastAsia="Times New Roman"/>
              <w:noProof/>
            </w:rPr>
            <w:fldChar w:fldCharType="end"/>
          </w:r>
        </w:p>
        <w:p w14:paraId="50A28EEF" w14:textId="41D9B9E6" w:rsidR="00E0063E" w:rsidRPr="00E43B63" w:rsidRDefault="004B4135"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5C2350" w:rsidRDefault="005C2350">
      <w:pPr>
        <w:spacing w:after="0" w:line="240" w:lineRule="auto"/>
      </w:pPr>
      <w:r>
        <w:separator/>
      </w:r>
    </w:p>
  </w:endnote>
  <w:endnote w:type="continuationSeparator" w:id="0">
    <w:p w14:paraId="50A28EF3" w14:textId="77777777" w:rsidR="005C2350" w:rsidRDefault="005C2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5C2350" w:rsidRDefault="005C235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416E">
      <w:rPr>
        <w:rFonts w:ascii="Arial" w:hAnsi="Arial" w:cs="Arial"/>
        <w:b/>
        <w:noProof/>
        <w:sz w:val="18"/>
        <w:szCs w:val="18"/>
      </w:rPr>
      <w:t>2</w:t>
    </w:r>
    <w:r>
      <w:rPr>
        <w:rFonts w:ascii="Arial" w:hAnsi="Arial" w:cs="Arial"/>
        <w:b/>
        <w:sz w:val="18"/>
        <w:szCs w:val="18"/>
      </w:rPr>
      <w:fldChar w:fldCharType="end"/>
    </w:r>
  </w:p>
  <w:p w14:paraId="50A28EF5" w14:textId="77777777" w:rsidR="005C2350" w:rsidRDefault="005C23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5C2350" w:rsidRDefault="005C2350">
      <w:pPr>
        <w:spacing w:after="0" w:line="240" w:lineRule="auto"/>
      </w:pPr>
      <w:r>
        <w:separator/>
      </w:r>
    </w:p>
  </w:footnote>
  <w:footnote w:type="continuationSeparator" w:id="0">
    <w:p w14:paraId="50A28EF1" w14:textId="77777777" w:rsidR="005C2350" w:rsidRDefault="005C23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2"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6"/>
  </w:num>
  <w:num w:numId="3">
    <w:abstractNumId w:val="18"/>
  </w:num>
  <w:num w:numId="4">
    <w:abstractNumId w:val="17"/>
  </w:num>
  <w:num w:numId="5">
    <w:abstractNumId w:val="6"/>
    <w:lvlOverride w:ilvl="0">
      <w:startOverride w:val="1"/>
    </w:lvlOverride>
  </w:num>
  <w:num w:numId="6">
    <w:abstractNumId w:val="8"/>
    <w:lvlOverride w:ilvl="0">
      <w:startOverride w:val="2"/>
    </w:lvlOverride>
  </w:num>
  <w:num w:numId="7">
    <w:abstractNumId w:val="36"/>
  </w:num>
  <w:num w:numId="8">
    <w:abstractNumId w:val="13"/>
  </w:num>
  <w:num w:numId="9">
    <w:abstractNumId w:val="9"/>
  </w:num>
  <w:num w:numId="10">
    <w:abstractNumId w:val="30"/>
  </w:num>
  <w:num w:numId="11">
    <w:abstractNumId w:val="38"/>
  </w:num>
  <w:num w:numId="12">
    <w:abstractNumId w:val="7"/>
  </w:num>
  <w:num w:numId="13">
    <w:abstractNumId w:val="10"/>
  </w:num>
  <w:num w:numId="14">
    <w:abstractNumId w:val="3"/>
  </w:num>
  <w:num w:numId="15">
    <w:abstractNumId w:val="4"/>
  </w:num>
  <w:num w:numId="16">
    <w:abstractNumId w:val="16"/>
  </w:num>
  <w:num w:numId="17">
    <w:abstractNumId w:val="35"/>
  </w:num>
  <w:num w:numId="18">
    <w:abstractNumId w:val="14"/>
  </w:num>
  <w:num w:numId="19">
    <w:abstractNumId w:val="31"/>
  </w:num>
  <w:num w:numId="20">
    <w:abstractNumId w:val="2"/>
  </w:num>
  <w:num w:numId="21">
    <w:abstractNumId w:val="37"/>
  </w:num>
  <w:num w:numId="22">
    <w:abstractNumId w:val="1"/>
  </w:num>
  <w:num w:numId="23">
    <w:abstractNumId w:val="29"/>
  </w:num>
  <w:num w:numId="24">
    <w:abstractNumId w:val="40"/>
  </w:num>
  <w:num w:numId="25">
    <w:abstractNumId w:val="27"/>
  </w:num>
  <w:num w:numId="26">
    <w:abstractNumId w:val="24"/>
  </w:num>
  <w:num w:numId="27">
    <w:abstractNumId w:val="21"/>
  </w:num>
  <w:num w:numId="28">
    <w:abstractNumId w:val="39"/>
  </w:num>
  <w:num w:numId="29">
    <w:abstractNumId w:val="0"/>
  </w:num>
  <w:num w:numId="30">
    <w:abstractNumId w:val="12"/>
  </w:num>
  <w:num w:numId="31">
    <w:abstractNumId w:val="33"/>
  </w:num>
  <w:num w:numId="32">
    <w:abstractNumId w:val="23"/>
  </w:num>
  <w:num w:numId="33">
    <w:abstractNumId w:val="28"/>
  </w:num>
  <w:num w:numId="34">
    <w:abstractNumId w:val="25"/>
  </w:num>
  <w:num w:numId="35">
    <w:abstractNumId w:val="15"/>
  </w:num>
  <w:num w:numId="36">
    <w:abstractNumId w:val="19"/>
  </w:num>
  <w:num w:numId="37">
    <w:abstractNumId w:val="20"/>
  </w:num>
  <w:num w:numId="38">
    <w:abstractNumId w:val="32"/>
  </w:num>
  <w:num w:numId="39">
    <w:abstractNumId w:val="22"/>
  </w:num>
  <w:num w:numId="40">
    <w:abstractNumId w:val="11"/>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5406"/>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793C"/>
    <w:rsid w:val="001A79BD"/>
    <w:rsid w:val="001B5A55"/>
    <w:rsid w:val="001B7098"/>
    <w:rsid w:val="001C137C"/>
    <w:rsid w:val="001C479B"/>
    <w:rsid w:val="001C60FD"/>
    <w:rsid w:val="001C6E8B"/>
    <w:rsid w:val="001D28A0"/>
    <w:rsid w:val="001D5499"/>
    <w:rsid w:val="001E221E"/>
    <w:rsid w:val="001E251D"/>
    <w:rsid w:val="001E54F9"/>
    <w:rsid w:val="001F03C4"/>
    <w:rsid w:val="001F221E"/>
    <w:rsid w:val="001F6936"/>
    <w:rsid w:val="001F6AD1"/>
    <w:rsid w:val="00203D1C"/>
    <w:rsid w:val="0020567B"/>
    <w:rsid w:val="00205CC1"/>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4D8"/>
    <w:rsid w:val="00330823"/>
    <w:rsid w:val="00332463"/>
    <w:rsid w:val="00332851"/>
    <w:rsid w:val="00336D1D"/>
    <w:rsid w:val="003379D6"/>
    <w:rsid w:val="00337A0E"/>
    <w:rsid w:val="003400B0"/>
    <w:rsid w:val="00343C43"/>
    <w:rsid w:val="00345654"/>
    <w:rsid w:val="00346CBD"/>
    <w:rsid w:val="0035278E"/>
    <w:rsid w:val="00361EF9"/>
    <w:rsid w:val="003638A3"/>
    <w:rsid w:val="00374DDD"/>
    <w:rsid w:val="0037540A"/>
    <w:rsid w:val="00377DF9"/>
    <w:rsid w:val="003848A3"/>
    <w:rsid w:val="00384CB8"/>
    <w:rsid w:val="00385E3E"/>
    <w:rsid w:val="00395DCA"/>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0C33"/>
    <w:rsid w:val="00453DB6"/>
    <w:rsid w:val="0045665A"/>
    <w:rsid w:val="00460EBA"/>
    <w:rsid w:val="0046730A"/>
    <w:rsid w:val="00467867"/>
    <w:rsid w:val="004747C6"/>
    <w:rsid w:val="004803F0"/>
    <w:rsid w:val="00480D6C"/>
    <w:rsid w:val="00483C87"/>
    <w:rsid w:val="004864A7"/>
    <w:rsid w:val="004873A1"/>
    <w:rsid w:val="0049247B"/>
    <w:rsid w:val="004941A2"/>
    <w:rsid w:val="004A45E2"/>
    <w:rsid w:val="004B256F"/>
    <w:rsid w:val="004B2F1A"/>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416E"/>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DFF"/>
    <w:rsid w:val="005D37A5"/>
    <w:rsid w:val="005E3E1B"/>
    <w:rsid w:val="005E4401"/>
    <w:rsid w:val="005E4E14"/>
    <w:rsid w:val="005F30EF"/>
    <w:rsid w:val="0060381E"/>
    <w:rsid w:val="00613A40"/>
    <w:rsid w:val="00625D8E"/>
    <w:rsid w:val="00627647"/>
    <w:rsid w:val="0063286E"/>
    <w:rsid w:val="00633024"/>
    <w:rsid w:val="00642633"/>
    <w:rsid w:val="00661C20"/>
    <w:rsid w:val="00667231"/>
    <w:rsid w:val="006720DF"/>
    <w:rsid w:val="00673EBD"/>
    <w:rsid w:val="00680A78"/>
    <w:rsid w:val="006821CE"/>
    <w:rsid w:val="0068421C"/>
    <w:rsid w:val="006851F2"/>
    <w:rsid w:val="00696FDC"/>
    <w:rsid w:val="006A27E5"/>
    <w:rsid w:val="006A65D5"/>
    <w:rsid w:val="006A749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46CF"/>
    <w:rsid w:val="0076519E"/>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22B9A"/>
    <w:rsid w:val="00827742"/>
    <w:rsid w:val="00833E79"/>
    <w:rsid w:val="00835599"/>
    <w:rsid w:val="008364DC"/>
    <w:rsid w:val="008418C6"/>
    <w:rsid w:val="00842397"/>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D28E8"/>
    <w:rsid w:val="008E03BE"/>
    <w:rsid w:val="008E4A12"/>
    <w:rsid w:val="008E5071"/>
    <w:rsid w:val="008F15B9"/>
    <w:rsid w:val="008F7B19"/>
    <w:rsid w:val="00901F6D"/>
    <w:rsid w:val="00902C16"/>
    <w:rsid w:val="00915CAD"/>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5D36"/>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049D"/>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3EE3"/>
    <w:rsid w:val="00B438F2"/>
    <w:rsid w:val="00B45EDF"/>
    <w:rsid w:val="00B556A6"/>
    <w:rsid w:val="00B60432"/>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2A29"/>
    <w:rsid w:val="00BF5579"/>
    <w:rsid w:val="00BF78E3"/>
    <w:rsid w:val="00C06C5B"/>
    <w:rsid w:val="00C10CE1"/>
    <w:rsid w:val="00C13538"/>
    <w:rsid w:val="00C13DB4"/>
    <w:rsid w:val="00C16A65"/>
    <w:rsid w:val="00C23949"/>
    <w:rsid w:val="00C27475"/>
    <w:rsid w:val="00C348A8"/>
    <w:rsid w:val="00C40041"/>
    <w:rsid w:val="00C47BFB"/>
    <w:rsid w:val="00C54226"/>
    <w:rsid w:val="00C641CB"/>
    <w:rsid w:val="00C65B7C"/>
    <w:rsid w:val="00C667DF"/>
    <w:rsid w:val="00C67B49"/>
    <w:rsid w:val="00C73BA9"/>
    <w:rsid w:val="00C84589"/>
    <w:rsid w:val="00C8595C"/>
    <w:rsid w:val="00C90D45"/>
    <w:rsid w:val="00C97AD4"/>
    <w:rsid w:val="00CA41AF"/>
    <w:rsid w:val="00CA4212"/>
    <w:rsid w:val="00CA751B"/>
    <w:rsid w:val="00CB248A"/>
    <w:rsid w:val="00CB6AB5"/>
    <w:rsid w:val="00CD2ABF"/>
    <w:rsid w:val="00CD4245"/>
    <w:rsid w:val="00CD7BAA"/>
    <w:rsid w:val="00CE5D88"/>
    <w:rsid w:val="00CE70AB"/>
    <w:rsid w:val="00D0160E"/>
    <w:rsid w:val="00D05CFA"/>
    <w:rsid w:val="00D244A7"/>
    <w:rsid w:val="00D30389"/>
    <w:rsid w:val="00D304C8"/>
    <w:rsid w:val="00D30D35"/>
    <w:rsid w:val="00D4144E"/>
    <w:rsid w:val="00D4639F"/>
    <w:rsid w:val="00D65AAE"/>
    <w:rsid w:val="00D70FEC"/>
    <w:rsid w:val="00D714C5"/>
    <w:rsid w:val="00D7292A"/>
    <w:rsid w:val="00D74365"/>
    <w:rsid w:val="00D75EC2"/>
    <w:rsid w:val="00D75FE1"/>
    <w:rsid w:val="00D80BD1"/>
    <w:rsid w:val="00D90B79"/>
    <w:rsid w:val="00D94525"/>
    <w:rsid w:val="00DA2C5B"/>
    <w:rsid w:val="00DC00B2"/>
    <w:rsid w:val="00DC097B"/>
    <w:rsid w:val="00DC299B"/>
    <w:rsid w:val="00DD1D39"/>
    <w:rsid w:val="00DD532A"/>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2438"/>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512E"/>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5CB6"/>
    <w:rsid w:val="00F97382"/>
    <w:rsid w:val="00FA03CA"/>
    <w:rsid w:val="00FA458F"/>
    <w:rsid w:val="00FA4DC9"/>
    <w:rsid w:val="00FB08ED"/>
    <w:rsid w:val="00FC16BC"/>
    <w:rsid w:val="00FC2DCE"/>
    <w:rsid w:val="00FC2EDB"/>
    <w:rsid w:val="00FD039C"/>
    <w:rsid w:val="00FD2574"/>
    <w:rsid w:val="00FD4AC8"/>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21480560">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105groupcastQC</b:Tag>
    <b:SourceType>ConferenceProceedings</b:SourceType>
    <b:Guid>{4E32C33C-64AF-40F9-97CF-7A608BB83582}</b:Guid>
    <b:Title>R2-1901730, Summary Report of [104#60][NR/V2X] Groupcast (Qualcomm)</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6DC09319-BCE2-4B4C-B8A2-CA1066615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12567</TotalTime>
  <Pages>2</Pages>
  <Words>733</Words>
  <Characters>3855</Characters>
  <Application>Microsoft Office Word</Application>
  <DocSecurity>0</DocSecurity>
  <Lines>83</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396</cp:revision>
  <dcterms:created xsi:type="dcterms:W3CDTF">2017-08-12T02:26:00Z</dcterms:created>
  <dcterms:modified xsi:type="dcterms:W3CDTF">2019-05-03T02:11:00Z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2019-05-03 02:11:19Z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