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06928606"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E5DBE">
        <w:rPr>
          <w:sz w:val="24"/>
          <w:lang w:val="en-GB" w:eastAsia="zh-CN"/>
        </w:rPr>
        <w:t>6</w:t>
      </w:r>
      <w:r w:rsidRPr="00EE6198">
        <w:rPr>
          <w:sz w:val="24"/>
          <w:lang w:val="en-GB" w:eastAsia="zh-CN"/>
        </w:rPr>
        <w:tab/>
      </w:r>
      <w:r w:rsidR="00FD3E66" w:rsidRPr="00FD3E66">
        <w:rPr>
          <w:sz w:val="24"/>
          <w:lang w:val="en-GB" w:eastAsia="zh-CN"/>
        </w:rPr>
        <w:t>R2-1906429</w:t>
      </w:r>
    </w:p>
    <w:p w14:paraId="7D109D32" w14:textId="62E99ED5" w:rsidR="00B24821" w:rsidRPr="00B24821" w:rsidRDefault="00EE5DBE" w:rsidP="008F53FA">
      <w:pPr>
        <w:pStyle w:val="Header"/>
        <w:tabs>
          <w:tab w:val="right" w:pos="9639"/>
        </w:tabs>
        <w:rPr>
          <w:sz w:val="24"/>
          <w:lang w:val="en-GB" w:eastAsia="ko-KR"/>
        </w:rPr>
      </w:pPr>
      <w:r>
        <w:rPr>
          <w:sz w:val="24"/>
          <w:lang w:val="en-GB" w:eastAsia="ko-KR"/>
        </w:rPr>
        <w:t>Reno</w:t>
      </w:r>
      <w:r w:rsidR="00B24821" w:rsidRPr="00B24821">
        <w:rPr>
          <w:sz w:val="24"/>
          <w:lang w:val="en-GB" w:eastAsia="ko-KR"/>
        </w:rPr>
        <w:t xml:space="preserve">, </w:t>
      </w:r>
      <w:r>
        <w:rPr>
          <w:sz w:val="24"/>
          <w:lang w:val="en-GB" w:eastAsia="ko-KR"/>
        </w:rPr>
        <w:t>USA</w:t>
      </w:r>
      <w:r w:rsidR="00FE0F53">
        <w:rPr>
          <w:sz w:val="24"/>
          <w:lang w:val="en-GB" w:eastAsia="ko-KR"/>
        </w:rPr>
        <w:t>, 13</w:t>
      </w:r>
      <w:r w:rsidR="00B24821" w:rsidRPr="00B24821">
        <w:rPr>
          <w:sz w:val="24"/>
          <w:vertAlign w:val="superscript"/>
          <w:lang w:val="en-GB" w:eastAsia="ko-KR"/>
        </w:rPr>
        <w:t>th</w:t>
      </w:r>
      <w:r w:rsidR="00FE0F53">
        <w:rPr>
          <w:sz w:val="24"/>
          <w:lang w:val="en-GB" w:eastAsia="ko-KR"/>
        </w:rPr>
        <w:t xml:space="preserve"> – 17</w:t>
      </w:r>
      <w:r w:rsidR="00B24821" w:rsidRPr="00B24821">
        <w:rPr>
          <w:sz w:val="24"/>
          <w:vertAlign w:val="superscript"/>
          <w:lang w:val="en-GB" w:eastAsia="ko-KR"/>
        </w:rPr>
        <w:t>th</w:t>
      </w:r>
      <w:r w:rsidR="00B24821" w:rsidRPr="00B24821">
        <w:rPr>
          <w:sz w:val="24"/>
          <w:lang w:val="en-GB" w:eastAsia="ko-KR"/>
        </w:rPr>
        <w:t xml:space="preserve"> </w:t>
      </w:r>
      <w:r>
        <w:rPr>
          <w:sz w:val="24"/>
          <w:lang w:val="en-GB" w:eastAsia="ko-KR"/>
        </w:rPr>
        <w:t>May</w:t>
      </w:r>
      <w:r w:rsidR="00B24821" w:rsidRPr="00B24821">
        <w:rPr>
          <w:sz w:val="24"/>
          <w:lang w:val="en-GB" w:eastAsia="ko-KR"/>
        </w:rPr>
        <w:t xml:space="preserve"> 2019</w:t>
      </w:r>
      <w:r w:rsidR="008F53FA">
        <w:rPr>
          <w:sz w:val="24"/>
          <w:lang w:val="en-GB" w:eastAsia="ko-KR"/>
        </w:rPr>
        <w:tab/>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45FA166B"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061A4">
        <w:rPr>
          <w:rFonts w:eastAsia="SimSun" w:cs="Arial"/>
          <w:b/>
          <w:bCs/>
          <w:sz w:val="24"/>
          <w:lang w:val="en-US"/>
        </w:rPr>
        <w:t>11.4.3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7EEB1A6"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061A4">
        <w:rPr>
          <w:rFonts w:ascii="Arial" w:hAnsi="Arial" w:cs="Arial"/>
          <w:b/>
          <w:bCs/>
          <w:sz w:val="24"/>
        </w:rPr>
        <w:t>M</w:t>
      </w:r>
      <w:r w:rsidR="00223E09">
        <w:rPr>
          <w:rFonts w:ascii="Arial" w:hAnsi="Arial" w:cs="Arial"/>
          <w:b/>
          <w:bCs/>
          <w:sz w:val="24"/>
        </w:rPr>
        <w:t>AC related aspects for NR V2X</w:t>
      </w:r>
      <w:bookmarkStart w:id="0" w:name="_GoBack"/>
      <w:bookmarkEnd w:id="0"/>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35405F15"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RAN2#105</w:t>
      </w:r>
      <w:r w:rsidR="004061A4">
        <w:rPr>
          <w:rFonts w:ascii="Times New Roman" w:hAnsi="Times New Roman"/>
          <w:sz w:val="20"/>
          <w:szCs w:val="20"/>
          <w:lang w:eastAsia="zh-CN"/>
        </w:rPr>
        <w:t>bis</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 following agreement</w:t>
      </w:r>
      <w:r w:rsidR="004061A4">
        <w:rPr>
          <w:rFonts w:ascii="Times New Roman" w:hAnsi="Times New Roman"/>
          <w:sz w:val="20"/>
          <w:szCs w:val="20"/>
          <w:lang w:eastAsia="zh-CN"/>
        </w:rPr>
        <w:t>s</w:t>
      </w:r>
      <w:r w:rsidR="00DC097B">
        <w:rPr>
          <w:rFonts w:ascii="Times New Roman" w:hAnsi="Times New Roman"/>
          <w:sz w:val="20"/>
          <w:szCs w:val="20"/>
          <w:lang w:eastAsia="zh-CN"/>
        </w:rPr>
        <w:t xml:space="preserve"> were made regarding </w:t>
      </w:r>
      <w:r w:rsidR="004061A4">
        <w:rPr>
          <w:rFonts w:ascii="Times New Roman" w:hAnsi="Times New Roman"/>
          <w:sz w:val="20"/>
          <w:szCs w:val="20"/>
          <w:lang w:eastAsia="zh-CN"/>
        </w:rPr>
        <w:t xml:space="preserve">mode 1 </w:t>
      </w:r>
      <w:r w:rsidR="000B32EB">
        <w:rPr>
          <w:rFonts w:ascii="Times New Roman" w:hAnsi="Times New Roman"/>
          <w:sz w:val="20"/>
          <w:szCs w:val="20"/>
          <w:lang w:eastAsia="zh-CN"/>
        </w:rPr>
        <w:t xml:space="preserve">operation over NR sidelink </w:t>
      </w:r>
      <w:r w:rsidR="004061A4">
        <w:rPr>
          <w:rFonts w:ascii="Times New Roman" w:hAnsi="Times New Roman"/>
          <w:sz w:val="20"/>
          <w:szCs w:val="20"/>
          <w:lang w:eastAsia="zh-CN"/>
        </w:rPr>
        <w:t xml:space="preserve">for supporting dynamic scheduling </w:t>
      </w:r>
      <w:sdt>
        <w:sdtPr>
          <w:rPr>
            <w:rFonts w:ascii="Times New Roman" w:hAnsi="Times New Roman"/>
            <w:sz w:val="20"/>
            <w:szCs w:val="20"/>
            <w:lang w:eastAsia="zh-CN"/>
          </w:rPr>
          <w:id w:val="-208110290"/>
          <w:citation/>
        </w:sdtPr>
        <w:sdtEndPr/>
        <w:sdtContent>
          <w:r w:rsidR="004C0148">
            <w:rPr>
              <w:rFonts w:ascii="Times New Roman" w:hAnsi="Times New Roman"/>
              <w:sz w:val="20"/>
              <w:szCs w:val="20"/>
              <w:lang w:eastAsia="zh-CN"/>
            </w:rPr>
            <w:fldChar w:fldCharType="begin"/>
          </w:r>
          <w:r w:rsidR="004C0148">
            <w:rPr>
              <w:rFonts w:ascii="Times New Roman" w:hAnsi="Times New Roman"/>
              <w:sz w:val="20"/>
              <w:szCs w:val="20"/>
              <w:lang w:eastAsia="zh-CN"/>
            </w:rPr>
            <w:instrText xml:space="preserve"> CITATION RAN2105bisV2X \l 1033 </w:instrText>
          </w:r>
          <w:r w:rsidR="004C0148">
            <w:rPr>
              <w:rFonts w:ascii="Times New Roman" w:hAnsi="Times New Roman"/>
              <w:sz w:val="20"/>
              <w:szCs w:val="20"/>
              <w:lang w:eastAsia="zh-CN"/>
            </w:rPr>
            <w:fldChar w:fldCharType="separate"/>
          </w:r>
          <w:r w:rsidR="00E52066" w:rsidRPr="00E52066">
            <w:rPr>
              <w:rFonts w:ascii="Times New Roman" w:hAnsi="Times New Roman"/>
              <w:noProof/>
              <w:sz w:val="20"/>
              <w:szCs w:val="20"/>
              <w:lang w:eastAsia="zh-CN"/>
            </w:rPr>
            <w:t>[1]</w:t>
          </w:r>
          <w:r w:rsidR="004C0148">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F5CD96B" w14:textId="77777777" w:rsidR="004061A4" w:rsidRPr="004061A4" w:rsidRDefault="004061A4" w:rsidP="004061A4">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MS Mincho" w:hAnsi="Arial"/>
          <w:sz w:val="20"/>
          <w:szCs w:val="24"/>
          <w:lang w:val="en-GB" w:eastAsia="en-GB"/>
        </w:rPr>
      </w:pPr>
      <w:r w:rsidRPr="004061A4">
        <w:rPr>
          <w:rFonts w:ascii="Arial" w:eastAsia="MS Mincho" w:hAnsi="Arial"/>
          <w:sz w:val="20"/>
          <w:szCs w:val="24"/>
          <w:lang w:val="en-GB" w:eastAsia="en-GB"/>
        </w:rPr>
        <w:t xml:space="preserve">Agreements on BSR and UAI: </w:t>
      </w:r>
    </w:p>
    <w:p w14:paraId="080DC2F4" w14:textId="77777777" w:rsidR="004061A4" w:rsidRPr="004061A4" w:rsidRDefault="004061A4" w:rsidP="004061A4">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MS Mincho" w:hAnsi="Arial"/>
          <w:noProof/>
          <w:sz w:val="20"/>
          <w:szCs w:val="24"/>
          <w:lang w:val="en-GB" w:eastAsia="en-GB"/>
        </w:rPr>
      </w:pPr>
      <w:r w:rsidRPr="004061A4">
        <w:rPr>
          <w:rFonts w:ascii="Arial" w:eastAsia="MS Mincho" w:hAnsi="Arial"/>
          <w:sz w:val="20"/>
          <w:szCs w:val="24"/>
          <w:lang w:val="en-GB" w:eastAsia="en-GB"/>
        </w:rPr>
        <w:t xml:space="preserve">1: </w:t>
      </w:r>
      <w:r w:rsidRPr="004061A4">
        <w:rPr>
          <w:rFonts w:ascii="Arial" w:eastAsia="MS Mincho" w:hAnsi="Arial"/>
          <w:sz w:val="20"/>
          <w:szCs w:val="24"/>
          <w:lang w:val="en-GB" w:eastAsia="en-GB"/>
        </w:rPr>
        <w:tab/>
      </w:r>
      <w:r w:rsidRPr="004061A4">
        <w:rPr>
          <w:rFonts w:ascii="Arial" w:eastAsia="MS Mincho" w:hAnsi="Arial"/>
          <w:noProof/>
          <w:sz w:val="20"/>
          <w:szCs w:val="24"/>
          <w:lang w:val="en-GB" w:eastAsia="en-GB"/>
        </w:rPr>
        <w:t>For SL BSR, at least adopt buffer size (bit size is FFS), destination index (bit size is FFS) and LCG ID (detailed format and bit size is FFS).</w:t>
      </w:r>
    </w:p>
    <w:p w14:paraId="12FCBF65" w14:textId="77777777" w:rsidR="004061A4" w:rsidRPr="004061A4" w:rsidRDefault="004061A4" w:rsidP="004061A4">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MS Mincho" w:hAnsi="Arial"/>
          <w:sz w:val="20"/>
          <w:szCs w:val="24"/>
          <w:lang w:val="en-GB" w:eastAsia="en-GB"/>
        </w:rPr>
      </w:pPr>
      <w:r w:rsidRPr="004061A4">
        <w:rPr>
          <w:rFonts w:ascii="Arial" w:eastAsia="MS Mincho" w:hAnsi="Arial"/>
          <w:noProof/>
          <w:sz w:val="20"/>
          <w:szCs w:val="24"/>
          <w:lang w:val="en-GB" w:eastAsia="en-GB"/>
        </w:rPr>
        <w:t xml:space="preserve">2: </w:t>
      </w:r>
      <w:r w:rsidRPr="004061A4">
        <w:rPr>
          <w:rFonts w:ascii="Arial" w:eastAsia="MS Mincho" w:hAnsi="Arial"/>
          <w:noProof/>
          <w:sz w:val="20"/>
          <w:szCs w:val="24"/>
          <w:lang w:val="en-GB" w:eastAsia="en-GB"/>
        </w:rPr>
        <w:tab/>
        <w:t>Support UE assistance information reporting on traffic pattern, including information on periodicity, time offset, message size, QoS info (details are FFS), and destination id.</w:t>
      </w:r>
    </w:p>
    <w:p w14:paraId="6E7C5A20" w14:textId="77777777" w:rsidR="00E67A80" w:rsidRDefault="00E67A80" w:rsidP="004061A4">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46650FC" w14:textId="77777777" w:rsidR="004061A4" w:rsidRPr="004061A4" w:rsidRDefault="004061A4" w:rsidP="004061A4">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MS Mincho" w:hAnsi="Arial"/>
          <w:sz w:val="20"/>
          <w:szCs w:val="24"/>
          <w:lang w:val="en-GB" w:eastAsia="en-GB"/>
        </w:rPr>
      </w:pPr>
      <w:r w:rsidRPr="004061A4">
        <w:rPr>
          <w:rFonts w:ascii="Arial" w:eastAsia="MS Mincho" w:hAnsi="Arial"/>
          <w:sz w:val="20"/>
          <w:szCs w:val="24"/>
          <w:lang w:val="en-GB" w:eastAsia="en-GB"/>
        </w:rPr>
        <w:t xml:space="preserve">Agreements on SL configured grant: </w:t>
      </w:r>
    </w:p>
    <w:p w14:paraId="443DC750" w14:textId="77777777" w:rsidR="004061A4" w:rsidRPr="004061A4" w:rsidRDefault="004061A4" w:rsidP="004061A4">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MS Mincho" w:hAnsi="Arial"/>
          <w:noProof/>
          <w:sz w:val="20"/>
          <w:szCs w:val="24"/>
          <w:lang w:val="en-GB" w:eastAsia="en-GB"/>
        </w:rPr>
      </w:pPr>
      <w:r w:rsidRPr="004061A4">
        <w:rPr>
          <w:rFonts w:ascii="Arial" w:eastAsia="MS Mincho" w:hAnsi="Arial"/>
          <w:sz w:val="20"/>
          <w:szCs w:val="24"/>
          <w:lang w:val="en-GB" w:eastAsia="en-GB"/>
        </w:rPr>
        <w:t xml:space="preserve">1: </w:t>
      </w:r>
      <w:r w:rsidRPr="004061A4">
        <w:rPr>
          <w:rFonts w:ascii="Arial" w:eastAsia="MS Mincho" w:hAnsi="Arial"/>
          <w:sz w:val="20"/>
          <w:szCs w:val="24"/>
          <w:lang w:val="en-GB" w:eastAsia="en-GB"/>
        </w:rPr>
        <w:tab/>
      </w:r>
      <w:r w:rsidRPr="004061A4">
        <w:rPr>
          <w:rFonts w:ascii="Arial" w:eastAsia="MS Mincho" w:hAnsi="Arial"/>
          <w:noProof/>
          <w:sz w:val="20"/>
          <w:szCs w:val="24"/>
          <w:lang w:val="en-GB" w:eastAsia="en-GB"/>
        </w:rPr>
        <w:t>Multiple active configured sidelink grants should be supported in NR sidelink.</w:t>
      </w:r>
    </w:p>
    <w:p w14:paraId="111413E5" w14:textId="77777777" w:rsidR="004061A4" w:rsidRPr="004061A4" w:rsidRDefault="004061A4" w:rsidP="004061A4">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MS Mincho" w:hAnsi="Arial"/>
          <w:noProof/>
          <w:sz w:val="20"/>
          <w:szCs w:val="24"/>
          <w:lang w:val="en-GB" w:eastAsia="en-GB"/>
        </w:rPr>
      </w:pPr>
      <w:r w:rsidRPr="004061A4">
        <w:rPr>
          <w:rFonts w:ascii="Arial" w:eastAsia="MS Mincho" w:hAnsi="Arial"/>
          <w:noProof/>
          <w:sz w:val="20"/>
          <w:szCs w:val="24"/>
          <w:lang w:val="en-GB" w:eastAsia="en-GB"/>
        </w:rPr>
        <w:t xml:space="preserve">2: </w:t>
      </w:r>
      <w:r w:rsidRPr="004061A4">
        <w:rPr>
          <w:rFonts w:ascii="Arial" w:eastAsia="MS Mincho" w:hAnsi="Arial"/>
          <w:noProof/>
          <w:sz w:val="20"/>
          <w:szCs w:val="24"/>
          <w:lang w:val="en-GB" w:eastAsia="en-GB"/>
        </w:rPr>
        <w:tab/>
        <w:t>A confirmation for activation/deactivation of SL configured grant type-2 is needed. Details are FFS.</w:t>
      </w:r>
    </w:p>
    <w:p w14:paraId="1DBBD68D"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A229459"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0BF79578" w:rsidR="00E67A80" w:rsidRPr="00C11F0A"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We further need to discuss on some of the FFS points, i.e. the details for the fields for SL BSR format as well as the details for the confirmation for the activation/deactivation of the SL configured grant type-2</w:t>
      </w:r>
      <w:r w:rsidR="00DC097B">
        <w:rPr>
          <w:rFonts w:ascii="Times New Roman" w:hAnsi="Times New Roman"/>
          <w:sz w:val="20"/>
          <w:szCs w:val="20"/>
          <w:lang w:eastAsia="ja-JP"/>
        </w:rPr>
        <w:t>.</w:t>
      </w:r>
      <w:r>
        <w:rPr>
          <w:rFonts w:ascii="Times New Roman" w:hAnsi="Times New Roman"/>
          <w:sz w:val="20"/>
          <w:szCs w:val="20"/>
          <w:lang w:eastAsia="ja-JP"/>
        </w:rPr>
        <w:t xml:space="preserve"> In this contribution, we address the above issues and present out view.</w:t>
      </w:r>
    </w:p>
    <w:p w14:paraId="63BA8D55" w14:textId="7D06DBFC" w:rsidR="00100A13" w:rsidRPr="00EA68B2" w:rsidRDefault="000760CC" w:rsidP="00934A52">
      <w:pPr>
        <w:pStyle w:val="Tdoc"/>
      </w:pPr>
      <w:r>
        <w:t>Discussion</w:t>
      </w:r>
    </w:p>
    <w:p w14:paraId="768091D5" w14:textId="1F8891C7" w:rsidR="00A3213E" w:rsidRPr="00A3213E" w:rsidRDefault="00231844"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 BSR Format</w:t>
      </w:r>
    </w:p>
    <w:p w14:paraId="5424CCC2" w14:textId="77777777" w:rsidR="00A3213E" w:rsidRDefault="00A3213E" w:rsidP="00305CD5">
      <w:pPr>
        <w:rPr>
          <w:rFonts w:ascii="Times New Roman" w:hAnsi="Times New Roman"/>
          <w:sz w:val="20"/>
          <w:lang w:val="en-GB" w:eastAsia="zh-CN"/>
        </w:rPr>
      </w:pPr>
    </w:p>
    <w:p w14:paraId="40D8D299" w14:textId="2D04E5B9" w:rsidR="00DC097B" w:rsidRPr="00AE5AC2" w:rsidRDefault="00231844" w:rsidP="00AE5AC2">
      <w:pPr>
        <w:rPr>
          <w:rFonts w:ascii="Times New Roman" w:hAnsi="Times New Roman"/>
          <w:sz w:val="20"/>
          <w:lang w:val="en-GB" w:eastAsia="zh-CN"/>
        </w:rPr>
      </w:pPr>
      <w:r>
        <w:rPr>
          <w:rFonts w:ascii="Times New Roman" w:hAnsi="Times New Roman"/>
          <w:sz w:val="20"/>
          <w:lang w:val="en-GB" w:eastAsia="zh-CN"/>
        </w:rPr>
        <w:t>While the SL BSR overall design has been agreed, the details for determining the field sizes for the LCG ID, Destination ID as well as buffer size were left FFS</w:t>
      </w:r>
      <w:r w:rsidR="00EF0145">
        <w:rPr>
          <w:rFonts w:ascii="Times New Roman" w:hAnsi="Times New Roman"/>
          <w:sz w:val="20"/>
          <w:lang w:val="en-GB" w:eastAsia="zh-CN"/>
        </w:rPr>
        <w:t>.</w:t>
      </w:r>
      <w:r>
        <w:rPr>
          <w:rFonts w:ascii="Times New Roman" w:hAnsi="Times New Roman"/>
          <w:sz w:val="20"/>
          <w:lang w:val="en-GB" w:eastAsia="zh-CN"/>
        </w:rPr>
        <w:t xml:space="preserve"> In our view, since the number of LCGs in NR Uu is increased to 8 and it is expected that we </w:t>
      </w:r>
      <w:r w:rsidR="008E719B">
        <w:rPr>
          <w:rFonts w:ascii="Times New Roman" w:hAnsi="Times New Roman"/>
          <w:sz w:val="20"/>
          <w:lang w:val="en-GB" w:eastAsia="zh-CN"/>
        </w:rPr>
        <w:t xml:space="preserve">will require greater granularity in indicating the LCH information compared to LTE, there is no reason the same cannot be applicable for NR SL as well. </w:t>
      </w:r>
    </w:p>
    <w:p w14:paraId="7058AFBB" w14:textId="77777777" w:rsidR="00E67A80" w:rsidRDefault="00E67A80" w:rsidP="00E67A80">
      <w:pPr>
        <w:rPr>
          <w:rFonts w:ascii="Times New Roman" w:hAnsi="Times New Roman"/>
          <w:sz w:val="20"/>
          <w:lang w:val="en-GB" w:eastAsia="zh-CN"/>
        </w:rPr>
      </w:pPr>
    </w:p>
    <w:p w14:paraId="6E8FF7B0" w14:textId="77777777" w:rsidR="008E719B" w:rsidRDefault="008E719B" w:rsidP="00E67A80">
      <w:pPr>
        <w:rPr>
          <w:rFonts w:ascii="Times New Roman" w:hAnsi="Times New Roman"/>
          <w:sz w:val="20"/>
          <w:lang w:val="en-GB" w:eastAsia="zh-CN"/>
        </w:rPr>
      </w:pPr>
      <w:r>
        <w:rPr>
          <w:rFonts w:ascii="Times New Roman" w:hAnsi="Times New Roman"/>
          <w:sz w:val="20"/>
          <w:lang w:val="en-GB" w:eastAsia="zh-CN"/>
        </w:rPr>
        <w:t>Regarding the destination index, the current understanding in SA2 is that the L2 Destination ID is solely determined by the service type and there is no explicit linkage between the L2 Destination ID and cast type, since a service type can generate traffic for any cast type. Therefore, it is expected that some information regarding cast type needs to be indicated to the gNB for scheduling. In this case, we think that the Destination index can carry this information as well and so 5 bits should be allocated for it within the BSR.</w:t>
      </w:r>
    </w:p>
    <w:p w14:paraId="13038599" w14:textId="77777777" w:rsidR="008E719B" w:rsidRDefault="008E719B" w:rsidP="00E67A80">
      <w:pPr>
        <w:rPr>
          <w:rFonts w:ascii="Times New Roman" w:hAnsi="Times New Roman"/>
          <w:sz w:val="20"/>
          <w:lang w:val="en-GB" w:eastAsia="zh-CN"/>
        </w:rPr>
      </w:pPr>
    </w:p>
    <w:p w14:paraId="0928FDC0" w14:textId="318D50DF" w:rsidR="008E719B" w:rsidRDefault="008E719B" w:rsidP="00E67A80">
      <w:pPr>
        <w:rPr>
          <w:rFonts w:ascii="Times New Roman" w:hAnsi="Times New Roman"/>
          <w:sz w:val="20"/>
          <w:lang w:val="en-GB" w:eastAsia="zh-CN"/>
        </w:rPr>
      </w:pPr>
      <w:r>
        <w:rPr>
          <w:rFonts w:ascii="Times New Roman" w:hAnsi="Times New Roman"/>
          <w:sz w:val="20"/>
          <w:lang w:val="en-GB" w:eastAsia="zh-CN"/>
        </w:rPr>
        <w:t>Finally, for the buffer si</w:t>
      </w:r>
      <w:r w:rsidR="00D51C38">
        <w:rPr>
          <w:rFonts w:ascii="Times New Roman" w:hAnsi="Times New Roman"/>
          <w:sz w:val="20"/>
          <w:lang w:val="en-GB" w:eastAsia="zh-CN"/>
        </w:rPr>
        <w:t xml:space="preserve">ze, it can be seen that NR Uu buffer size offers a wide range of buffer levels in terms of granularity (see Table 6.1.3.1-2 in TS 38.321), we do not foresee any significant difference from the case of NR Uu and so the buffer size of 8 bits (as in the case of long BSR) can be reused for SL as well. </w:t>
      </w:r>
    </w:p>
    <w:p w14:paraId="40AAF5A2" w14:textId="77777777" w:rsidR="009714E8" w:rsidRDefault="009714E8" w:rsidP="009714E8">
      <w:pPr>
        <w:rPr>
          <w:rFonts w:ascii="Times New Roman" w:hAnsi="Times New Roman"/>
          <w:sz w:val="20"/>
          <w:lang w:val="en-GB" w:eastAsia="zh-CN"/>
        </w:rPr>
      </w:pPr>
    </w:p>
    <w:p w14:paraId="799E0FB4" w14:textId="77777777" w:rsidR="009714E8" w:rsidRDefault="009714E8" w:rsidP="009714E8">
      <w:pPr>
        <w:rPr>
          <w:rFonts w:ascii="Times New Roman" w:eastAsia="Times New Roman" w:hAnsi="Times New Roman"/>
          <w:bCs/>
          <w:i/>
          <w:sz w:val="20"/>
          <w:szCs w:val="20"/>
          <w:lang w:val="en-GB" w:eastAsia="zh-CN"/>
        </w:rPr>
      </w:pPr>
    </w:p>
    <w:p w14:paraId="41D8DDCE" w14:textId="77EFAC1E"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D51C38">
        <w:rPr>
          <w:rFonts w:ascii="Times New Roman" w:eastAsia="Times New Roman" w:hAnsi="Times New Roman"/>
          <w:bCs/>
          <w:i/>
          <w:sz w:val="20"/>
          <w:szCs w:val="20"/>
          <w:lang w:val="en-GB" w:eastAsia="zh-CN"/>
        </w:rPr>
        <w:t xml:space="preserve">NR SL BSR is comprised </w:t>
      </w:r>
      <w:r w:rsidR="009714E8">
        <w:rPr>
          <w:rFonts w:ascii="Times New Roman" w:eastAsia="Times New Roman" w:hAnsi="Times New Roman"/>
          <w:bCs/>
          <w:i/>
          <w:sz w:val="20"/>
          <w:szCs w:val="20"/>
          <w:lang w:val="en-GB" w:eastAsia="zh-CN"/>
        </w:rPr>
        <w:t>of</w:t>
      </w:r>
      <w:r w:rsidR="00D51C38">
        <w:rPr>
          <w:rFonts w:ascii="Times New Roman" w:eastAsia="Times New Roman" w:hAnsi="Times New Roman"/>
          <w:bCs/>
          <w:i/>
          <w:sz w:val="20"/>
          <w:szCs w:val="20"/>
          <w:lang w:val="en-GB" w:eastAsia="zh-CN"/>
        </w:rPr>
        <w:t xml:space="preserve"> 5 bit Destination index, 3 bit LCG and 8 bits buffer size</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646306BE" w14:textId="5C76DC21" w:rsidR="0016703F" w:rsidRPr="00100A13" w:rsidRDefault="009714E8"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 configured grant Type-2 confirmation</w:t>
      </w:r>
    </w:p>
    <w:p w14:paraId="7708A9B7" w14:textId="77777777" w:rsidR="0016703F" w:rsidRDefault="0016703F" w:rsidP="0016703F">
      <w:pPr>
        <w:rPr>
          <w:rFonts w:ascii="Times New Roman" w:hAnsi="Times New Roman"/>
          <w:sz w:val="20"/>
          <w:lang w:val="en-GB" w:eastAsia="zh-CN"/>
        </w:rPr>
      </w:pPr>
    </w:p>
    <w:p w14:paraId="18FC31AA" w14:textId="28A559E0" w:rsidR="00D714C5" w:rsidRDefault="009714E8" w:rsidP="0016703F">
      <w:pPr>
        <w:rPr>
          <w:rFonts w:ascii="Times New Roman" w:hAnsi="Times New Roman"/>
          <w:sz w:val="20"/>
          <w:lang w:val="en-GB" w:eastAsia="zh-CN"/>
        </w:rPr>
      </w:pPr>
      <w:r>
        <w:rPr>
          <w:rFonts w:ascii="Times New Roman" w:hAnsi="Times New Roman"/>
          <w:sz w:val="20"/>
          <w:lang w:val="en-GB" w:eastAsia="zh-CN"/>
        </w:rPr>
        <w:lastRenderedPageBreak/>
        <w:t>It has already been agreed in RAN2 that multiple active configured sidelink grants shall be supported for NR sidelink and that a confirmation for activation or deactivation of a SL configured grant type 2 is needed</w:t>
      </w:r>
      <w:r w:rsidR="00D714C5">
        <w:rPr>
          <w:rFonts w:ascii="Times New Roman" w:hAnsi="Times New Roman"/>
          <w:sz w:val="20"/>
          <w:lang w:val="en-GB" w:eastAsia="zh-CN"/>
        </w:rPr>
        <w:t>.</w:t>
      </w:r>
      <w:r>
        <w:rPr>
          <w:rFonts w:ascii="Times New Roman" w:hAnsi="Times New Roman"/>
          <w:sz w:val="20"/>
          <w:lang w:val="en-GB" w:eastAsia="zh-CN"/>
        </w:rPr>
        <w:t xml:space="preserve"> The main FFS aspect is how this confirmation is performed. In our view, reusing the Uu way of </w:t>
      </w:r>
      <w:r w:rsidR="00B556D6">
        <w:rPr>
          <w:rFonts w:ascii="Times New Roman" w:hAnsi="Times New Roman"/>
          <w:sz w:val="20"/>
          <w:lang w:val="en-GB" w:eastAsia="zh-CN"/>
        </w:rPr>
        <w:t>defining</w:t>
      </w:r>
      <w:r>
        <w:rPr>
          <w:rFonts w:ascii="Times New Roman" w:hAnsi="Times New Roman"/>
          <w:sz w:val="20"/>
          <w:lang w:val="en-GB" w:eastAsia="zh-CN"/>
        </w:rPr>
        <w:t xml:space="preserve"> a new MAC CE for grant confirmation</w:t>
      </w:r>
      <w:r w:rsidR="003C238A">
        <w:rPr>
          <w:rFonts w:ascii="Times New Roman" w:hAnsi="Times New Roman"/>
          <w:sz w:val="20"/>
          <w:lang w:val="en-GB" w:eastAsia="zh-CN"/>
        </w:rPr>
        <w:t xml:space="preserve"> seems sufficient. </w:t>
      </w:r>
      <w:r w:rsidR="008843ED">
        <w:rPr>
          <w:rFonts w:ascii="Times New Roman" w:hAnsi="Times New Roman"/>
          <w:sz w:val="20"/>
          <w:lang w:val="en-GB" w:eastAsia="zh-CN"/>
        </w:rPr>
        <w:t>Specifically, a new MAC CE of size 0 bits can be define</w:t>
      </w:r>
      <w:r w:rsidR="004C0148">
        <w:rPr>
          <w:rFonts w:ascii="Times New Roman" w:hAnsi="Times New Roman"/>
          <w:sz w:val="20"/>
          <w:lang w:val="en-GB" w:eastAsia="zh-CN"/>
        </w:rPr>
        <w:t>d</w:t>
      </w:r>
      <w:r w:rsidR="008843ED">
        <w:rPr>
          <w:rFonts w:ascii="Times New Roman" w:hAnsi="Times New Roman"/>
          <w:sz w:val="20"/>
          <w:lang w:val="en-GB" w:eastAsia="zh-CN"/>
        </w:rPr>
        <w:t xml:space="preserve"> for NR SL and mapped to a new LCID for SL-LCH.</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586EFE03"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8843ED">
        <w:rPr>
          <w:rFonts w:ascii="Times New Roman" w:eastAsia="Times New Roman" w:hAnsi="Times New Roman"/>
          <w:bCs/>
          <w:i/>
          <w:sz w:val="20"/>
          <w:szCs w:val="20"/>
          <w:lang w:val="en-GB" w:eastAsia="zh-CN"/>
        </w:rPr>
        <w:t>A new MAC CE is defined for NR SL for SL configured grant confirmation with size 0 bits (similar to Uu) and a corresponding LCID for SL-LCH is reserved.</w:t>
      </w:r>
    </w:p>
    <w:p w14:paraId="4C06DE1E" w14:textId="32FC440D" w:rsidR="008F2F8E" w:rsidRPr="00100A13" w:rsidRDefault="008F2F8E" w:rsidP="008F2F8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UE assistance information and SL UE information</w:t>
      </w:r>
    </w:p>
    <w:p w14:paraId="3E840448" w14:textId="77777777" w:rsidR="008F2F8E" w:rsidRDefault="008F2F8E" w:rsidP="008F2F8E">
      <w:pPr>
        <w:rPr>
          <w:rFonts w:ascii="Times New Roman" w:hAnsi="Times New Roman"/>
          <w:sz w:val="20"/>
          <w:lang w:val="en-GB" w:eastAsia="zh-CN"/>
        </w:rPr>
      </w:pPr>
    </w:p>
    <w:p w14:paraId="1A203EAF" w14:textId="46CAFFB6" w:rsidR="008F2F8E" w:rsidRDefault="008F2F8E"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LTE, Sidelink UE Information is used by the UE for a number of reasons, for instance, </w:t>
      </w:r>
      <w:r w:rsidRPr="00DA220C">
        <w:rPr>
          <w:rFonts w:ascii="Times New Roman" w:eastAsia="Times New Roman" w:hAnsi="Times New Roman"/>
          <w:bCs/>
          <w:sz w:val="20"/>
          <w:szCs w:val="20"/>
          <w:lang w:val="en-GB" w:eastAsia="zh-CN"/>
        </w:rPr>
        <w:t>inform</w:t>
      </w:r>
      <w:r>
        <w:rPr>
          <w:rFonts w:ascii="Times New Roman" w:eastAsia="Times New Roman" w:hAnsi="Times New Roman"/>
          <w:bCs/>
          <w:sz w:val="20"/>
          <w:szCs w:val="20"/>
          <w:lang w:val="en-GB" w:eastAsia="zh-CN"/>
        </w:rPr>
        <w:t>ing</w:t>
      </w:r>
      <w:r w:rsidRPr="00DA220C">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the eNB</w:t>
      </w:r>
      <w:r w:rsidRPr="00DA220C">
        <w:rPr>
          <w:rFonts w:ascii="Times New Roman" w:eastAsia="Times New Roman" w:hAnsi="Times New Roman"/>
          <w:bCs/>
          <w:sz w:val="20"/>
          <w:szCs w:val="20"/>
          <w:lang w:val="en-GB" w:eastAsia="zh-CN"/>
        </w:rPr>
        <w:t xml:space="preserve"> that the UE is interested to receive V2X sidelink communication, to request assignment or release of transmission resources for V2X sidelink communication and to report the synchronization reference used by the UE for V2X sidelink communication</w:t>
      </w:r>
      <w:r>
        <w:rPr>
          <w:rFonts w:ascii="Times New Roman" w:eastAsia="Times New Roman" w:hAnsi="Times New Roman"/>
          <w:bCs/>
          <w:sz w:val="20"/>
          <w:szCs w:val="20"/>
          <w:lang w:val="en-GB" w:eastAsia="zh-CN"/>
        </w:rPr>
        <w:t>. Assuming the purpose of the sidelink UE information signalling follows LTE, the remaining question left FFS</w:t>
      </w:r>
      <w:r w:rsidR="007F1C57">
        <w:rPr>
          <w:rFonts w:ascii="Times New Roman" w:eastAsia="Times New Roman" w:hAnsi="Times New Roman"/>
          <w:bCs/>
          <w:sz w:val="20"/>
          <w:szCs w:val="20"/>
          <w:lang w:val="en-GB" w:eastAsia="zh-CN"/>
        </w:rPr>
        <w:t xml:space="preserve"> from previous RAN2 discussions</w:t>
      </w:r>
      <w:r>
        <w:rPr>
          <w:rFonts w:ascii="Times New Roman" w:eastAsia="Times New Roman" w:hAnsi="Times New Roman"/>
          <w:bCs/>
          <w:sz w:val="20"/>
          <w:szCs w:val="20"/>
          <w:lang w:val="en-GB" w:eastAsia="zh-CN"/>
        </w:rPr>
        <w:t xml:space="preserve"> is the content of the message itself. For reference, the following information (only relevant to V2X sidelink communication) is included in LTE sidelink UE information message: </w:t>
      </w:r>
    </w:p>
    <w:p w14:paraId="621189E7"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Carrier frequencies on which UE is interested to transmit and receive sidelink V2X communication</w:t>
      </w:r>
    </w:p>
    <w:p w14:paraId="55E443F3"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synchronization reference used</w:t>
      </w:r>
    </w:p>
    <w:p w14:paraId="310FA3BC"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resource pool requested (P2X)</w:t>
      </w:r>
    </w:p>
    <w:p w14:paraId="400930B3"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Reliability information (PPPR) associated with the reported traffic to be transmitted</w:t>
      </w:r>
    </w:p>
    <w:p w14:paraId="3B9E0EDB" w14:textId="3CA97311" w:rsidR="008F2F8E" w:rsidRDefault="008F2F8E" w:rsidP="008F2F8E">
      <w:pPr>
        <w:rPr>
          <w:rFonts w:ascii="Times New Roman" w:eastAsia="Times New Roman" w:hAnsi="Times New Roman"/>
          <w:sz w:val="20"/>
          <w:szCs w:val="20"/>
          <w:lang w:val="en-GB" w:eastAsia="ja-JP"/>
        </w:rPr>
      </w:pPr>
      <w:r>
        <w:rPr>
          <w:rFonts w:ascii="Times New Roman" w:eastAsia="Times New Roman" w:hAnsi="Times New Roman"/>
          <w:bCs/>
          <w:sz w:val="20"/>
          <w:szCs w:val="20"/>
          <w:lang w:val="en-GB" w:eastAsia="zh-CN"/>
        </w:rPr>
        <w:t>While the first three options are expected to be somewhat similar for the case of NR, the final option, i.e. PPPR should be further discussed. Specifically, the QoS information for a given traffic flow is characterized by a QoS p</w:t>
      </w:r>
      <w:r w:rsidR="007634F7">
        <w:rPr>
          <w:rFonts w:ascii="Times New Roman" w:eastAsia="Times New Roman" w:hAnsi="Times New Roman"/>
          <w:bCs/>
          <w:sz w:val="20"/>
          <w:szCs w:val="20"/>
          <w:lang w:val="en-GB" w:eastAsia="zh-CN"/>
        </w:rPr>
        <w:t xml:space="preserve">rofile, including an associated </w:t>
      </w:r>
      <w:r>
        <w:rPr>
          <w:rFonts w:ascii="Times New Roman" w:eastAsia="Times New Roman" w:hAnsi="Times New Roman"/>
          <w:bCs/>
          <w:sz w:val="20"/>
          <w:szCs w:val="20"/>
          <w:lang w:val="en-GB" w:eastAsia="zh-CN"/>
        </w:rPr>
        <w:t xml:space="preserve">PQI indication and </w:t>
      </w:r>
      <w:r w:rsidR="004C0148">
        <w:rPr>
          <w:rFonts w:ascii="Times New Roman" w:eastAsia="Times New Roman" w:hAnsi="Times New Roman"/>
          <w:bCs/>
          <w:sz w:val="20"/>
          <w:szCs w:val="20"/>
          <w:lang w:val="en-GB" w:eastAsia="zh-CN"/>
        </w:rPr>
        <w:t xml:space="preserve">so, </w:t>
      </w:r>
      <w:r>
        <w:rPr>
          <w:rFonts w:ascii="Times New Roman" w:eastAsia="Times New Roman" w:hAnsi="Times New Roman"/>
          <w:bCs/>
          <w:sz w:val="20"/>
          <w:szCs w:val="20"/>
          <w:lang w:val="en-GB" w:eastAsia="zh-CN"/>
        </w:rPr>
        <w:t xml:space="preserve">corresponding enhancements to the </w:t>
      </w:r>
      <w:r w:rsidRPr="008C494E">
        <w:rPr>
          <w:rFonts w:ascii="Times New Roman" w:eastAsia="Times New Roman" w:hAnsi="Times New Roman"/>
          <w:i/>
          <w:sz w:val="20"/>
          <w:szCs w:val="20"/>
          <w:lang w:val="en-GB" w:eastAsia="ja-JP"/>
        </w:rPr>
        <w:t>SidelinkUEInformation</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are needed. In this case, different options can be considered:</w:t>
      </w:r>
    </w:p>
    <w:p w14:paraId="39ACBA81" w14:textId="5DDA5F13" w:rsidR="008F2F8E" w:rsidRDefault="008F2F8E"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The QoS flow identifier (QFI) indicated by the upper layers to the AS layers is included in the SL UE information. Upon reception at the gNB</w:t>
      </w:r>
      <w:r w:rsidR="007634F7">
        <w:rPr>
          <w:rFonts w:ascii="Times New Roman" w:eastAsia="Times New Roman" w:hAnsi="Times New Roman"/>
          <w:bCs/>
          <w:sz w:val="20"/>
          <w:szCs w:val="20"/>
          <w:lang w:val="en-GB" w:eastAsia="zh-CN"/>
        </w:rPr>
        <w:t xml:space="preserve">, it is able to determine the </w:t>
      </w:r>
      <w:r>
        <w:rPr>
          <w:rFonts w:ascii="Times New Roman" w:eastAsia="Times New Roman" w:hAnsi="Times New Roman"/>
          <w:bCs/>
          <w:sz w:val="20"/>
          <w:szCs w:val="20"/>
          <w:lang w:val="en-GB" w:eastAsia="zh-CN"/>
        </w:rPr>
        <w:t>PQI and the corresponding QoS characteristics from CN configuration before allocating resources for transmission.</w:t>
      </w:r>
    </w:p>
    <w:p w14:paraId="327BC3A0" w14:textId="18803DDB" w:rsidR="008F2F8E" w:rsidRDefault="007634F7"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w:t>
      </w:r>
      <w:r w:rsidR="008F2F8E">
        <w:rPr>
          <w:rFonts w:ascii="Times New Roman" w:eastAsia="Times New Roman" w:hAnsi="Times New Roman"/>
          <w:bCs/>
          <w:sz w:val="20"/>
          <w:szCs w:val="20"/>
          <w:lang w:val="en-GB" w:eastAsia="zh-CN"/>
        </w:rPr>
        <w:t xml:space="preserve">PQI associated with a particular QoS flow is explicitly indicated within the SL UE information. The gNB is then able to determine the QoS </w:t>
      </w:r>
      <w:r>
        <w:rPr>
          <w:rFonts w:ascii="Times New Roman" w:eastAsia="Times New Roman" w:hAnsi="Times New Roman"/>
          <w:bCs/>
          <w:sz w:val="20"/>
          <w:szCs w:val="20"/>
          <w:lang w:val="en-GB" w:eastAsia="zh-CN"/>
        </w:rPr>
        <w:t>characteristics</w:t>
      </w:r>
      <w:r w:rsidR="008F2F8E">
        <w:rPr>
          <w:rFonts w:ascii="Times New Roman" w:eastAsia="Times New Roman" w:hAnsi="Times New Roman"/>
          <w:bCs/>
          <w:sz w:val="20"/>
          <w:szCs w:val="20"/>
          <w:lang w:val="en-GB" w:eastAsia="zh-CN"/>
        </w:rPr>
        <w:t>, i.e. priority, reliability, latency, etc. and allocate resources appropriately.</w:t>
      </w:r>
    </w:p>
    <w:p w14:paraId="510CA605" w14:textId="0A420B8C" w:rsidR="008F2F8E" w:rsidRDefault="008F2F8E"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UE derives the QoS </w:t>
      </w:r>
      <w:r w:rsidR="007634F7">
        <w:rPr>
          <w:rFonts w:ascii="Times New Roman" w:eastAsia="Times New Roman" w:hAnsi="Times New Roman"/>
          <w:bCs/>
          <w:sz w:val="20"/>
          <w:szCs w:val="20"/>
          <w:lang w:val="en-GB" w:eastAsia="zh-CN"/>
        </w:rPr>
        <w:t>characteristics</w:t>
      </w:r>
      <w:r>
        <w:rPr>
          <w:rFonts w:ascii="Times New Roman" w:eastAsia="Times New Roman" w:hAnsi="Times New Roman"/>
          <w:bCs/>
          <w:sz w:val="20"/>
          <w:szCs w:val="20"/>
          <w:lang w:val="en-GB" w:eastAsia="zh-CN"/>
        </w:rPr>
        <w:t>, including relia</w:t>
      </w:r>
      <w:r w:rsidR="007634F7">
        <w:rPr>
          <w:rFonts w:ascii="Times New Roman" w:eastAsia="Times New Roman" w:hAnsi="Times New Roman"/>
          <w:bCs/>
          <w:sz w:val="20"/>
          <w:szCs w:val="20"/>
          <w:lang w:val="en-GB" w:eastAsia="zh-CN"/>
        </w:rPr>
        <w:t xml:space="preserve">bility information from the </w:t>
      </w:r>
      <w:r>
        <w:rPr>
          <w:rFonts w:ascii="Times New Roman" w:eastAsia="Times New Roman" w:hAnsi="Times New Roman"/>
          <w:bCs/>
          <w:sz w:val="20"/>
          <w:szCs w:val="20"/>
          <w:lang w:val="en-GB" w:eastAsia="zh-CN"/>
        </w:rPr>
        <w:t>PQI associated with a traffic flow. In this case, the assumption is that the AS layer is configured with a mapping to be able to derive this information. This is then indicated to the gNB similar to the way it was done for LTE.</w:t>
      </w:r>
    </w:p>
    <w:p w14:paraId="6D49DFEF" w14:textId="6D69AC76" w:rsidR="008F2F8E" w:rsidRDefault="008F2F8E"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Alternatively, how to derive the QoS </w:t>
      </w:r>
      <w:r w:rsidR="007634F7">
        <w:rPr>
          <w:rFonts w:ascii="Times New Roman" w:eastAsia="Times New Roman" w:hAnsi="Times New Roman"/>
          <w:bCs/>
          <w:sz w:val="20"/>
          <w:szCs w:val="20"/>
          <w:lang w:val="en-GB" w:eastAsia="zh-CN"/>
        </w:rPr>
        <w:t xml:space="preserve">information from </w:t>
      </w:r>
      <w:r>
        <w:rPr>
          <w:rFonts w:ascii="Times New Roman" w:eastAsia="Times New Roman" w:hAnsi="Times New Roman"/>
          <w:bCs/>
          <w:sz w:val="20"/>
          <w:szCs w:val="20"/>
          <w:lang w:val="en-GB" w:eastAsia="zh-CN"/>
        </w:rPr>
        <w:t xml:space="preserve">PQI to be indicated to the gNB can be left to UE implementation. </w:t>
      </w:r>
    </w:p>
    <w:p w14:paraId="4620D706" w14:textId="42822A87" w:rsidR="008F2F8E" w:rsidRDefault="008F2F8E"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Even though the above options have their own set of merits and demerits, we think that options 3 and 4 seem less valid due to reliance on NW driven SLRB configuration </w:t>
      </w:r>
      <w:r w:rsidR="007634F7">
        <w:rPr>
          <w:rFonts w:ascii="Times New Roman" w:eastAsia="Times New Roman" w:hAnsi="Times New Roman"/>
          <w:bCs/>
          <w:sz w:val="20"/>
          <w:szCs w:val="20"/>
          <w:lang w:val="en-GB" w:eastAsia="zh-CN"/>
        </w:rPr>
        <w:t xml:space="preserve">and </w:t>
      </w:r>
      <w:r>
        <w:rPr>
          <w:rFonts w:ascii="Times New Roman" w:eastAsia="Times New Roman" w:hAnsi="Times New Roman"/>
          <w:bCs/>
          <w:sz w:val="20"/>
          <w:szCs w:val="20"/>
          <w:lang w:val="en-GB" w:eastAsia="zh-CN"/>
        </w:rPr>
        <w:t>PQI based QoS formulation in NR V2X. So</w:t>
      </w:r>
      <w:r w:rsidR="00B43DF8">
        <w:rPr>
          <w:rFonts w:ascii="Times New Roman" w:eastAsia="Times New Roman" w:hAnsi="Times New Roman"/>
          <w:bCs/>
          <w:sz w:val="20"/>
          <w:szCs w:val="20"/>
          <w:lang w:val="en-GB" w:eastAsia="zh-CN"/>
        </w:rPr>
        <w:t xml:space="preserve">, how </w:t>
      </w:r>
      <w:r>
        <w:rPr>
          <w:rFonts w:ascii="Times New Roman" w:eastAsia="Times New Roman" w:hAnsi="Times New Roman"/>
          <w:bCs/>
          <w:sz w:val="20"/>
          <w:szCs w:val="20"/>
          <w:lang w:val="en-GB" w:eastAsia="zh-CN"/>
        </w:rPr>
        <w:t xml:space="preserve">the QoS information </w:t>
      </w:r>
      <w:r w:rsidR="00B43DF8">
        <w:rPr>
          <w:rFonts w:ascii="Times New Roman" w:eastAsia="Times New Roman" w:hAnsi="Times New Roman"/>
          <w:bCs/>
          <w:sz w:val="20"/>
          <w:szCs w:val="20"/>
          <w:lang w:val="en-GB" w:eastAsia="zh-CN"/>
        </w:rPr>
        <w:t xml:space="preserve">is </w:t>
      </w:r>
      <w:r>
        <w:rPr>
          <w:rFonts w:ascii="Times New Roman" w:eastAsia="Times New Roman" w:hAnsi="Times New Roman"/>
          <w:bCs/>
          <w:sz w:val="20"/>
          <w:szCs w:val="20"/>
          <w:lang w:val="en-GB" w:eastAsia="zh-CN"/>
        </w:rPr>
        <w:t>included (either explicitly or implicitly based on some mapping) in the SL UE information should be discussed and agreed in RAN2.</w:t>
      </w:r>
    </w:p>
    <w:p w14:paraId="73549F9E" w14:textId="77777777" w:rsidR="00B43DF8" w:rsidRPr="008C494E" w:rsidRDefault="00B43DF8" w:rsidP="008F2F8E">
      <w:pPr>
        <w:rPr>
          <w:rFonts w:ascii="Times New Roman" w:eastAsia="Times New Roman" w:hAnsi="Times New Roman"/>
          <w:bCs/>
          <w:sz w:val="20"/>
          <w:szCs w:val="20"/>
          <w:lang w:val="en-GB" w:eastAsia="zh-CN"/>
        </w:rPr>
      </w:pPr>
    </w:p>
    <w:p w14:paraId="74E5DD1D" w14:textId="1A1E687E" w:rsidR="008F2F8E" w:rsidRDefault="008F2F8E" w:rsidP="008F2F8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F1C57">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UE information for NR V2X shall include at least the following information:</w:t>
      </w:r>
    </w:p>
    <w:p w14:paraId="31609CDE" w14:textId="77777777" w:rsidR="008F2F8E" w:rsidRPr="00A70815" w:rsidRDefault="008F2F8E" w:rsidP="008F2F8E">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Carrier frequencies on which UE is interested to transmit and receive sidelink V2X communication</w:t>
      </w:r>
    </w:p>
    <w:p w14:paraId="626EC9E3" w14:textId="77777777" w:rsidR="008F2F8E" w:rsidRPr="00A70815" w:rsidRDefault="008F2F8E" w:rsidP="008F2F8E">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 of synchronization reference used</w:t>
      </w:r>
    </w:p>
    <w:p w14:paraId="7C5F82E4" w14:textId="7E061742" w:rsidR="008F2F8E" w:rsidRPr="00A70815" w:rsidRDefault="008F2F8E" w:rsidP="008F2F8E">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Pr>
          <w:rFonts w:ascii="Times New Roman" w:eastAsia="Times New Roman" w:hAnsi="Times New Roman"/>
          <w:bCs/>
          <w:i/>
          <w:sz w:val="20"/>
          <w:szCs w:val="20"/>
          <w:lang w:val="en-GB" w:eastAsia="zh-CN"/>
        </w:rPr>
        <w:t>V2X traffic (</w:t>
      </w:r>
      <w:r w:rsidR="007634F7">
        <w:rPr>
          <w:rFonts w:ascii="Times New Roman" w:eastAsia="Times New Roman" w:hAnsi="Times New Roman"/>
          <w:bCs/>
          <w:i/>
          <w:sz w:val="20"/>
          <w:szCs w:val="20"/>
          <w:lang w:val="en-GB" w:eastAsia="zh-CN"/>
        </w:rPr>
        <w:t xml:space="preserve">either via indication of </w:t>
      </w:r>
      <w:r w:rsidRPr="00A70815">
        <w:rPr>
          <w:rFonts w:ascii="Times New Roman" w:eastAsia="Times New Roman" w:hAnsi="Times New Roman"/>
          <w:bCs/>
          <w:i/>
          <w:sz w:val="20"/>
          <w:szCs w:val="20"/>
          <w:lang w:val="en-GB" w:eastAsia="zh-CN"/>
        </w:rPr>
        <w:t>PQI or QFI</w:t>
      </w:r>
      <w:r>
        <w:rPr>
          <w:rFonts w:ascii="Times New Roman" w:eastAsia="Times New Roman" w:hAnsi="Times New Roman"/>
          <w:bCs/>
          <w:i/>
          <w:sz w:val="20"/>
          <w:szCs w:val="20"/>
          <w:lang w:val="en-GB" w:eastAsia="zh-CN"/>
        </w:rPr>
        <w:t xml:space="preserve"> for outgoing traffic)</w:t>
      </w:r>
    </w:p>
    <w:p w14:paraId="772D566B" w14:textId="77777777" w:rsidR="008F2F8E" w:rsidRDefault="008F2F8E" w:rsidP="008F2F8E">
      <w:pPr>
        <w:rPr>
          <w:rFonts w:ascii="Times New Roman" w:hAnsi="Times New Roman"/>
          <w:sz w:val="20"/>
          <w:lang w:val="en-GB" w:eastAsia="zh-CN"/>
        </w:rPr>
      </w:pPr>
    </w:p>
    <w:p w14:paraId="21592ECD" w14:textId="0335DAD7" w:rsidR="008F2F8E" w:rsidRDefault="008F2F8E" w:rsidP="008F2F8E">
      <w:pPr>
        <w:rPr>
          <w:rFonts w:ascii="Times New Roman" w:hAnsi="Times New Roman"/>
          <w:sz w:val="20"/>
          <w:lang w:val="en-GB" w:eastAsia="zh-CN"/>
        </w:rPr>
      </w:pPr>
      <w:r>
        <w:rPr>
          <w:rFonts w:ascii="Times New Roman" w:hAnsi="Times New Roman"/>
          <w:sz w:val="20"/>
          <w:lang w:val="en-GB" w:eastAsia="zh-CN"/>
        </w:rPr>
        <w:t xml:space="preserve">Similarly for the case of UE assistance information, which carries traffic destination information and traffic pattern information for sidelink V2X communication to support SPS configuration (and is largely relevant for periodic traffic only), including periodicity, timing offset, priority (PPPP) and reliability (PPPR) for the expected V2X traffic, the same argument applies. The QoS metrics, i.e. PPPP and PPPR from LTE have to be replaced with the NR V2X QoS characteristics accordingly. Since SA2 assume that only standardized VQI is supported for this release </w:t>
      </w:r>
      <w:sdt>
        <w:sdtPr>
          <w:rPr>
            <w:rFonts w:ascii="Times New Roman" w:hAnsi="Times New Roman"/>
            <w:sz w:val="20"/>
            <w:lang w:val="en-GB" w:eastAsia="zh-CN"/>
          </w:rPr>
          <w:id w:val="-947932384"/>
          <w:citation/>
        </w:sdtPr>
        <w:sdtEndPr/>
        <w:sdtContent>
          <w:r>
            <w:rPr>
              <w:rFonts w:ascii="Times New Roman" w:hAnsi="Times New Roman"/>
              <w:sz w:val="20"/>
              <w:lang w:val="en-GB" w:eastAsia="zh-CN"/>
            </w:rPr>
            <w:fldChar w:fldCharType="begin"/>
          </w:r>
          <w:r>
            <w:rPr>
              <w:rFonts w:ascii="Times New Roman" w:hAnsi="Times New Roman"/>
              <w:sz w:val="20"/>
              <w:lang w:eastAsia="zh-CN"/>
            </w:rPr>
            <w:instrText xml:space="preserve"> CITATION TR23786 \l 1033 </w:instrText>
          </w:r>
          <w:r>
            <w:rPr>
              <w:rFonts w:ascii="Times New Roman" w:hAnsi="Times New Roman"/>
              <w:sz w:val="20"/>
              <w:lang w:val="en-GB" w:eastAsia="zh-CN"/>
            </w:rPr>
            <w:fldChar w:fldCharType="separate"/>
          </w:r>
          <w:r w:rsidR="00E52066" w:rsidRPr="00E52066">
            <w:rPr>
              <w:rFonts w:ascii="Times New Roman" w:hAnsi="Times New Roman"/>
              <w:noProof/>
              <w:sz w:val="20"/>
              <w:lang w:eastAsia="zh-CN"/>
            </w:rPr>
            <w:t>[2]</w:t>
          </w:r>
          <w:r>
            <w:rPr>
              <w:rFonts w:ascii="Times New Roman" w:hAnsi="Times New Roman"/>
              <w:sz w:val="20"/>
              <w:lang w:val="en-GB" w:eastAsia="zh-CN"/>
            </w:rPr>
            <w:fldChar w:fldCharType="end"/>
          </w:r>
        </w:sdtContent>
      </w:sdt>
      <w:r>
        <w:rPr>
          <w:rFonts w:ascii="Times New Roman" w:hAnsi="Times New Roman"/>
          <w:sz w:val="20"/>
          <w:lang w:val="en-GB" w:eastAsia="zh-CN"/>
        </w:rPr>
        <w:t>, the VQI/PQI associated with a given V2X traffic pattern should be sufficient to indicate at least the priority and reliability information (FFS whether data rate or range needs to be addi</w:t>
      </w:r>
      <w:r w:rsidR="00ED2C11">
        <w:rPr>
          <w:rFonts w:ascii="Times New Roman" w:hAnsi="Times New Roman"/>
          <w:sz w:val="20"/>
          <w:lang w:val="en-GB" w:eastAsia="zh-CN"/>
        </w:rPr>
        <w:t>tionally indicated). Therefore</w:t>
      </w:r>
      <w:r>
        <w:rPr>
          <w:rFonts w:ascii="Times New Roman" w:hAnsi="Times New Roman"/>
          <w:sz w:val="20"/>
          <w:lang w:val="en-GB" w:eastAsia="zh-CN"/>
        </w:rPr>
        <w:t>, explicit indication of either VQI/PQI or QFI (through which priority/reliability can be derived) should be sufficient to inform gNB regarding the expected V2X traffic at the UE.</w:t>
      </w:r>
    </w:p>
    <w:p w14:paraId="675B669A" w14:textId="77777777" w:rsidR="00ED2C11" w:rsidRPr="0042051B" w:rsidRDefault="00ED2C11" w:rsidP="008F2F8E">
      <w:pPr>
        <w:rPr>
          <w:rFonts w:ascii="Times New Roman" w:hAnsi="Times New Roman"/>
          <w:sz w:val="20"/>
          <w:lang w:val="en-GB" w:eastAsia="zh-CN"/>
        </w:rPr>
      </w:pPr>
    </w:p>
    <w:p w14:paraId="1971769A" w14:textId="68D24827" w:rsidR="008F2F8E" w:rsidRPr="00A70815" w:rsidRDefault="007F1C57" w:rsidP="001914E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sidR="008F2F8E">
        <w:rPr>
          <w:rFonts w:ascii="Times New Roman" w:eastAsia="Times New Roman" w:hAnsi="Times New Roman"/>
          <w:b/>
          <w:bCs/>
          <w:sz w:val="20"/>
          <w:szCs w:val="20"/>
          <w:u w:val="single"/>
          <w:lang w:val="en-GB" w:eastAsia="zh-CN"/>
        </w:rPr>
        <w:t>:</w:t>
      </w:r>
      <w:r w:rsidR="008F2F8E">
        <w:rPr>
          <w:rFonts w:ascii="Times New Roman" w:eastAsia="Times New Roman" w:hAnsi="Times New Roman"/>
          <w:b/>
          <w:bCs/>
          <w:sz w:val="20"/>
          <w:szCs w:val="20"/>
          <w:lang w:val="en-GB" w:eastAsia="zh-CN"/>
        </w:rPr>
        <w:tab/>
      </w:r>
      <w:r w:rsidR="008F2F8E">
        <w:rPr>
          <w:rFonts w:ascii="Times New Roman" w:eastAsia="Times New Roman" w:hAnsi="Times New Roman"/>
          <w:bCs/>
          <w:i/>
          <w:sz w:val="20"/>
          <w:szCs w:val="20"/>
          <w:lang w:val="en-GB" w:eastAsia="zh-CN"/>
        </w:rPr>
        <w:t xml:space="preserve">The </w:t>
      </w:r>
      <w:r w:rsidR="008F2F8E" w:rsidRPr="00A70815">
        <w:rPr>
          <w:rFonts w:ascii="Times New Roman" w:eastAsia="Times New Roman" w:hAnsi="Times New Roman"/>
          <w:bCs/>
          <w:i/>
          <w:sz w:val="20"/>
          <w:szCs w:val="20"/>
          <w:lang w:val="en-GB" w:eastAsia="zh-CN"/>
        </w:rPr>
        <w:t xml:space="preserve">QoS information </w:t>
      </w:r>
      <w:r w:rsidR="00491FE1">
        <w:rPr>
          <w:rFonts w:ascii="Times New Roman" w:eastAsia="Times New Roman" w:hAnsi="Times New Roman"/>
          <w:bCs/>
          <w:i/>
          <w:sz w:val="20"/>
          <w:szCs w:val="20"/>
          <w:lang w:val="en-GB" w:eastAsia="zh-CN"/>
        </w:rPr>
        <w:t xml:space="preserve">within UE assistance information </w:t>
      </w:r>
      <w:r w:rsidR="008F2F8E" w:rsidRPr="00A70815">
        <w:rPr>
          <w:rFonts w:ascii="Times New Roman" w:eastAsia="Times New Roman" w:hAnsi="Times New Roman"/>
          <w:bCs/>
          <w:i/>
          <w:sz w:val="20"/>
          <w:szCs w:val="20"/>
          <w:lang w:val="en-GB" w:eastAsia="zh-CN"/>
        </w:rPr>
        <w:t xml:space="preserve">for the reported </w:t>
      </w:r>
      <w:r w:rsidR="00491FE1">
        <w:rPr>
          <w:rFonts w:ascii="Times New Roman" w:eastAsia="Times New Roman" w:hAnsi="Times New Roman"/>
          <w:bCs/>
          <w:i/>
          <w:sz w:val="20"/>
          <w:szCs w:val="20"/>
          <w:lang w:val="en-GB" w:eastAsia="zh-CN"/>
        </w:rPr>
        <w:t xml:space="preserve">NR </w:t>
      </w:r>
      <w:r w:rsidR="008F2F8E">
        <w:rPr>
          <w:rFonts w:ascii="Times New Roman" w:eastAsia="Times New Roman" w:hAnsi="Times New Roman"/>
          <w:bCs/>
          <w:i/>
          <w:sz w:val="20"/>
          <w:szCs w:val="20"/>
          <w:lang w:val="en-GB" w:eastAsia="zh-CN"/>
        </w:rPr>
        <w:t xml:space="preserve">V2X traffic </w:t>
      </w:r>
      <w:r w:rsidR="00491FE1">
        <w:rPr>
          <w:rFonts w:ascii="Times New Roman" w:eastAsia="Times New Roman" w:hAnsi="Times New Roman"/>
          <w:bCs/>
          <w:i/>
          <w:sz w:val="20"/>
          <w:szCs w:val="20"/>
          <w:lang w:val="en-GB" w:eastAsia="zh-CN"/>
        </w:rPr>
        <w:t xml:space="preserve">includes </w:t>
      </w:r>
      <w:r w:rsidR="008F2F8E" w:rsidRPr="00A70815">
        <w:rPr>
          <w:rFonts w:ascii="Times New Roman" w:eastAsia="Times New Roman" w:hAnsi="Times New Roman"/>
          <w:bCs/>
          <w:i/>
          <w:sz w:val="20"/>
          <w:szCs w:val="20"/>
          <w:lang w:val="en-GB" w:eastAsia="zh-CN"/>
        </w:rPr>
        <w:t>QFI</w:t>
      </w:r>
      <w:r w:rsidR="008F2F8E">
        <w:rPr>
          <w:rFonts w:ascii="Times New Roman" w:eastAsia="Times New Roman" w:hAnsi="Times New Roman"/>
          <w:bCs/>
          <w:i/>
          <w:sz w:val="20"/>
          <w:szCs w:val="20"/>
          <w:lang w:val="en-GB" w:eastAsia="zh-CN"/>
        </w:rPr>
        <w:t xml:space="preserve"> for </w:t>
      </w:r>
      <w:r w:rsidR="00491FE1">
        <w:rPr>
          <w:rFonts w:ascii="Times New Roman" w:eastAsia="Times New Roman" w:hAnsi="Times New Roman"/>
          <w:bCs/>
          <w:i/>
          <w:sz w:val="20"/>
          <w:szCs w:val="20"/>
          <w:lang w:val="en-GB" w:eastAsia="zh-CN"/>
        </w:rPr>
        <w:t>the</w:t>
      </w:r>
      <w:r w:rsidR="008F2F8E">
        <w:rPr>
          <w:rFonts w:ascii="Times New Roman" w:eastAsia="Times New Roman" w:hAnsi="Times New Roman"/>
          <w:bCs/>
          <w:i/>
          <w:sz w:val="20"/>
          <w:szCs w:val="20"/>
          <w:lang w:val="en-GB" w:eastAsia="zh-CN"/>
        </w:rPr>
        <w:t xml:space="preserve"> </w:t>
      </w:r>
      <w:r w:rsidR="00491FE1">
        <w:rPr>
          <w:rFonts w:ascii="Times New Roman" w:eastAsia="Times New Roman" w:hAnsi="Times New Roman"/>
          <w:bCs/>
          <w:i/>
          <w:sz w:val="20"/>
          <w:szCs w:val="20"/>
          <w:lang w:val="en-GB" w:eastAsia="zh-CN"/>
        </w:rPr>
        <w:t xml:space="preserve">corresponding </w:t>
      </w:r>
      <w:r w:rsidR="008F2F8E">
        <w:rPr>
          <w:rFonts w:ascii="Times New Roman" w:eastAsia="Times New Roman" w:hAnsi="Times New Roman"/>
          <w:bCs/>
          <w:i/>
          <w:sz w:val="20"/>
          <w:szCs w:val="20"/>
          <w:lang w:val="en-GB" w:eastAsia="zh-CN"/>
        </w:rPr>
        <w:t>traffic flow</w:t>
      </w:r>
      <w:r w:rsidR="00491FE1">
        <w:rPr>
          <w:rFonts w:ascii="Times New Roman" w:eastAsia="Times New Roman" w:hAnsi="Times New Roman"/>
          <w:bCs/>
          <w:i/>
          <w:sz w:val="20"/>
          <w:szCs w:val="20"/>
          <w:lang w:val="en-GB" w:eastAsia="zh-CN"/>
        </w:rPr>
        <w:t>.</w:t>
      </w:r>
      <w:r w:rsidR="00432FD2">
        <w:rPr>
          <w:rFonts w:ascii="Times New Roman" w:eastAsia="Times New Roman" w:hAnsi="Times New Roman"/>
          <w:bCs/>
          <w:i/>
          <w:sz w:val="20"/>
          <w:szCs w:val="20"/>
          <w:lang w:val="en-GB" w:eastAsia="zh-CN"/>
        </w:rPr>
        <w:t xml:space="preserve"> The gNB can derive the QoS characteristics for the periodic traffic from reported QFI through provisioning information from 5GC.</w:t>
      </w:r>
    </w:p>
    <w:p w14:paraId="30DFB336" w14:textId="77777777" w:rsidR="008F2F8E" w:rsidRPr="00BA50C6" w:rsidRDefault="008F2F8E" w:rsidP="008F2F8E">
      <w:pPr>
        <w:ind w:left="1170" w:hanging="1170"/>
        <w:rPr>
          <w:rFonts w:ascii="Times New Roman" w:eastAsia="Times New Roman" w:hAnsi="Times New Roman"/>
          <w:bCs/>
          <w:i/>
          <w:sz w:val="20"/>
          <w:szCs w:val="20"/>
          <w:lang w:val="en-GB" w:eastAsia="zh-CN"/>
        </w:rPr>
      </w:pPr>
    </w:p>
    <w:p w14:paraId="10EADA1D" w14:textId="32961A46" w:rsidR="008F2F8E" w:rsidRDefault="008F2F8E" w:rsidP="008F2F8E">
      <w:pPr>
        <w:rPr>
          <w:rFonts w:ascii="Times New Roman" w:eastAsia="Times New Roman" w:hAnsi="Times New Roman"/>
          <w:sz w:val="20"/>
          <w:szCs w:val="20"/>
          <w:lang w:val="en-GB" w:eastAsia="ja-JP"/>
        </w:rPr>
      </w:pPr>
      <w:r>
        <w:rPr>
          <w:rFonts w:ascii="Times New Roman" w:hAnsi="Times New Roman"/>
          <w:sz w:val="20"/>
          <w:lang w:val="en-GB" w:eastAsia="zh-CN"/>
        </w:rPr>
        <w:t xml:space="preserve">One related aspect is actually specifying how the UE sets the content of the traffic pattern information. In LTE, when to trigger and how to trigger the assistance information, as well as how to set the content of the </w:t>
      </w:r>
      <w:r w:rsidRPr="00DF0B7E">
        <w:rPr>
          <w:rFonts w:ascii="Times New Roman" w:eastAsia="Times New Roman" w:hAnsi="Times New Roman"/>
          <w:i/>
          <w:sz w:val="20"/>
          <w:szCs w:val="20"/>
          <w:lang w:val="en-GB" w:eastAsia="ja-JP"/>
        </w:rPr>
        <w:t>TrafficPatternInfo</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 xml:space="preserve">IE was left to UE implementation </w:t>
      </w:r>
      <w:sdt>
        <w:sdtPr>
          <w:rPr>
            <w:rFonts w:ascii="Times New Roman" w:eastAsia="Times New Roman" w:hAnsi="Times New Roman"/>
            <w:sz w:val="20"/>
            <w:szCs w:val="20"/>
            <w:lang w:val="en-GB" w:eastAsia="ja-JP"/>
          </w:rPr>
          <w:id w:val="-192162457"/>
          <w:citation/>
        </w:sdtPr>
        <w:sdtEndPr/>
        <w:sdtContent>
          <w:r>
            <w:rPr>
              <w:rFonts w:ascii="Times New Roman" w:eastAsia="Times New Roman" w:hAnsi="Times New Roman"/>
              <w:sz w:val="20"/>
              <w:szCs w:val="20"/>
              <w:lang w:val="en-GB" w:eastAsia="ja-JP"/>
            </w:rPr>
            <w:fldChar w:fldCharType="begin"/>
          </w:r>
          <w:r>
            <w:rPr>
              <w:rFonts w:ascii="Times New Roman" w:eastAsia="Times New Roman" w:hAnsi="Times New Roman"/>
              <w:sz w:val="20"/>
              <w:szCs w:val="20"/>
              <w:lang w:eastAsia="ja-JP"/>
            </w:rPr>
            <w:instrText xml:space="preserve"> CITATION 36331 \l 1033 </w:instrText>
          </w:r>
          <w:r>
            <w:rPr>
              <w:rFonts w:ascii="Times New Roman" w:eastAsia="Times New Roman" w:hAnsi="Times New Roman"/>
              <w:sz w:val="20"/>
              <w:szCs w:val="20"/>
              <w:lang w:val="en-GB" w:eastAsia="ja-JP"/>
            </w:rPr>
            <w:fldChar w:fldCharType="separate"/>
          </w:r>
          <w:r w:rsidR="00E52066" w:rsidRPr="00E52066">
            <w:rPr>
              <w:rFonts w:ascii="Times New Roman" w:eastAsia="Times New Roman" w:hAnsi="Times New Roman"/>
              <w:noProof/>
              <w:sz w:val="20"/>
              <w:szCs w:val="20"/>
              <w:lang w:eastAsia="ja-JP"/>
            </w:rPr>
            <w:t>[3]</w:t>
          </w:r>
          <w:r>
            <w:rPr>
              <w:rFonts w:ascii="Times New Roman" w:eastAsia="Times New Roman" w:hAnsi="Times New Roman"/>
              <w:sz w:val="20"/>
              <w:szCs w:val="20"/>
              <w:lang w:val="en-GB" w:eastAsia="ja-JP"/>
            </w:rPr>
            <w:fldChar w:fldCharType="end"/>
          </w:r>
        </w:sdtContent>
      </w:sdt>
      <w:r>
        <w:rPr>
          <w:rFonts w:ascii="Times New Roman" w:eastAsia="Times New Roman" w:hAnsi="Times New Roman"/>
          <w:sz w:val="20"/>
          <w:szCs w:val="20"/>
          <w:lang w:val="en-GB" w:eastAsia="ja-JP"/>
        </w:rPr>
        <w:t xml:space="preserve">. For NR, we do not see any reason to differ from this behaviour, given that UE has the best idea of the expected V2X traffic it needs to transmit and the related periodicity and QoS information. </w:t>
      </w:r>
      <w:r w:rsidR="00ED2C11">
        <w:rPr>
          <w:rFonts w:ascii="Times New Roman" w:eastAsia="Times New Roman" w:hAnsi="Times New Roman"/>
          <w:sz w:val="20"/>
          <w:szCs w:val="20"/>
          <w:lang w:val="en-GB" w:eastAsia="ja-JP"/>
        </w:rPr>
        <w:t xml:space="preserve">It is also not clear if the application layer has clear way of indicating the periodicity information, given that it can be generating traffic corresponding to different services at any given time. </w:t>
      </w:r>
      <w:r>
        <w:rPr>
          <w:rFonts w:ascii="Times New Roman" w:eastAsia="Times New Roman" w:hAnsi="Times New Roman"/>
          <w:sz w:val="20"/>
          <w:szCs w:val="20"/>
          <w:lang w:val="en-GB" w:eastAsia="ja-JP"/>
        </w:rPr>
        <w:t>Therefore, we propose to keep the same behaviour as LTE.</w:t>
      </w:r>
    </w:p>
    <w:p w14:paraId="437AAE38" w14:textId="77777777" w:rsidR="00ED2C11" w:rsidRDefault="00ED2C11" w:rsidP="008F2F8E">
      <w:pPr>
        <w:ind w:left="1170" w:hanging="1170"/>
        <w:rPr>
          <w:rFonts w:ascii="Times New Roman" w:eastAsia="Times New Roman" w:hAnsi="Times New Roman"/>
          <w:b/>
          <w:bCs/>
          <w:sz w:val="20"/>
          <w:szCs w:val="20"/>
          <w:u w:val="single"/>
          <w:lang w:val="en-GB" w:eastAsia="zh-CN"/>
        </w:rPr>
      </w:pPr>
    </w:p>
    <w:p w14:paraId="1CBE468E" w14:textId="41612674" w:rsidR="008F2F8E" w:rsidRPr="001D5230" w:rsidRDefault="008F2F8E" w:rsidP="008F2F8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F1C57">
        <w:rPr>
          <w:rFonts w:ascii="Times New Roman" w:eastAsia="Times New Roman" w:hAnsi="Times New Roman"/>
          <w:b/>
          <w:bCs/>
          <w:sz w:val="20"/>
          <w:szCs w:val="20"/>
          <w:u w:val="single"/>
          <w:lang w:val="en-GB" w:eastAsia="zh-CN"/>
        </w:rPr>
        <w:t xml:space="preserve"> 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7F1C57">
        <w:rPr>
          <w:rFonts w:ascii="Times New Roman" w:eastAsia="Times New Roman" w:hAnsi="Times New Roman"/>
          <w:bCs/>
          <w:i/>
          <w:sz w:val="20"/>
          <w:szCs w:val="20"/>
          <w:lang w:val="en-GB" w:eastAsia="zh-CN"/>
        </w:rPr>
        <w:t>W</w:t>
      </w:r>
      <w:r>
        <w:rPr>
          <w:rFonts w:ascii="Times New Roman" w:eastAsia="Times New Roman" w:hAnsi="Times New Roman"/>
          <w:bCs/>
          <w:i/>
          <w:sz w:val="20"/>
          <w:szCs w:val="20"/>
          <w:lang w:val="en-GB" w:eastAsia="zh-CN"/>
        </w:rPr>
        <w:t>hen and how to trigger UE assistance information and how to specify the content of traffic pattern information (e.g. periodicity) is left to UE implementation (similar to LTE).</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49F7543D"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134755">
        <w:rPr>
          <w:rFonts w:ascii="Times New Roman" w:eastAsia="Times New Roman" w:hAnsi="Times New Roman"/>
          <w:bCs/>
          <w:sz w:val="20"/>
          <w:szCs w:val="20"/>
          <w:lang w:val="en-GB" w:eastAsia="zh-CN"/>
        </w:rPr>
        <w:t>MAC design</w:t>
      </w:r>
      <w:r w:rsidR="00C40041">
        <w:rPr>
          <w:rFonts w:ascii="Times New Roman" w:eastAsia="Times New Roman" w:hAnsi="Times New Roman"/>
          <w:bCs/>
          <w:sz w:val="20"/>
          <w:szCs w:val="20"/>
          <w:lang w:val="en-GB" w:eastAsia="zh-CN"/>
        </w:rPr>
        <w:t xml:space="preserve"> </w:t>
      </w:r>
      <w:r w:rsidR="00134755">
        <w:rPr>
          <w:rFonts w:ascii="Times New Roman" w:eastAsia="Times New Roman" w:hAnsi="Times New Roman"/>
          <w:bCs/>
          <w:sz w:val="20"/>
          <w:szCs w:val="20"/>
          <w:lang w:val="en-GB" w:eastAsia="zh-CN"/>
        </w:rPr>
        <w:t xml:space="preserve">for NR </w:t>
      </w:r>
      <w:r w:rsidR="00C40041">
        <w:rPr>
          <w:rFonts w:ascii="Times New Roman" w:eastAsia="Times New Roman" w:hAnsi="Times New Roman"/>
          <w:bCs/>
          <w:sz w:val="20"/>
          <w:szCs w:val="20"/>
          <w:lang w:val="en-GB" w:eastAsia="zh-CN"/>
        </w:rPr>
        <w:t>sidelink</w:t>
      </w:r>
      <w:r w:rsidR="00134755">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3E4526E7" w14:textId="77777777" w:rsidR="00134755" w:rsidRPr="00B1479A" w:rsidRDefault="00134755" w:rsidP="00E77C59">
      <w:pPr>
        <w:ind w:left="1170" w:hanging="1170"/>
        <w:divId w:val="1131898881"/>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NR SL BSR is comprised of 5 bit Destination index, 3 bit LCG and 8 bits buffer size.</w:t>
      </w:r>
    </w:p>
    <w:p w14:paraId="7DF231D3" w14:textId="77777777" w:rsidR="00134755" w:rsidRPr="00B1479A" w:rsidRDefault="00134755" w:rsidP="00E77C59">
      <w:pPr>
        <w:ind w:left="1170" w:hanging="1170"/>
        <w:divId w:val="1131898881"/>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new MAC CE is defined for NR SL for SL configured grant confirmation with size 0 bits (similar to Uu) and a corresponding LCID for SL-LCH is reserved.</w:t>
      </w:r>
    </w:p>
    <w:p w14:paraId="4F6E578C" w14:textId="77777777" w:rsidR="00134755" w:rsidRDefault="00134755" w:rsidP="00134755">
      <w:pPr>
        <w:ind w:left="1170" w:hanging="1170"/>
        <w:divId w:val="1131898881"/>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UE information for NR V2X shall include at least the following information:</w:t>
      </w:r>
    </w:p>
    <w:p w14:paraId="57218547" w14:textId="77777777" w:rsidR="00134755" w:rsidRPr="00A70815" w:rsidRDefault="00134755" w:rsidP="00134755">
      <w:pPr>
        <w:numPr>
          <w:ilvl w:val="1"/>
          <w:numId w:val="39"/>
        </w:numPr>
        <w:divId w:val="1131898881"/>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Carrier frequencies on which UE is interested to transmit and receive sidelink V2X communication</w:t>
      </w:r>
    </w:p>
    <w:p w14:paraId="3C02D274" w14:textId="77777777" w:rsidR="00134755" w:rsidRPr="00A70815" w:rsidRDefault="00134755" w:rsidP="00134755">
      <w:pPr>
        <w:numPr>
          <w:ilvl w:val="1"/>
          <w:numId w:val="39"/>
        </w:numPr>
        <w:divId w:val="1131898881"/>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 of synchronization reference used</w:t>
      </w:r>
    </w:p>
    <w:p w14:paraId="535087ED" w14:textId="77777777" w:rsidR="00134755" w:rsidRPr="00A70815" w:rsidRDefault="00134755" w:rsidP="00134755">
      <w:pPr>
        <w:numPr>
          <w:ilvl w:val="1"/>
          <w:numId w:val="39"/>
        </w:numPr>
        <w:divId w:val="1131898881"/>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Pr>
          <w:rFonts w:ascii="Times New Roman" w:eastAsia="Times New Roman" w:hAnsi="Times New Roman"/>
          <w:bCs/>
          <w:i/>
          <w:sz w:val="20"/>
          <w:szCs w:val="20"/>
          <w:lang w:val="en-GB" w:eastAsia="zh-CN"/>
        </w:rPr>
        <w:t xml:space="preserve">V2X traffic (either via indication of </w:t>
      </w:r>
      <w:r w:rsidRPr="00A70815">
        <w:rPr>
          <w:rFonts w:ascii="Times New Roman" w:eastAsia="Times New Roman" w:hAnsi="Times New Roman"/>
          <w:bCs/>
          <w:i/>
          <w:sz w:val="20"/>
          <w:szCs w:val="20"/>
          <w:lang w:val="en-GB" w:eastAsia="zh-CN"/>
        </w:rPr>
        <w:t>PQI or QFI</w:t>
      </w:r>
      <w:r>
        <w:rPr>
          <w:rFonts w:ascii="Times New Roman" w:eastAsia="Times New Roman" w:hAnsi="Times New Roman"/>
          <w:bCs/>
          <w:i/>
          <w:sz w:val="20"/>
          <w:szCs w:val="20"/>
          <w:lang w:val="en-GB" w:eastAsia="zh-CN"/>
        </w:rPr>
        <w:t xml:space="preserve"> for outgoing traffic)</w:t>
      </w:r>
    </w:p>
    <w:p w14:paraId="1270FE01" w14:textId="77777777" w:rsidR="00432FD2" w:rsidRPr="00A70815" w:rsidRDefault="00432FD2" w:rsidP="00432FD2">
      <w:pPr>
        <w:ind w:left="1170" w:hanging="1170"/>
        <w:divId w:val="1131898881"/>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w:t>
      </w:r>
      <w:r w:rsidRPr="00A70815">
        <w:rPr>
          <w:rFonts w:ascii="Times New Roman" w:eastAsia="Times New Roman" w:hAnsi="Times New Roman"/>
          <w:bCs/>
          <w:i/>
          <w:sz w:val="20"/>
          <w:szCs w:val="20"/>
          <w:lang w:val="en-GB" w:eastAsia="zh-CN"/>
        </w:rPr>
        <w:t xml:space="preserve">QoS information </w:t>
      </w:r>
      <w:r>
        <w:rPr>
          <w:rFonts w:ascii="Times New Roman" w:eastAsia="Times New Roman" w:hAnsi="Times New Roman"/>
          <w:bCs/>
          <w:i/>
          <w:sz w:val="20"/>
          <w:szCs w:val="20"/>
          <w:lang w:val="en-GB" w:eastAsia="zh-CN"/>
        </w:rPr>
        <w:t xml:space="preserve">within UE assistance information </w:t>
      </w:r>
      <w:r w:rsidRPr="00A70815">
        <w:rPr>
          <w:rFonts w:ascii="Times New Roman" w:eastAsia="Times New Roman" w:hAnsi="Times New Roman"/>
          <w:bCs/>
          <w:i/>
          <w:sz w:val="20"/>
          <w:szCs w:val="20"/>
          <w:lang w:val="en-GB" w:eastAsia="zh-CN"/>
        </w:rPr>
        <w:t xml:space="preserve">for the reported </w:t>
      </w:r>
      <w:r>
        <w:rPr>
          <w:rFonts w:ascii="Times New Roman" w:eastAsia="Times New Roman" w:hAnsi="Times New Roman"/>
          <w:bCs/>
          <w:i/>
          <w:sz w:val="20"/>
          <w:szCs w:val="20"/>
          <w:lang w:val="en-GB" w:eastAsia="zh-CN"/>
        </w:rPr>
        <w:t xml:space="preserve">NR V2X traffic includes </w:t>
      </w:r>
      <w:r w:rsidRPr="00A70815">
        <w:rPr>
          <w:rFonts w:ascii="Times New Roman" w:eastAsia="Times New Roman" w:hAnsi="Times New Roman"/>
          <w:bCs/>
          <w:i/>
          <w:sz w:val="20"/>
          <w:szCs w:val="20"/>
          <w:lang w:val="en-GB" w:eastAsia="zh-CN"/>
        </w:rPr>
        <w:t>QFI</w:t>
      </w:r>
      <w:r>
        <w:rPr>
          <w:rFonts w:ascii="Times New Roman" w:eastAsia="Times New Roman" w:hAnsi="Times New Roman"/>
          <w:bCs/>
          <w:i/>
          <w:sz w:val="20"/>
          <w:szCs w:val="20"/>
          <w:lang w:val="en-GB" w:eastAsia="zh-CN"/>
        </w:rPr>
        <w:t xml:space="preserve"> for the corresponding traffic flow. The gNB can derive the QoS characteristics for the periodic traffic from reported QFI through provisioning information from 5GC.</w:t>
      </w:r>
    </w:p>
    <w:p w14:paraId="47491DF1" w14:textId="78F6CA59" w:rsidR="00134755" w:rsidRPr="001D5230" w:rsidRDefault="00432FD2" w:rsidP="00134755">
      <w:pPr>
        <w:ind w:left="1170" w:hanging="1170"/>
        <w:divId w:val="1131898881"/>
        <w:rPr>
          <w:rFonts w:ascii="Times New Roman" w:eastAsia="Times New Roman" w:hAnsi="Times New Roman"/>
          <w:bCs/>
          <w:i/>
          <w:sz w:val="20"/>
          <w:szCs w:val="20"/>
          <w:lang w:val="en-GB" w:eastAsia="zh-CN"/>
        </w:rPr>
      </w:pPr>
      <w:r w:rsidDel="00432FD2">
        <w:rPr>
          <w:rFonts w:ascii="Times New Roman" w:eastAsia="Times New Roman" w:hAnsi="Times New Roman"/>
          <w:b/>
          <w:bCs/>
          <w:sz w:val="20"/>
          <w:szCs w:val="20"/>
          <w:u w:val="single"/>
          <w:lang w:val="en-GB" w:eastAsia="zh-CN"/>
        </w:rPr>
        <w:t xml:space="preserve"> </w:t>
      </w:r>
      <w:r w:rsidR="00134755">
        <w:rPr>
          <w:rFonts w:ascii="Times New Roman" w:eastAsia="Times New Roman" w:hAnsi="Times New Roman"/>
          <w:b/>
          <w:bCs/>
          <w:sz w:val="20"/>
          <w:szCs w:val="20"/>
          <w:u w:val="single"/>
          <w:lang w:val="en-GB" w:eastAsia="zh-CN"/>
        </w:rPr>
        <w:t>Proposal 5:</w:t>
      </w:r>
      <w:r w:rsidR="00134755">
        <w:rPr>
          <w:rFonts w:ascii="Times New Roman" w:eastAsia="Times New Roman" w:hAnsi="Times New Roman"/>
          <w:b/>
          <w:bCs/>
          <w:sz w:val="20"/>
          <w:szCs w:val="20"/>
          <w:lang w:val="en-GB" w:eastAsia="zh-CN"/>
        </w:rPr>
        <w:tab/>
      </w:r>
      <w:r w:rsidR="00134755">
        <w:rPr>
          <w:rFonts w:ascii="Times New Roman" w:eastAsia="Times New Roman" w:hAnsi="Times New Roman"/>
          <w:bCs/>
          <w:i/>
          <w:sz w:val="20"/>
          <w:szCs w:val="20"/>
          <w:lang w:val="en-GB" w:eastAsia="zh-CN"/>
        </w:rPr>
        <w:t>When and how to trigger UE assistance information and how to specify the content of traffic pattern information (e.g. periodicity) is left to UE implementation (similar to LTE).</w:t>
      </w:r>
    </w:p>
    <w:sdt>
      <w:sdtPr>
        <w:rPr>
          <w:rFonts w:ascii="Calibri" w:eastAsia="SimSun" w:hAnsi="Calibri"/>
          <w:noProof w:val="0"/>
          <w:sz w:val="22"/>
          <w:szCs w:val="22"/>
          <w:lang w:eastAsia="en-US"/>
        </w:rPr>
        <w:id w:val="70091276"/>
        <w:docPartObj>
          <w:docPartGallery w:val="Bibliographies"/>
          <w:docPartUnique/>
        </w:docPartObj>
      </w:sdtPr>
      <w:sdtEndPr/>
      <w:sdtContent>
        <w:p w14:paraId="5E3E3FDE" w14:textId="77777777" w:rsidR="00E52066" w:rsidRDefault="0063286E" w:rsidP="00E52066">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52066" w14:paraId="2D4A56AF" w14:textId="77777777" w:rsidTr="00E52066">
            <w:trPr>
              <w:divId w:val="1131898881"/>
              <w:tblCellSpacing w:w="15" w:type="dxa"/>
            </w:trPr>
            <w:tc>
              <w:tcPr>
                <w:tcW w:w="50" w:type="pct"/>
                <w:hideMark/>
              </w:tcPr>
              <w:p w14:paraId="2B03F8CD" w14:textId="77777777" w:rsidR="00E52066" w:rsidRDefault="00E52066">
                <w:pPr>
                  <w:pStyle w:val="Bibliography"/>
                  <w:rPr>
                    <w:noProof/>
                    <w:sz w:val="24"/>
                    <w:szCs w:val="24"/>
                  </w:rPr>
                </w:pPr>
                <w:r>
                  <w:rPr>
                    <w:noProof/>
                  </w:rPr>
                  <w:t xml:space="preserve">[1] </w:t>
                </w:r>
              </w:p>
            </w:tc>
            <w:tc>
              <w:tcPr>
                <w:tcW w:w="0" w:type="auto"/>
                <w:hideMark/>
              </w:tcPr>
              <w:p w14:paraId="526CA6DD" w14:textId="77777777" w:rsidR="00E52066" w:rsidRDefault="00E52066">
                <w:pPr>
                  <w:pStyle w:val="Bibliography"/>
                  <w:rPr>
                    <w:noProof/>
                  </w:rPr>
                </w:pPr>
                <w:r>
                  <w:rPr>
                    <w:noProof/>
                  </w:rPr>
                  <w:t xml:space="preserve">RAN2#105bis, NR V2X: Chairman Notes. </w:t>
                </w:r>
              </w:p>
            </w:tc>
          </w:tr>
          <w:tr w:rsidR="00E52066" w14:paraId="64AAD709" w14:textId="77777777" w:rsidTr="00E52066">
            <w:trPr>
              <w:divId w:val="1131898881"/>
              <w:tblCellSpacing w:w="15" w:type="dxa"/>
            </w:trPr>
            <w:tc>
              <w:tcPr>
                <w:tcW w:w="50" w:type="pct"/>
                <w:hideMark/>
              </w:tcPr>
              <w:p w14:paraId="17EC4EB8" w14:textId="77777777" w:rsidR="00E52066" w:rsidRDefault="00E52066">
                <w:pPr>
                  <w:pStyle w:val="Bibliography"/>
                  <w:rPr>
                    <w:noProof/>
                  </w:rPr>
                </w:pPr>
                <w:r>
                  <w:rPr>
                    <w:noProof/>
                  </w:rPr>
                  <w:t xml:space="preserve">[2] </w:t>
                </w:r>
              </w:p>
            </w:tc>
            <w:tc>
              <w:tcPr>
                <w:tcW w:w="0" w:type="auto"/>
                <w:hideMark/>
              </w:tcPr>
              <w:p w14:paraId="5F94A5D5" w14:textId="77777777" w:rsidR="00E52066" w:rsidRDefault="00E52066">
                <w:pPr>
                  <w:pStyle w:val="Bibliography"/>
                  <w:rPr>
                    <w:noProof/>
                  </w:rPr>
                </w:pPr>
                <w:r>
                  <w:rPr>
                    <w:noProof/>
                  </w:rPr>
                  <w:t xml:space="preserve">TR 23.786, Study on architecture enhancements for the Evolved Packet System (EPS) and the 5G System (5GS) to support advanced V2X services. </w:t>
                </w:r>
              </w:p>
            </w:tc>
          </w:tr>
          <w:tr w:rsidR="00E52066" w14:paraId="2097C382" w14:textId="77777777" w:rsidTr="00E52066">
            <w:trPr>
              <w:divId w:val="1131898881"/>
              <w:tblCellSpacing w:w="15" w:type="dxa"/>
            </w:trPr>
            <w:tc>
              <w:tcPr>
                <w:tcW w:w="50" w:type="pct"/>
                <w:hideMark/>
              </w:tcPr>
              <w:p w14:paraId="09085B60" w14:textId="77777777" w:rsidR="00E52066" w:rsidRDefault="00E52066">
                <w:pPr>
                  <w:pStyle w:val="Bibliography"/>
                  <w:rPr>
                    <w:noProof/>
                  </w:rPr>
                </w:pPr>
                <w:r>
                  <w:rPr>
                    <w:noProof/>
                  </w:rPr>
                  <w:t xml:space="preserve">[3] </w:t>
                </w:r>
              </w:p>
            </w:tc>
            <w:tc>
              <w:tcPr>
                <w:tcW w:w="0" w:type="auto"/>
                <w:hideMark/>
              </w:tcPr>
              <w:p w14:paraId="20A622F5" w14:textId="77777777" w:rsidR="00E52066" w:rsidRDefault="00E52066">
                <w:pPr>
                  <w:pStyle w:val="Bibliography"/>
                  <w:rPr>
                    <w:noProof/>
                  </w:rPr>
                </w:pPr>
                <w:r>
                  <w:rPr>
                    <w:noProof/>
                  </w:rPr>
                  <w:t xml:space="preserve">"TS 36.331, Evolved Universal Terrestrial Radio Access (E-UTRA); Radio Resource Control (RRC); Protocol specification". </w:t>
                </w:r>
              </w:p>
            </w:tc>
          </w:tr>
        </w:tbl>
        <w:p w14:paraId="79341609" w14:textId="77777777" w:rsidR="00E52066" w:rsidRDefault="00E52066" w:rsidP="00E52066">
          <w:pPr>
            <w:divId w:val="1131898881"/>
            <w:rPr>
              <w:rFonts w:eastAsia="Times New Roman"/>
              <w:noProof/>
            </w:rPr>
          </w:pPr>
        </w:p>
        <w:p w14:paraId="3B293168" w14:textId="42F460DC" w:rsidR="00E43B63" w:rsidRDefault="000A472B" w:rsidP="00E52066">
          <w:pPr>
            <w:divId w:val="1131898881"/>
            <w:rPr>
              <w:rFonts w:eastAsia="Times New Roman"/>
              <w:noProof/>
            </w:rPr>
          </w:pPr>
          <w:r>
            <w:rPr>
              <w:rFonts w:eastAsia="Times New Roman"/>
              <w:noProof/>
            </w:rPr>
            <w:fldChar w:fldCharType="end"/>
          </w:r>
        </w:p>
        <w:p w14:paraId="50A28EEF" w14:textId="41D9B9E6" w:rsidR="00E0063E" w:rsidRPr="00E43B63" w:rsidRDefault="00223E09"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3E09">
      <w:rPr>
        <w:rFonts w:ascii="Arial" w:hAnsi="Arial" w:cs="Arial"/>
        <w:b/>
        <w:noProof/>
        <w:sz w:val="18"/>
        <w:szCs w:val="18"/>
      </w:rPr>
      <w:t>1</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E46A8"/>
    <w:multiLevelType w:val="multilevel"/>
    <w:tmpl w:val="937A1756"/>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4"/>
  </w:num>
  <w:num w:numId="3">
    <w:abstractNumId w:val="17"/>
  </w:num>
  <w:num w:numId="4">
    <w:abstractNumId w:val="16"/>
  </w:num>
  <w:num w:numId="5">
    <w:abstractNumId w:val="6"/>
    <w:lvlOverride w:ilvl="0">
      <w:startOverride w:val="1"/>
    </w:lvlOverride>
  </w:num>
  <w:num w:numId="6">
    <w:abstractNumId w:val="8"/>
    <w:lvlOverride w:ilvl="0">
      <w:startOverride w:val="2"/>
    </w:lvlOverride>
  </w:num>
  <w:num w:numId="7">
    <w:abstractNumId w:val="35"/>
  </w:num>
  <w:num w:numId="8">
    <w:abstractNumId w:val="12"/>
  </w:num>
  <w:num w:numId="9">
    <w:abstractNumId w:val="9"/>
  </w:num>
  <w:num w:numId="10">
    <w:abstractNumId w:val="29"/>
  </w:num>
  <w:num w:numId="11">
    <w:abstractNumId w:val="37"/>
  </w:num>
  <w:num w:numId="12">
    <w:abstractNumId w:val="7"/>
  </w:num>
  <w:num w:numId="13">
    <w:abstractNumId w:val="10"/>
  </w:num>
  <w:num w:numId="14">
    <w:abstractNumId w:val="3"/>
  </w:num>
  <w:num w:numId="15">
    <w:abstractNumId w:val="4"/>
  </w:num>
  <w:num w:numId="16">
    <w:abstractNumId w:val="15"/>
  </w:num>
  <w:num w:numId="17">
    <w:abstractNumId w:val="34"/>
  </w:num>
  <w:num w:numId="18">
    <w:abstractNumId w:val="13"/>
  </w:num>
  <w:num w:numId="19">
    <w:abstractNumId w:val="30"/>
  </w:num>
  <w:num w:numId="20">
    <w:abstractNumId w:val="2"/>
  </w:num>
  <w:num w:numId="21">
    <w:abstractNumId w:val="36"/>
  </w:num>
  <w:num w:numId="22">
    <w:abstractNumId w:val="1"/>
  </w:num>
  <w:num w:numId="23">
    <w:abstractNumId w:val="28"/>
  </w:num>
  <w:num w:numId="24">
    <w:abstractNumId w:val="39"/>
  </w:num>
  <w:num w:numId="25">
    <w:abstractNumId w:val="26"/>
  </w:num>
  <w:num w:numId="26">
    <w:abstractNumId w:val="22"/>
  </w:num>
  <w:num w:numId="27">
    <w:abstractNumId w:val="20"/>
  </w:num>
  <w:num w:numId="28">
    <w:abstractNumId w:val="38"/>
  </w:num>
  <w:num w:numId="29">
    <w:abstractNumId w:val="0"/>
  </w:num>
  <w:num w:numId="30">
    <w:abstractNumId w:val="11"/>
  </w:num>
  <w:num w:numId="31">
    <w:abstractNumId w:val="32"/>
  </w:num>
  <w:num w:numId="32">
    <w:abstractNumId w:val="21"/>
  </w:num>
  <w:num w:numId="33">
    <w:abstractNumId w:val="27"/>
  </w:num>
  <w:num w:numId="34">
    <w:abstractNumId w:val="23"/>
  </w:num>
  <w:num w:numId="35">
    <w:abstractNumId w:val="14"/>
  </w:num>
  <w:num w:numId="36">
    <w:abstractNumId w:val="18"/>
  </w:num>
  <w:num w:numId="37">
    <w:abstractNumId w:val="19"/>
  </w:num>
  <w:num w:numId="38">
    <w:abstractNumId w:val="31"/>
  </w:num>
  <w:num w:numId="39">
    <w:abstractNumId w:val="25"/>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B32EB"/>
    <w:rsid w:val="000D2BE5"/>
    <w:rsid w:val="000D6536"/>
    <w:rsid w:val="000E4761"/>
    <w:rsid w:val="000E493C"/>
    <w:rsid w:val="000F00FC"/>
    <w:rsid w:val="000F1C37"/>
    <w:rsid w:val="000F54CA"/>
    <w:rsid w:val="00100001"/>
    <w:rsid w:val="00100A13"/>
    <w:rsid w:val="00111236"/>
    <w:rsid w:val="001128E0"/>
    <w:rsid w:val="0011610B"/>
    <w:rsid w:val="00116AED"/>
    <w:rsid w:val="00120B9E"/>
    <w:rsid w:val="00134755"/>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14E7"/>
    <w:rsid w:val="00195430"/>
    <w:rsid w:val="00197B45"/>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3E09"/>
    <w:rsid w:val="00225341"/>
    <w:rsid w:val="00231844"/>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918"/>
    <w:rsid w:val="00361EF9"/>
    <w:rsid w:val="003638A3"/>
    <w:rsid w:val="0037540A"/>
    <w:rsid w:val="00377DF9"/>
    <w:rsid w:val="003848A3"/>
    <w:rsid w:val="00384CB8"/>
    <w:rsid w:val="00385E3E"/>
    <w:rsid w:val="00396B24"/>
    <w:rsid w:val="00397FA3"/>
    <w:rsid w:val="003A766F"/>
    <w:rsid w:val="003B424F"/>
    <w:rsid w:val="003B6208"/>
    <w:rsid w:val="003B6BC4"/>
    <w:rsid w:val="003C238A"/>
    <w:rsid w:val="003C2812"/>
    <w:rsid w:val="003D022C"/>
    <w:rsid w:val="003D1D55"/>
    <w:rsid w:val="003D42CB"/>
    <w:rsid w:val="003E1161"/>
    <w:rsid w:val="003E250C"/>
    <w:rsid w:val="003E76DD"/>
    <w:rsid w:val="003F0F74"/>
    <w:rsid w:val="0040277F"/>
    <w:rsid w:val="004035EF"/>
    <w:rsid w:val="004061A4"/>
    <w:rsid w:val="004114F2"/>
    <w:rsid w:val="00412F14"/>
    <w:rsid w:val="00413455"/>
    <w:rsid w:val="00415F96"/>
    <w:rsid w:val="00416235"/>
    <w:rsid w:val="00424635"/>
    <w:rsid w:val="00430F3A"/>
    <w:rsid w:val="00432FD2"/>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1FE1"/>
    <w:rsid w:val="0049247B"/>
    <w:rsid w:val="004941A2"/>
    <w:rsid w:val="004A45E2"/>
    <w:rsid w:val="004B0748"/>
    <w:rsid w:val="004B2F1A"/>
    <w:rsid w:val="004C0148"/>
    <w:rsid w:val="004C21C6"/>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01A"/>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61C20"/>
    <w:rsid w:val="00667231"/>
    <w:rsid w:val="006720DF"/>
    <w:rsid w:val="00673EBD"/>
    <w:rsid w:val="006821CE"/>
    <w:rsid w:val="0068421C"/>
    <w:rsid w:val="006851F2"/>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634F7"/>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1C57"/>
    <w:rsid w:val="007F2F4C"/>
    <w:rsid w:val="007F4E81"/>
    <w:rsid w:val="00813FBF"/>
    <w:rsid w:val="00822B9A"/>
    <w:rsid w:val="00827742"/>
    <w:rsid w:val="00833E79"/>
    <w:rsid w:val="00835599"/>
    <w:rsid w:val="008364DC"/>
    <w:rsid w:val="008369AB"/>
    <w:rsid w:val="008418C6"/>
    <w:rsid w:val="00842457"/>
    <w:rsid w:val="00845DB1"/>
    <w:rsid w:val="00850DC6"/>
    <w:rsid w:val="00851FB1"/>
    <w:rsid w:val="008610A8"/>
    <w:rsid w:val="00861C7A"/>
    <w:rsid w:val="008669B1"/>
    <w:rsid w:val="00875F14"/>
    <w:rsid w:val="00876F5D"/>
    <w:rsid w:val="008775ED"/>
    <w:rsid w:val="00883D0A"/>
    <w:rsid w:val="00883EF2"/>
    <w:rsid w:val="008843ED"/>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E03BE"/>
    <w:rsid w:val="008E4A12"/>
    <w:rsid w:val="008E5071"/>
    <w:rsid w:val="008E719B"/>
    <w:rsid w:val="008F15B9"/>
    <w:rsid w:val="008F2F8E"/>
    <w:rsid w:val="008F53FA"/>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14E8"/>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2285"/>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D48B8"/>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3EE3"/>
    <w:rsid w:val="00B438F2"/>
    <w:rsid w:val="00B43DF8"/>
    <w:rsid w:val="00B45EDF"/>
    <w:rsid w:val="00B556A6"/>
    <w:rsid w:val="00B556D6"/>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5ED2"/>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51C38"/>
    <w:rsid w:val="00D65AAE"/>
    <w:rsid w:val="00D70FEC"/>
    <w:rsid w:val="00D714C5"/>
    <w:rsid w:val="00D74365"/>
    <w:rsid w:val="00D75EC2"/>
    <w:rsid w:val="00D75FE1"/>
    <w:rsid w:val="00D80BD1"/>
    <w:rsid w:val="00D90B79"/>
    <w:rsid w:val="00D94525"/>
    <w:rsid w:val="00DA2C5B"/>
    <w:rsid w:val="00DA51EE"/>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066"/>
    <w:rsid w:val="00E529F9"/>
    <w:rsid w:val="00E53137"/>
    <w:rsid w:val="00E60548"/>
    <w:rsid w:val="00E63487"/>
    <w:rsid w:val="00E65894"/>
    <w:rsid w:val="00E6786C"/>
    <w:rsid w:val="00E67A80"/>
    <w:rsid w:val="00E73BA3"/>
    <w:rsid w:val="00E76581"/>
    <w:rsid w:val="00E772C0"/>
    <w:rsid w:val="00E77C59"/>
    <w:rsid w:val="00E77D40"/>
    <w:rsid w:val="00E86837"/>
    <w:rsid w:val="00E87B8A"/>
    <w:rsid w:val="00E93113"/>
    <w:rsid w:val="00E936F6"/>
    <w:rsid w:val="00EA1EA7"/>
    <w:rsid w:val="00EA295F"/>
    <w:rsid w:val="00EA395E"/>
    <w:rsid w:val="00EA68B2"/>
    <w:rsid w:val="00EB0968"/>
    <w:rsid w:val="00EB2A11"/>
    <w:rsid w:val="00EB52C7"/>
    <w:rsid w:val="00EC1C57"/>
    <w:rsid w:val="00EC7E0A"/>
    <w:rsid w:val="00ED00AF"/>
    <w:rsid w:val="00ED2C11"/>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2574"/>
    <w:rsid w:val="00FD3E66"/>
    <w:rsid w:val="00FD4AC8"/>
    <w:rsid w:val="00FE0F53"/>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25953321">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314205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4398718">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1551337">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0991427">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875009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3283621">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2344004">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08797170">
      <w:bodyDiv w:val="1"/>
      <w:marLeft w:val="0"/>
      <w:marRight w:val="0"/>
      <w:marTop w:val="0"/>
      <w:marBottom w:val="0"/>
      <w:divBdr>
        <w:top w:val="none" w:sz="0" w:space="0" w:color="auto"/>
        <w:left w:val="none" w:sz="0" w:space="0" w:color="auto"/>
        <w:bottom w:val="none" w:sz="0" w:space="0" w:color="auto"/>
        <w:right w:val="none" w:sz="0" w:space="0" w:color="auto"/>
      </w:divBdr>
    </w:div>
    <w:div w:id="71211646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32489694">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852228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1584550">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57226916">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51799897">
      <w:bodyDiv w:val="1"/>
      <w:marLeft w:val="0"/>
      <w:marRight w:val="0"/>
      <w:marTop w:val="0"/>
      <w:marBottom w:val="0"/>
      <w:divBdr>
        <w:top w:val="none" w:sz="0" w:space="0" w:color="auto"/>
        <w:left w:val="none" w:sz="0" w:space="0" w:color="auto"/>
        <w:bottom w:val="none" w:sz="0" w:space="0" w:color="auto"/>
        <w:right w:val="none" w:sz="0" w:space="0" w:color="auto"/>
      </w:divBdr>
    </w:div>
    <w:div w:id="1860309826">
      <w:bodyDiv w:val="1"/>
      <w:marLeft w:val="0"/>
      <w:marRight w:val="0"/>
      <w:marTop w:val="0"/>
      <w:marBottom w:val="0"/>
      <w:divBdr>
        <w:top w:val="none" w:sz="0" w:space="0" w:color="auto"/>
        <w:left w:val="none" w:sz="0" w:space="0" w:color="auto"/>
        <w:bottom w:val="none" w:sz="0" w:space="0" w:color="auto"/>
        <w:right w:val="none" w:sz="0" w:space="0" w:color="auto"/>
      </w:divBdr>
    </w:div>
    <w:div w:id="189053110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323207">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4120682">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298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36331</b:Tag>
    <b:SourceType>ConferenceProceedings</b:SourceType>
    <b:Guid>{A45FF0F1-BF19-41B2-9A28-22FFC07C7548}</b:Guid>
    <b:Title>TS 36.331, Evolved Universal Terrestrial Radio Access (E-UTRA); Radio Resource Control (RRC); Protocol specification</b:Title>
    <b:RefOrder>3</b:RefOrder>
  </b:Source>
  <b:Source>
    <b:Tag>TR23786</b:Tag>
    <b:SourceType>Book</b:SourceType>
    <b:Guid>{9D64D244-E1B1-441B-A6AE-760AAAAE9A2E}</b:Guid>
    <b:Title>TR 23.786, Study on architecture enhancements for the Evolved Packet System (EPS) and the 5G System (5GS) to support advanced V2X services</b:Title>
    <b:RefOrder>2</b:RefOrder>
  </b:Source>
  <b:Source>
    <b:Tag>RAN2105bisV2X</b:Tag>
    <b:SourceType>Book</b:SourceType>
    <b:Guid>{AF175339-A326-4BEC-A9AF-00EB2565C59F}</b:Guid>
    <b:Title>RAN2#105bis, NR V2X: Chairman Notes</b:Title>
    <b:RefOrder>1</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599869F-6143-4C4D-ACB4-0BA33E93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12533</TotalTime>
  <Pages>3</Pages>
  <Words>1649</Words>
  <Characters>8397</Characters>
  <Application>Microsoft Office Word</Application>
  <DocSecurity>0</DocSecurity>
  <Lines>146</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393</cp:revision>
  <dcterms:created xsi:type="dcterms:W3CDTF">2017-08-12T02:26:00Z</dcterms:created>
  <dcterms:modified xsi:type="dcterms:W3CDTF">2019-05-03T02:33:00Z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2019-05-03 02:33:04Z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