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37D53686"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EE5DBE">
        <w:rPr>
          <w:sz w:val="24"/>
          <w:lang w:val="en-GB" w:eastAsia="zh-CN"/>
        </w:rPr>
        <w:t>6</w:t>
      </w:r>
      <w:r w:rsidRPr="00EE6198">
        <w:rPr>
          <w:sz w:val="24"/>
          <w:lang w:val="en-GB" w:eastAsia="zh-CN"/>
        </w:rPr>
        <w:tab/>
      </w:r>
      <w:r w:rsidR="005C3865" w:rsidRPr="005C3865">
        <w:rPr>
          <w:sz w:val="24"/>
          <w:lang w:val="en-GB" w:eastAsia="zh-CN"/>
        </w:rPr>
        <w:t>R2-1906427</w:t>
      </w:r>
    </w:p>
    <w:p w14:paraId="7D109D32" w14:textId="3487A12B" w:rsidR="00B24821" w:rsidRPr="00B24821" w:rsidRDefault="00EE5DBE" w:rsidP="00B24821">
      <w:pPr>
        <w:pStyle w:val="Header"/>
        <w:tabs>
          <w:tab w:val="right" w:pos="9639"/>
        </w:tabs>
        <w:rPr>
          <w:sz w:val="24"/>
          <w:lang w:val="en-GB" w:eastAsia="ko-KR"/>
        </w:rPr>
      </w:pPr>
      <w:r>
        <w:rPr>
          <w:sz w:val="24"/>
          <w:lang w:val="en-GB" w:eastAsia="ko-KR"/>
        </w:rPr>
        <w:t>Reno</w:t>
      </w:r>
      <w:r w:rsidR="00B24821" w:rsidRPr="00B24821">
        <w:rPr>
          <w:sz w:val="24"/>
          <w:lang w:val="en-GB" w:eastAsia="ko-KR"/>
        </w:rPr>
        <w:t xml:space="preserve">, </w:t>
      </w:r>
      <w:r>
        <w:rPr>
          <w:sz w:val="24"/>
          <w:lang w:val="en-GB" w:eastAsia="ko-KR"/>
        </w:rPr>
        <w:t>USA</w:t>
      </w:r>
      <w:r w:rsidR="00C02839">
        <w:rPr>
          <w:sz w:val="24"/>
          <w:lang w:val="en-GB" w:eastAsia="ko-KR"/>
        </w:rPr>
        <w:t>, 13</w:t>
      </w:r>
      <w:r w:rsidR="00C02839" w:rsidRPr="00C02839">
        <w:rPr>
          <w:sz w:val="24"/>
          <w:vertAlign w:val="superscript"/>
          <w:lang w:val="en-GB" w:eastAsia="ko-KR"/>
        </w:rPr>
        <w:t>th</w:t>
      </w:r>
      <w:r w:rsidR="00C02839">
        <w:rPr>
          <w:sz w:val="24"/>
          <w:lang w:val="en-GB" w:eastAsia="ko-KR"/>
        </w:rPr>
        <w:t xml:space="preserve"> – 17</w:t>
      </w:r>
      <w:r w:rsidR="00B24821" w:rsidRPr="00B24821">
        <w:rPr>
          <w:sz w:val="24"/>
          <w:vertAlign w:val="superscript"/>
          <w:lang w:val="en-GB" w:eastAsia="ko-KR"/>
        </w:rPr>
        <w:t>th</w:t>
      </w:r>
      <w:bookmarkStart w:id="0" w:name="_GoBack"/>
      <w:bookmarkEnd w:id="0"/>
      <w:r w:rsidR="00B24821" w:rsidRPr="00B24821">
        <w:rPr>
          <w:sz w:val="24"/>
          <w:lang w:val="en-GB" w:eastAsia="ko-KR"/>
        </w:rPr>
        <w:t xml:space="preserve"> </w:t>
      </w:r>
      <w:r>
        <w:rPr>
          <w:sz w:val="24"/>
          <w:lang w:val="en-GB" w:eastAsia="ko-KR"/>
        </w:rPr>
        <w:t>May</w:t>
      </w:r>
      <w:r w:rsidR="00B24821" w:rsidRPr="00B24821">
        <w:rPr>
          <w:sz w:val="24"/>
          <w:lang w:val="en-GB" w:eastAsia="ko-KR"/>
        </w:rPr>
        <w:t xml:space="preserve"> 2019</w:t>
      </w:r>
    </w:p>
    <w:p w14:paraId="4C209772" w14:textId="2A2C3597" w:rsidR="00A507B8" w:rsidRPr="00550983" w:rsidRDefault="00A507B8" w:rsidP="00A507B8">
      <w:pPr>
        <w:pStyle w:val="Header"/>
        <w:tabs>
          <w:tab w:val="right" w:pos="9639"/>
        </w:tabs>
        <w:rPr>
          <w:sz w:val="24"/>
          <w:lang w:val="en-GB" w:eastAsia="zh-CN"/>
        </w:rPr>
      </w:pPr>
      <w:r>
        <w:rPr>
          <w:sz w:val="24"/>
          <w:lang w:val="en-GB" w:eastAsia="zh-CN"/>
        </w:rPr>
        <w:tab/>
      </w:r>
    </w:p>
    <w:p w14:paraId="50A28E94" w14:textId="168DE361" w:rsidR="007D05E3" w:rsidRPr="00B24821" w:rsidRDefault="009D5BAB" w:rsidP="00B24821">
      <w:pPr>
        <w:pStyle w:val="Header"/>
        <w:tabs>
          <w:tab w:val="right" w:pos="9639"/>
        </w:tabs>
        <w:rPr>
          <w:bCs/>
          <w:i/>
          <w:noProof w:val="0"/>
          <w:sz w:val="24"/>
        </w:rPr>
      </w:pPr>
      <w:r w:rsidRPr="009D56B1">
        <w:rPr>
          <w:noProof w:val="0"/>
          <w:sz w:val="24"/>
          <w:lang w:eastAsia="zh-CN"/>
        </w:rPr>
        <w:tab/>
      </w:r>
    </w:p>
    <w:p w14:paraId="50A28E95" w14:textId="127AE10E"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6851F2">
        <w:rPr>
          <w:rFonts w:eastAsia="SimSun" w:cs="Arial"/>
          <w:b/>
          <w:bCs/>
          <w:sz w:val="24"/>
          <w:lang w:val="en-US"/>
        </w:rPr>
        <w:t>11.4.2</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1EF96283"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DC097B" w:rsidRPr="00DC097B">
        <w:rPr>
          <w:rFonts w:ascii="Arial" w:hAnsi="Arial" w:cs="Arial"/>
          <w:b/>
          <w:bCs/>
          <w:sz w:val="24"/>
        </w:rPr>
        <w:t xml:space="preserve">On </w:t>
      </w:r>
      <w:r w:rsidR="0019239B">
        <w:rPr>
          <w:rFonts w:ascii="Arial" w:hAnsi="Arial" w:cs="Arial"/>
          <w:b/>
          <w:bCs/>
          <w:sz w:val="24"/>
        </w:rPr>
        <w:t>HARQ feedback support for groupcast</w:t>
      </w:r>
    </w:p>
    <w:p w14:paraId="50A28E98" w14:textId="29403C3F"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r w:rsidR="00285A48">
        <w:rPr>
          <w:rFonts w:ascii="Arial" w:hAnsi="Arial" w:cs="Arial"/>
          <w:b/>
          <w:bCs/>
          <w:sz w:val="24"/>
        </w:rPr>
        <w:t>, Decision</w:t>
      </w:r>
    </w:p>
    <w:p w14:paraId="50A28E99" w14:textId="77777777" w:rsidR="008669B1" w:rsidRPr="00E0063E" w:rsidRDefault="008669B1" w:rsidP="000760CC">
      <w:pPr>
        <w:pStyle w:val="Tdoc"/>
      </w:pPr>
      <w:r w:rsidRPr="00E0063E">
        <w:t>Introduction</w:t>
      </w:r>
      <w:r w:rsidRPr="00E0063E">
        <w:rPr>
          <w:lang w:val="en-GB"/>
        </w:rPr>
        <w:t xml:space="preserve">  </w:t>
      </w:r>
    </w:p>
    <w:p w14:paraId="559CCA47" w14:textId="5172D03B" w:rsidR="00E67A80" w:rsidRPr="00C11F0A" w:rsidRDefault="0019239B"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During RAN1#96bis, there was a significant progress made on HARQ feedbacks design for the case of groupcast, based on which an LS was sent to RAN2 in </w:t>
      </w:r>
      <w:r w:rsidRPr="0019239B">
        <w:rPr>
          <w:rFonts w:ascii="Times New Roman" w:hAnsi="Times New Roman"/>
          <w:sz w:val="20"/>
          <w:szCs w:val="20"/>
          <w:lang w:eastAsia="zh-CN"/>
        </w:rPr>
        <w:t>R1-1905906</w:t>
      </w:r>
      <w:r>
        <w:rPr>
          <w:rFonts w:ascii="Times New Roman" w:hAnsi="Times New Roman"/>
          <w:sz w:val="20"/>
          <w:szCs w:val="20"/>
          <w:lang w:eastAsia="zh-CN"/>
        </w:rPr>
        <w:t>. In this contribution, we discuss the impacts for the LS from RAN2 point of view and present our views, particularly on how options 1 and 2 therein can be supported.</w:t>
      </w:r>
    </w:p>
    <w:p w14:paraId="63BA8D55" w14:textId="7D06DBFC" w:rsidR="00100A13" w:rsidRPr="00EA68B2" w:rsidRDefault="000760CC" w:rsidP="00934A52">
      <w:pPr>
        <w:pStyle w:val="Tdoc"/>
      </w:pPr>
      <w:r>
        <w:t>Discussion</w:t>
      </w:r>
    </w:p>
    <w:p w14:paraId="768091D5" w14:textId="15BE3D9B" w:rsidR="00A3213E" w:rsidRPr="00A3213E" w:rsidRDefault="005013B7" w:rsidP="00A3213E">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AS layer involvement to support HARQ feedback</w:t>
      </w:r>
    </w:p>
    <w:p w14:paraId="5424CCC2" w14:textId="77777777" w:rsidR="00A3213E" w:rsidRDefault="00A3213E" w:rsidP="00305CD5">
      <w:pPr>
        <w:rPr>
          <w:rFonts w:ascii="Times New Roman" w:hAnsi="Times New Roman"/>
          <w:sz w:val="20"/>
          <w:lang w:val="en-GB" w:eastAsia="zh-CN"/>
        </w:rPr>
      </w:pPr>
    </w:p>
    <w:p w14:paraId="1D945889" w14:textId="7B2B5AC1" w:rsidR="0019239B" w:rsidRDefault="0019239B" w:rsidP="00E67A80">
      <w:pPr>
        <w:rPr>
          <w:rFonts w:ascii="Times New Roman" w:hAnsi="Times New Roman"/>
          <w:sz w:val="20"/>
          <w:lang w:val="en-GB" w:eastAsia="zh-CN"/>
        </w:rPr>
      </w:pPr>
      <w:r>
        <w:rPr>
          <w:rFonts w:ascii="Times New Roman" w:hAnsi="Times New Roman"/>
          <w:sz w:val="20"/>
          <w:lang w:val="en-GB" w:eastAsia="zh-CN"/>
        </w:rPr>
        <w:t>For the case of HARQ feedback for groupcast, two distinct options were discussed to be supported in RAN1 in terms of when the RX UE is to send the feedback response</w:t>
      </w:r>
      <w:r w:rsidR="00C454E6">
        <w:rPr>
          <w:rFonts w:ascii="Times New Roman" w:hAnsi="Times New Roman"/>
          <w:sz w:val="20"/>
          <w:lang w:val="en-GB" w:eastAsia="zh-CN"/>
        </w:rPr>
        <w:t xml:space="preserve"> </w:t>
      </w:r>
      <w:sdt>
        <w:sdtPr>
          <w:rPr>
            <w:rFonts w:ascii="Times New Roman" w:hAnsi="Times New Roman"/>
            <w:sz w:val="20"/>
            <w:lang w:val="en-GB" w:eastAsia="zh-CN"/>
          </w:rPr>
          <w:id w:val="-1484691675"/>
          <w:citation/>
        </w:sdtPr>
        <w:sdtEndPr/>
        <w:sdtContent>
          <w:r w:rsidR="00C454E6">
            <w:rPr>
              <w:rFonts w:ascii="Times New Roman" w:hAnsi="Times New Roman"/>
              <w:sz w:val="20"/>
              <w:lang w:val="en-GB" w:eastAsia="zh-CN"/>
            </w:rPr>
            <w:fldChar w:fldCharType="begin"/>
          </w:r>
          <w:r w:rsidR="00C454E6">
            <w:rPr>
              <w:rFonts w:ascii="Times New Roman" w:hAnsi="Times New Roman"/>
              <w:sz w:val="20"/>
              <w:lang w:eastAsia="zh-CN"/>
            </w:rPr>
            <w:instrText xml:space="preserve"> CITATION RAN1LSGroupHARQ \l 1033 </w:instrText>
          </w:r>
          <w:r w:rsidR="00C454E6">
            <w:rPr>
              <w:rFonts w:ascii="Times New Roman" w:hAnsi="Times New Roman"/>
              <w:sz w:val="20"/>
              <w:lang w:val="en-GB" w:eastAsia="zh-CN"/>
            </w:rPr>
            <w:fldChar w:fldCharType="separate"/>
          </w:r>
          <w:r w:rsidR="00C454E6" w:rsidRPr="00C454E6">
            <w:rPr>
              <w:rFonts w:ascii="Times New Roman" w:hAnsi="Times New Roman"/>
              <w:noProof/>
              <w:sz w:val="20"/>
              <w:lang w:eastAsia="zh-CN"/>
            </w:rPr>
            <w:t>[1]</w:t>
          </w:r>
          <w:r w:rsidR="00C454E6">
            <w:rPr>
              <w:rFonts w:ascii="Times New Roman" w:hAnsi="Times New Roman"/>
              <w:sz w:val="20"/>
              <w:lang w:val="en-GB" w:eastAsia="zh-CN"/>
            </w:rPr>
            <w:fldChar w:fldCharType="end"/>
          </w:r>
        </w:sdtContent>
      </w:sdt>
      <w:r>
        <w:rPr>
          <w:rFonts w:ascii="Times New Roman" w:hAnsi="Times New Roman"/>
          <w:sz w:val="20"/>
          <w:lang w:val="en-GB" w:eastAsia="zh-CN"/>
        </w:rPr>
        <w:t>:</w:t>
      </w:r>
    </w:p>
    <w:p w14:paraId="55CDFC71" w14:textId="77777777" w:rsidR="009506BB" w:rsidRDefault="009506BB" w:rsidP="00E67A80">
      <w:pPr>
        <w:rPr>
          <w:rFonts w:ascii="Times New Roman" w:hAnsi="Times New Roman"/>
          <w:sz w:val="20"/>
          <w:lang w:val="en-GB" w:eastAsia="zh-CN"/>
        </w:rPr>
      </w:pPr>
    </w:p>
    <w:tbl>
      <w:tblPr>
        <w:tblStyle w:val="TableGrid"/>
        <w:tblW w:w="0" w:type="auto"/>
        <w:tblLook w:val="04A0" w:firstRow="1" w:lastRow="0" w:firstColumn="1" w:lastColumn="0" w:noHBand="0" w:noVBand="1"/>
      </w:tblPr>
      <w:tblGrid>
        <w:gridCol w:w="9629"/>
      </w:tblGrid>
      <w:tr w:rsidR="0019239B" w14:paraId="2E767B54" w14:textId="77777777" w:rsidTr="0019239B">
        <w:tc>
          <w:tcPr>
            <w:tcW w:w="9629" w:type="dxa"/>
          </w:tcPr>
          <w:p w14:paraId="0DE5FF35" w14:textId="77777777" w:rsidR="0019239B" w:rsidRPr="0019239B" w:rsidRDefault="0019239B" w:rsidP="0019239B">
            <w:pPr>
              <w:numPr>
                <w:ilvl w:val="0"/>
                <w:numId w:val="39"/>
              </w:numPr>
              <w:overflowPunct w:val="0"/>
              <w:autoSpaceDE w:val="0"/>
              <w:autoSpaceDN w:val="0"/>
              <w:adjustRightInd w:val="0"/>
              <w:snapToGrid w:val="0"/>
              <w:spacing w:after="0" w:line="360" w:lineRule="auto"/>
              <w:contextualSpacing w:val="0"/>
              <w:jc w:val="both"/>
              <w:textAlignment w:val="baseline"/>
              <w:rPr>
                <w:rFonts w:ascii="Times New Roman" w:hAnsi="Times New Roman"/>
                <w:sz w:val="20"/>
                <w:szCs w:val="20"/>
                <w:lang w:eastAsia="zh-CN"/>
              </w:rPr>
            </w:pPr>
            <w:r w:rsidRPr="0019239B">
              <w:rPr>
                <w:rFonts w:ascii="Times New Roman" w:hAnsi="Times New Roman"/>
                <w:sz w:val="20"/>
                <w:szCs w:val="20"/>
                <w:lang w:eastAsia="zh-CN"/>
              </w:rPr>
              <w:t>Option 1: Receiver UE transmits HARQ-NACK on PSFCH if it fails to decode the corresponding TB after decoding the associated PSCCH. It transmits no signal on PSFCH otherwise.</w:t>
            </w:r>
          </w:p>
          <w:p w14:paraId="4B7C427C" w14:textId="77777777" w:rsidR="0019239B" w:rsidRPr="0019239B" w:rsidRDefault="0019239B" w:rsidP="0019239B">
            <w:pPr>
              <w:numPr>
                <w:ilvl w:val="0"/>
                <w:numId w:val="39"/>
              </w:numPr>
              <w:overflowPunct w:val="0"/>
              <w:autoSpaceDE w:val="0"/>
              <w:autoSpaceDN w:val="0"/>
              <w:adjustRightInd w:val="0"/>
              <w:snapToGrid w:val="0"/>
              <w:spacing w:after="0" w:line="360" w:lineRule="auto"/>
              <w:contextualSpacing w:val="0"/>
              <w:jc w:val="both"/>
              <w:textAlignment w:val="baseline"/>
              <w:rPr>
                <w:rFonts w:ascii="Times New Roman" w:hAnsi="Times New Roman"/>
                <w:sz w:val="20"/>
                <w:szCs w:val="20"/>
                <w:lang w:eastAsia="zh-CN"/>
              </w:rPr>
            </w:pPr>
            <w:r w:rsidRPr="0019239B">
              <w:rPr>
                <w:rFonts w:ascii="Times New Roman" w:hAnsi="Times New Roman"/>
                <w:sz w:val="20"/>
                <w:szCs w:val="20"/>
                <w:lang w:eastAsia="zh-CN"/>
              </w:rPr>
              <w:t>Option 2: Receiver UE transmits HARQ-ACK on PSFCH if it successfully decodes the corresponding TB. It transmits HARQ-NACK on PSFCH if it does not successfully decode the corresponding TB after decoding the associated PSCCH which targets the receiver UE.</w:t>
            </w:r>
          </w:p>
          <w:p w14:paraId="2B170DBB" w14:textId="77777777" w:rsidR="0019239B" w:rsidRDefault="0019239B" w:rsidP="00E67A80">
            <w:pPr>
              <w:rPr>
                <w:rFonts w:ascii="Times New Roman" w:hAnsi="Times New Roman"/>
                <w:sz w:val="20"/>
                <w:lang w:val="en-GB" w:eastAsia="zh-CN"/>
              </w:rPr>
            </w:pPr>
          </w:p>
        </w:tc>
      </w:tr>
    </w:tbl>
    <w:p w14:paraId="4CDFD819" w14:textId="77777777" w:rsidR="0019239B" w:rsidRDefault="0019239B" w:rsidP="00E67A80">
      <w:pPr>
        <w:rPr>
          <w:rFonts w:ascii="Times New Roman" w:hAnsi="Times New Roman"/>
          <w:sz w:val="20"/>
          <w:lang w:val="en-GB" w:eastAsia="zh-CN"/>
        </w:rPr>
      </w:pPr>
    </w:p>
    <w:p w14:paraId="449CB785" w14:textId="77777777" w:rsidR="00030913" w:rsidRDefault="0019239B" w:rsidP="00E67A80">
      <w:pPr>
        <w:rPr>
          <w:rFonts w:ascii="Times New Roman" w:hAnsi="Times New Roman"/>
          <w:sz w:val="20"/>
          <w:lang w:val="en-GB" w:eastAsia="zh-CN"/>
        </w:rPr>
      </w:pPr>
      <w:r>
        <w:rPr>
          <w:rFonts w:ascii="Times New Roman" w:hAnsi="Times New Roman"/>
          <w:sz w:val="20"/>
          <w:lang w:val="en-GB" w:eastAsia="zh-CN"/>
        </w:rPr>
        <w:t xml:space="preserve">In terms of the pros/cons of the two options as well as the detailed operation of the two options, there was extended discussion in RAN1, but we need to consider the RAN2 impacts of supporting the two options. Specifically, option 1 involves the RX UE(s) sending a NACK only feedback message on a shared PSFCH. Option 2, on the other hand, requires each RX UE to send both ACKs and NACKs for each TB that is successfully decoded and to </w:t>
      </w:r>
      <w:r w:rsidR="00986C1A">
        <w:rPr>
          <w:rFonts w:ascii="Times New Roman" w:hAnsi="Times New Roman"/>
          <w:sz w:val="20"/>
          <w:lang w:val="en-GB" w:eastAsia="zh-CN"/>
        </w:rPr>
        <w:t xml:space="preserve">potentially </w:t>
      </w:r>
      <w:r>
        <w:rPr>
          <w:rFonts w:ascii="Times New Roman" w:hAnsi="Times New Roman"/>
          <w:sz w:val="20"/>
          <w:lang w:val="en-GB" w:eastAsia="zh-CN"/>
        </w:rPr>
        <w:t xml:space="preserve">use a separate PSFCH resource for </w:t>
      </w:r>
      <w:r w:rsidR="00395DCA">
        <w:rPr>
          <w:rFonts w:ascii="Times New Roman" w:hAnsi="Times New Roman"/>
          <w:sz w:val="20"/>
          <w:lang w:val="en-GB" w:eastAsia="zh-CN"/>
        </w:rPr>
        <w:t xml:space="preserve">sending the ACK/NACK. </w:t>
      </w:r>
      <w:r w:rsidR="004803F0">
        <w:rPr>
          <w:rFonts w:ascii="Times New Roman" w:hAnsi="Times New Roman"/>
          <w:sz w:val="20"/>
          <w:lang w:val="en-GB" w:eastAsia="zh-CN"/>
        </w:rPr>
        <w:t xml:space="preserve">It is worth noting that the target use case for RAN1 discussions when it comes to supporting HARQ feedback for groupcast is vehicle platooning. </w:t>
      </w:r>
    </w:p>
    <w:p w14:paraId="42722394" w14:textId="65908C34" w:rsidR="0019239B" w:rsidRDefault="00395DCA" w:rsidP="00E67A80">
      <w:pPr>
        <w:rPr>
          <w:rFonts w:ascii="Times New Roman" w:hAnsi="Times New Roman"/>
          <w:sz w:val="20"/>
          <w:lang w:val="en-GB" w:eastAsia="zh-CN"/>
        </w:rPr>
      </w:pPr>
      <w:r>
        <w:rPr>
          <w:rFonts w:ascii="Times New Roman" w:hAnsi="Times New Roman"/>
          <w:sz w:val="20"/>
          <w:lang w:val="en-GB" w:eastAsia="zh-CN"/>
        </w:rPr>
        <w:t>While it is FFS whether some grouping/subset of UEs can share the PSFCH resource for option 2 as well, this creates an interesting scenario where some co-ordination is needed from the AS layer perspective and thus an awareness of the group’s existence and composition is assumed. This seems to be indicat</w:t>
      </w:r>
      <w:r w:rsidR="001B2DF7">
        <w:rPr>
          <w:rFonts w:ascii="Times New Roman" w:hAnsi="Times New Roman"/>
          <w:sz w:val="20"/>
          <w:lang w:val="en-GB" w:eastAsia="zh-CN"/>
        </w:rPr>
        <w:t>ive</w:t>
      </w:r>
      <w:r>
        <w:rPr>
          <w:rFonts w:ascii="Times New Roman" w:hAnsi="Times New Roman"/>
          <w:sz w:val="20"/>
          <w:lang w:val="en-GB" w:eastAsia="zh-CN"/>
        </w:rPr>
        <w:t xml:space="preserve"> of the observation that RAN1 and RAN2 seem to be having a different view when it comes to the AS layer’s involvement when it comes to group related procedures in general. So far, from current progress in RAN2, it can be seen that </w:t>
      </w:r>
      <w:r w:rsidRPr="00395DCA">
        <w:rPr>
          <w:rFonts w:ascii="Times New Roman" w:hAnsi="Times New Roman"/>
          <w:sz w:val="20"/>
          <w:lang w:val="en-GB" w:eastAsia="zh-CN"/>
        </w:rPr>
        <w:t xml:space="preserve">groupcast </w:t>
      </w:r>
      <w:r>
        <w:rPr>
          <w:rFonts w:ascii="Times New Roman" w:hAnsi="Times New Roman"/>
          <w:sz w:val="20"/>
          <w:lang w:val="en-GB" w:eastAsia="zh-CN"/>
        </w:rPr>
        <w:t xml:space="preserve">is viewed as similar to </w:t>
      </w:r>
      <w:r w:rsidRPr="00395DCA">
        <w:rPr>
          <w:rFonts w:ascii="Times New Roman" w:hAnsi="Times New Roman"/>
          <w:sz w:val="20"/>
          <w:lang w:val="en-GB" w:eastAsia="zh-CN"/>
        </w:rPr>
        <w:t>broadcast sidelink operation</w:t>
      </w:r>
      <w:r>
        <w:rPr>
          <w:rFonts w:ascii="Times New Roman" w:hAnsi="Times New Roman"/>
          <w:sz w:val="20"/>
          <w:lang w:val="en-GB" w:eastAsia="zh-CN"/>
        </w:rPr>
        <w:t xml:space="preserve"> </w:t>
      </w:r>
      <w:r w:rsidR="00C454E6">
        <w:rPr>
          <w:rFonts w:ascii="Times New Roman" w:hAnsi="Times New Roman"/>
          <w:sz w:val="20"/>
          <w:lang w:val="en-GB" w:eastAsia="zh-CN"/>
        </w:rPr>
        <w:t xml:space="preserve">(no explicit </w:t>
      </w:r>
      <w:r w:rsidR="001B2DF7">
        <w:rPr>
          <w:rFonts w:ascii="Times New Roman" w:hAnsi="Times New Roman"/>
          <w:sz w:val="20"/>
          <w:lang w:val="en-GB" w:eastAsia="zh-CN"/>
        </w:rPr>
        <w:t>PC5-</w:t>
      </w:r>
      <w:r w:rsidR="00C454E6">
        <w:rPr>
          <w:rFonts w:ascii="Times New Roman" w:hAnsi="Times New Roman"/>
          <w:sz w:val="20"/>
          <w:lang w:val="en-GB" w:eastAsia="zh-CN"/>
        </w:rPr>
        <w:t>RRC groupcast connection</w:t>
      </w:r>
      <w:r>
        <w:rPr>
          <w:rFonts w:ascii="Times New Roman" w:hAnsi="Times New Roman"/>
          <w:sz w:val="20"/>
          <w:lang w:val="en-GB" w:eastAsia="zh-CN"/>
        </w:rPr>
        <w:t xml:space="preserve">, </w:t>
      </w:r>
      <w:r w:rsidR="000A5406">
        <w:rPr>
          <w:rFonts w:ascii="Times New Roman" w:hAnsi="Times New Roman"/>
          <w:sz w:val="20"/>
          <w:lang w:val="en-GB" w:eastAsia="zh-CN"/>
        </w:rPr>
        <w:t xml:space="preserve">no knowledge of the group leader at the AS layer, </w:t>
      </w:r>
      <w:r w:rsidRPr="00395DCA">
        <w:rPr>
          <w:rFonts w:ascii="Times New Roman" w:hAnsi="Times New Roman"/>
          <w:sz w:val="20"/>
          <w:lang w:val="en-GB" w:eastAsia="zh-CN"/>
        </w:rPr>
        <w:t>no consideration of minimum communication range in filtering the set of receive</w:t>
      </w:r>
      <w:r>
        <w:rPr>
          <w:rFonts w:ascii="Times New Roman" w:hAnsi="Times New Roman"/>
          <w:sz w:val="20"/>
          <w:lang w:val="en-GB" w:eastAsia="zh-CN"/>
        </w:rPr>
        <w:t>rs</w:t>
      </w:r>
      <w:r w:rsidRPr="00395DCA">
        <w:rPr>
          <w:rFonts w:ascii="Times New Roman" w:hAnsi="Times New Roman"/>
          <w:sz w:val="20"/>
          <w:lang w:val="en-GB" w:eastAsia="zh-CN"/>
        </w:rPr>
        <w:t xml:space="preserve"> and no RLC AM support</w:t>
      </w:r>
      <w:r>
        <w:rPr>
          <w:rFonts w:ascii="Times New Roman" w:hAnsi="Times New Roman"/>
          <w:sz w:val="20"/>
          <w:lang w:val="en-GB" w:eastAsia="zh-CN"/>
        </w:rPr>
        <w:t>)</w:t>
      </w:r>
      <w:r w:rsidR="00C454E6">
        <w:rPr>
          <w:rFonts w:ascii="Times New Roman" w:hAnsi="Times New Roman"/>
          <w:sz w:val="20"/>
          <w:lang w:val="en-GB" w:eastAsia="zh-CN"/>
        </w:rPr>
        <w:t xml:space="preserve"> </w:t>
      </w:r>
      <w:sdt>
        <w:sdtPr>
          <w:rPr>
            <w:rFonts w:ascii="Times New Roman" w:hAnsi="Times New Roman"/>
            <w:sz w:val="20"/>
            <w:lang w:val="en-GB" w:eastAsia="zh-CN"/>
          </w:rPr>
          <w:id w:val="-808865733"/>
          <w:citation/>
        </w:sdtPr>
        <w:sdtEndPr/>
        <w:sdtContent>
          <w:r w:rsidR="00C454E6">
            <w:rPr>
              <w:rFonts w:ascii="Times New Roman" w:hAnsi="Times New Roman"/>
              <w:sz w:val="20"/>
              <w:lang w:val="en-GB" w:eastAsia="zh-CN"/>
            </w:rPr>
            <w:fldChar w:fldCharType="begin"/>
          </w:r>
          <w:r w:rsidR="00C454E6">
            <w:rPr>
              <w:rFonts w:ascii="Times New Roman" w:hAnsi="Times New Roman"/>
              <w:sz w:val="20"/>
              <w:lang w:eastAsia="zh-CN"/>
            </w:rPr>
            <w:instrText xml:space="preserve"> CITATION RAN2105bisV2X \l 1033 </w:instrText>
          </w:r>
          <w:r w:rsidR="00C454E6">
            <w:rPr>
              <w:rFonts w:ascii="Times New Roman" w:hAnsi="Times New Roman"/>
              <w:sz w:val="20"/>
              <w:lang w:val="en-GB" w:eastAsia="zh-CN"/>
            </w:rPr>
            <w:fldChar w:fldCharType="separate"/>
          </w:r>
          <w:r w:rsidR="00C454E6" w:rsidRPr="00C454E6">
            <w:rPr>
              <w:rFonts w:ascii="Times New Roman" w:hAnsi="Times New Roman"/>
              <w:noProof/>
              <w:sz w:val="20"/>
              <w:lang w:eastAsia="zh-CN"/>
            </w:rPr>
            <w:t>[2]</w:t>
          </w:r>
          <w:r w:rsidR="00C454E6">
            <w:rPr>
              <w:rFonts w:ascii="Times New Roman" w:hAnsi="Times New Roman"/>
              <w:sz w:val="20"/>
              <w:lang w:val="en-GB" w:eastAsia="zh-CN"/>
            </w:rPr>
            <w:fldChar w:fldCharType="end"/>
          </w:r>
        </w:sdtContent>
      </w:sdt>
      <w:r w:rsidRPr="00395DCA">
        <w:rPr>
          <w:rFonts w:ascii="Times New Roman" w:hAnsi="Times New Roman"/>
          <w:sz w:val="20"/>
          <w:lang w:val="en-GB" w:eastAsia="zh-CN"/>
        </w:rPr>
        <w:t xml:space="preserve">. </w:t>
      </w:r>
      <w:r>
        <w:rPr>
          <w:rFonts w:ascii="Times New Roman" w:hAnsi="Times New Roman"/>
          <w:sz w:val="20"/>
          <w:lang w:val="en-GB" w:eastAsia="zh-CN"/>
        </w:rPr>
        <w:t xml:space="preserve">However, from RAN1 </w:t>
      </w:r>
      <w:r w:rsidR="00575153">
        <w:rPr>
          <w:rFonts w:ascii="Times New Roman" w:hAnsi="Times New Roman"/>
          <w:sz w:val="20"/>
          <w:lang w:val="en-GB" w:eastAsia="zh-CN"/>
        </w:rPr>
        <w:t>discussions</w:t>
      </w:r>
      <w:r>
        <w:rPr>
          <w:rFonts w:ascii="Times New Roman" w:hAnsi="Times New Roman"/>
          <w:sz w:val="20"/>
          <w:lang w:val="en-GB" w:eastAsia="zh-CN"/>
        </w:rPr>
        <w:t>, it seems like the view there is to consider groupcast to be more aligned with unicast, at least in terms of the supported features, such as HARQ feedback.</w:t>
      </w:r>
    </w:p>
    <w:p w14:paraId="1E440B64" w14:textId="77777777" w:rsidR="005013B7" w:rsidRDefault="005013B7" w:rsidP="00E67A80">
      <w:pPr>
        <w:rPr>
          <w:rFonts w:ascii="Times New Roman" w:hAnsi="Times New Roman"/>
          <w:sz w:val="20"/>
          <w:lang w:val="en-GB" w:eastAsia="zh-CN"/>
        </w:rPr>
      </w:pPr>
    </w:p>
    <w:p w14:paraId="552DEA50" w14:textId="3CD865F9" w:rsidR="00395DCA" w:rsidRDefault="005013B7" w:rsidP="005013B7">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sidRPr="005013B7">
        <w:rPr>
          <w:rFonts w:ascii="Times New Roman" w:eastAsia="Times New Roman" w:hAnsi="Times New Roman"/>
          <w:bCs/>
          <w:i/>
          <w:sz w:val="20"/>
          <w:szCs w:val="20"/>
          <w:lang w:val="en-GB" w:eastAsia="zh-CN"/>
        </w:rPr>
        <w:t>There seems to be differing views in RAN1 and RAN2 as to whether groupcast is considered as a special case of unicast or broadcast operation.</w:t>
      </w:r>
    </w:p>
    <w:p w14:paraId="71A0D093" w14:textId="77777777" w:rsidR="005013B7" w:rsidRDefault="005013B7" w:rsidP="005013B7">
      <w:pPr>
        <w:ind w:left="1350" w:hanging="1350"/>
        <w:rPr>
          <w:rFonts w:ascii="Times New Roman" w:hAnsi="Times New Roman"/>
          <w:sz w:val="20"/>
          <w:lang w:val="en-GB" w:eastAsia="zh-CN"/>
        </w:rPr>
      </w:pPr>
    </w:p>
    <w:p w14:paraId="5D82F0A7" w14:textId="1C4D14D2" w:rsidR="00395DCA" w:rsidRDefault="00395DCA" w:rsidP="00E67A80">
      <w:pPr>
        <w:rPr>
          <w:rFonts w:ascii="Times New Roman" w:hAnsi="Times New Roman"/>
          <w:sz w:val="20"/>
          <w:lang w:val="en-GB" w:eastAsia="zh-CN"/>
        </w:rPr>
      </w:pPr>
      <w:r>
        <w:rPr>
          <w:rFonts w:ascii="Times New Roman" w:hAnsi="Times New Roman"/>
          <w:sz w:val="20"/>
          <w:lang w:val="en-GB" w:eastAsia="zh-CN"/>
        </w:rPr>
        <w:t xml:space="preserve">Nevertheless, if the HARQ feedback for the case of groupcast is to be supported, particularly option 2, it is clear that some </w:t>
      </w:r>
      <w:r w:rsidR="000A5406">
        <w:rPr>
          <w:rFonts w:ascii="Times New Roman" w:hAnsi="Times New Roman"/>
          <w:sz w:val="20"/>
          <w:lang w:val="en-GB" w:eastAsia="zh-CN"/>
        </w:rPr>
        <w:t xml:space="preserve">knowledge of the existence of the group itself is needed at some AS layer entity. Specifically, in case of option 2, as the FFS from RAN1 LS goes, some entity needs to be responsible for scheduling/allocating PSFCH resources for </w:t>
      </w:r>
      <w:r w:rsidR="004803F0">
        <w:rPr>
          <w:rFonts w:ascii="Times New Roman" w:hAnsi="Times New Roman"/>
          <w:sz w:val="20"/>
          <w:lang w:val="en-GB" w:eastAsia="zh-CN"/>
        </w:rPr>
        <w:t xml:space="preserve">HARQ ACKs/NACKs from the RX UEs within the group. Thus, RAN2 needs to discuss and confirm that in order to </w:t>
      </w:r>
      <w:r w:rsidR="004803F0">
        <w:rPr>
          <w:rFonts w:ascii="Times New Roman" w:hAnsi="Times New Roman"/>
          <w:sz w:val="20"/>
          <w:lang w:val="en-GB" w:eastAsia="zh-CN"/>
        </w:rPr>
        <w:lastRenderedPageBreak/>
        <w:t>support HARQ feedback for groupcast (i.e. option 1 and 2), an AS layer entity which requires the knowledge of the group compositions (L2 IDs) is supported.</w:t>
      </w:r>
    </w:p>
    <w:p w14:paraId="184BD33C" w14:textId="77777777" w:rsidR="0019239B" w:rsidRDefault="0019239B" w:rsidP="00E67A80">
      <w:pPr>
        <w:rPr>
          <w:rFonts w:ascii="Times New Roman" w:hAnsi="Times New Roman"/>
          <w:sz w:val="20"/>
          <w:lang w:val="en-GB" w:eastAsia="zh-CN"/>
        </w:rPr>
      </w:pPr>
    </w:p>
    <w:p w14:paraId="28EC50BB" w14:textId="1E9E3827" w:rsidR="005C2350" w:rsidRPr="00B1479A" w:rsidRDefault="005C2350" w:rsidP="005C2350">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sidR="00E150CF" w:rsidRPr="00E150CF">
        <w:rPr>
          <w:rFonts w:ascii="Times New Roman" w:eastAsia="Times New Roman" w:hAnsi="Times New Roman"/>
          <w:bCs/>
          <w:i/>
          <w:sz w:val="20"/>
          <w:szCs w:val="20"/>
          <w:lang w:val="en-GB" w:eastAsia="zh-CN"/>
        </w:rPr>
        <w:t>A</w:t>
      </w:r>
      <w:r w:rsidR="00E150CF">
        <w:rPr>
          <w:rFonts w:ascii="Times New Roman" w:eastAsia="Times New Roman" w:hAnsi="Times New Roman"/>
          <w:bCs/>
          <w:i/>
          <w:sz w:val="20"/>
          <w:szCs w:val="20"/>
          <w:lang w:val="en-GB" w:eastAsia="zh-CN"/>
        </w:rPr>
        <w:t xml:space="preserve">n AS layer entity which is aware </w:t>
      </w:r>
      <w:r w:rsidR="00E150CF" w:rsidRPr="00E150CF">
        <w:rPr>
          <w:rFonts w:ascii="Times New Roman" w:eastAsia="Times New Roman" w:hAnsi="Times New Roman"/>
          <w:bCs/>
          <w:i/>
          <w:sz w:val="20"/>
          <w:szCs w:val="20"/>
          <w:lang w:val="en-GB" w:eastAsia="zh-CN"/>
        </w:rPr>
        <w:t>of the group compositions (</w:t>
      </w:r>
      <w:r w:rsidR="00E150CF">
        <w:rPr>
          <w:rFonts w:ascii="Times New Roman" w:eastAsia="Times New Roman" w:hAnsi="Times New Roman"/>
          <w:bCs/>
          <w:i/>
          <w:sz w:val="20"/>
          <w:szCs w:val="20"/>
          <w:lang w:val="en-GB" w:eastAsia="zh-CN"/>
        </w:rPr>
        <w:t xml:space="preserve">specifically </w:t>
      </w:r>
      <w:r w:rsidR="00E150CF" w:rsidRPr="00E150CF">
        <w:rPr>
          <w:rFonts w:ascii="Times New Roman" w:eastAsia="Times New Roman" w:hAnsi="Times New Roman"/>
          <w:bCs/>
          <w:i/>
          <w:sz w:val="20"/>
          <w:szCs w:val="20"/>
          <w:lang w:val="en-GB" w:eastAsia="zh-CN"/>
        </w:rPr>
        <w:t xml:space="preserve">L2 </w:t>
      </w:r>
      <w:r w:rsidR="00E150CF">
        <w:rPr>
          <w:rFonts w:ascii="Times New Roman" w:eastAsia="Times New Roman" w:hAnsi="Times New Roman"/>
          <w:bCs/>
          <w:i/>
          <w:sz w:val="20"/>
          <w:szCs w:val="20"/>
          <w:lang w:val="en-GB" w:eastAsia="zh-CN"/>
        </w:rPr>
        <w:t xml:space="preserve">Destination </w:t>
      </w:r>
      <w:r w:rsidR="00E150CF" w:rsidRPr="00E150CF">
        <w:rPr>
          <w:rFonts w:ascii="Times New Roman" w:eastAsia="Times New Roman" w:hAnsi="Times New Roman"/>
          <w:bCs/>
          <w:i/>
          <w:sz w:val="20"/>
          <w:szCs w:val="20"/>
          <w:lang w:val="en-GB" w:eastAsia="zh-CN"/>
        </w:rPr>
        <w:t>IDs) is supported</w:t>
      </w:r>
      <w:r w:rsidR="00E150CF">
        <w:rPr>
          <w:rFonts w:ascii="Times New Roman" w:eastAsia="Times New Roman" w:hAnsi="Times New Roman"/>
          <w:bCs/>
          <w:i/>
          <w:sz w:val="20"/>
          <w:szCs w:val="20"/>
          <w:lang w:val="en-GB" w:eastAsia="zh-CN"/>
        </w:rPr>
        <w:t xml:space="preserve"> in order to </w:t>
      </w:r>
      <w:r w:rsidR="000A566C">
        <w:rPr>
          <w:rFonts w:ascii="Times New Roman" w:eastAsia="Times New Roman" w:hAnsi="Times New Roman"/>
          <w:bCs/>
          <w:i/>
          <w:sz w:val="20"/>
          <w:szCs w:val="20"/>
          <w:lang w:val="en-GB" w:eastAsia="zh-CN"/>
        </w:rPr>
        <w:t>enable HARQ feedback operation</w:t>
      </w:r>
      <w:r w:rsidR="00E150CF">
        <w:rPr>
          <w:rFonts w:ascii="Times New Roman" w:eastAsia="Times New Roman" w:hAnsi="Times New Roman"/>
          <w:bCs/>
          <w:i/>
          <w:sz w:val="20"/>
          <w:szCs w:val="20"/>
          <w:lang w:val="en-GB" w:eastAsia="zh-CN"/>
        </w:rPr>
        <w:t xml:space="preserve"> for groupcast</w:t>
      </w:r>
      <w:r>
        <w:rPr>
          <w:rFonts w:ascii="Times New Roman" w:eastAsia="Times New Roman" w:hAnsi="Times New Roman"/>
          <w:bCs/>
          <w:i/>
          <w:sz w:val="20"/>
          <w:szCs w:val="20"/>
          <w:lang w:val="en-GB" w:eastAsia="zh-CN"/>
        </w:rPr>
        <w:t>.</w:t>
      </w:r>
    </w:p>
    <w:p w14:paraId="2FF36DB4" w14:textId="77777777" w:rsidR="0019239B" w:rsidRDefault="0019239B" w:rsidP="00E67A80">
      <w:pPr>
        <w:rPr>
          <w:rFonts w:ascii="Times New Roman" w:hAnsi="Times New Roman"/>
          <w:sz w:val="20"/>
          <w:lang w:val="en-GB" w:eastAsia="zh-CN"/>
        </w:rPr>
      </w:pPr>
    </w:p>
    <w:p w14:paraId="542477DB" w14:textId="77777777" w:rsidR="004803F0" w:rsidRDefault="004803F0" w:rsidP="00E67A80">
      <w:pPr>
        <w:rPr>
          <w:rFonts w:ascii="Times New Roman" w:hAnsi="Times New Roman"/>
          <w:sz w:val="20"/>
          <w:lang w:val="en-GB" w:eastAsia="zh-CN"/>
        </w:rPr>
      </w:pPr>
    </w:p>
    <w:p w14:paraId="1616F5E9" w14:textId="14704181" w:rsidR="004803F0" w:rsidRDefault="004803F0" w:rsidP="00E67A80">
      <w:pPr>
        <w:rPr>
          <w:rFonts w:ascii="Times New Roman" w:hAnsi="Times New Roman"/>
          <w:sz w:val="20"/>
          <w:lang w:val="en-GB" w:eastAsia="zh-CN"/>
        </w:rPr>
      </w:pPr>
      <w:r>
        <w:rPr>
          <w:rFonts w:ascii="Times New Roman" w:hAnsi="Times New Roman"/>
          <w:sz w:val="20"/>
          <w:lang w:val="en-GB" w:eastAsia="zh-CN"/>
        </w:rPr>
        <w:t>There can be different ways of realizing this entity which are discussed below for each option:</w:t>
      </w:r>
    </w:p>
    <w:p w14:paraId="2BC64312" w14:textId="77777777" w:rsidR="004803F0" w:rsidRDefault="004803F0" w:rsidP="00E67A80">
      <w:pPr>
        <w:rPr>
          <w:rFonts w:ascii="Times New Roman" w:hAnsi="Times New Roman"/>
          <w:sz w:val="20"/>
          <w:lang w:val="en-GB" w:eastAsia="zh-CN"/>
        </w:rPr>
      </w:pPr>
    </w:p>
    <w:p w14:paraId="7007D3A4" w14:textId="0CD5102F" w:rsidR="004803F0" w:rsidRPr="00E150CF" w:rsidRDefault="00707C8A" w:rsidP="00E67A80">
      <w:pPr>
        <w:rPr>
          <w:rFonts w:ascii="Times New Roman" w:hAnsi="Times New Roman"/>
          <w:b/>
          <w:i/>
          <w:sz w:val="20"/>
          <w:u w:val="single"/>
          <w:lang w:val="en-GB" w:eastAsia="zh-CN"/>
        </w:rPr>
      </w:pPr>
      <w:r w:rsidRPr="00E150CF">
        <w:rPr>
          <w:rFonts w:ascii="Times New Roman" w:hAnsi="Times New Roman"/>
          <w:b/>
          <w:i/>
          <w:sz w:val="20"/>
          <w:u w:val="single"/>
          <w:lang w:val="en-GB" w:eastAsia="zh-CN"/>
        </w:rPr>
        <w:t>OPTION</w:t>
      </w:r>
      <w:r>
        <w:rPr>
          <w:rFonts w:ascii="Times New Roman" w:hAnsi="Times New Roman"/>
          <w:b/>
          <w:i/>
          <w:sz w:val="20"/>
          <w:u w:val="single"/>
          <w:lang w:val="en-GB" w:eastAsia="zh-CN"/>
        </w:rPr>
        <w:t xml:space="preserve"> </w:t>
      </w:r>
      <w:r w:rsidRPr="00E150CF">
        <w:rPr>
          <w:rFonts w:ascii="Times New Roman" w:hAnsi="Times New Roman"/>
          <w:b/>
          <w:i/>
          <w:sz w:val="20"/>
          <w:u w:val="single"/>
          <w:lang w:val="en-GB" w:eastAsia="zh-CN"/>
        </w:rPr>
        <w:t>1:</w:t>
      </w:r>
    </w:p>
    <w:p w14:paraId="16F6397F" w14:textId="77777777" w:rsidR="004803F0" w:rsidRDefault="004803F0" w:rsidP="00E67A80">
      <w:pPr>
        <w:rPr>
          <w:rFonts w:ascii="Times New Roman" w:hAnsi="Times New Roman"/>
          <w:sz w:val="20"/>
          <w:lang w:val="en-GB" w:eastAsia="zh-CN"/>
        </w:rPr>
      </w:pPr>
    </w:p>
    <w:p w14:paraId="7F087C39" w14:textId="70DA6E11" w:rsidR="004803F0" w:rsidRDefault="004803F0" w:rsidP="00E67A80">
      <w:pPr>
        <w:rPr>
          <w:rFonts w:ascii="Times New Roman" w:hAnsi="Times New Roman"/>
          <w:sz w:val="20"/>
          <w:lang w:val="en-GB" w:eastAsia="zh-CN"/>
        </w:rPr>
      </w:pPr>
      <w:r>
        <w:rPr>
          <w:rFonts w:ascii="Times New Roman" w:hAnsi="Times New Roman"/>
          <w:sz w:val="20"/>
          <w:lang w:val="en-GB" w:eastAsia="zh-CN"/>
        </w:rPr>
        <w:t xml:space="preserve">In this case, since the PSFCH resources are shared between the RX UEs, </w:t>
      </w:r>
      <w:r w:rsidR="00DE34AB">
        <w:rPr>
          <w:rFonts w:ascii="Times New Roman" w:hAnsi="Times New Roman"/>
          <w:sz w:val="20"/>
          <w:lang w:val="en-GB" w:eastAsia="zh-CN"/>
        </w:rPr>
        <w:t xml:space="preserve">the TX UE is not expected to dynamically indicate the PSFCH resources for the RX UEs. Instead, a common set of PSFCH resources can be allocated to a </w:t>
      </w:r>
      <w:r w:rsidR="008A493F">
        <w:rPr>
          <w:rFonts w:ascii="Times New Roman" w:hAnsi="Times New Roman"/>
          <w:sz w:val="20"/>
          <w:lang w:val="en-GB" w:eastAsia="zh-CN"/>
        </w:rPr>
        <w:t xml:space="preserve">given group within a particular resource pool by the gNB. The simplest rule to consider in this case can be based on a fixed offset, i.e. PSFCH resource occurring after a fixed number of PSSCH resources, which can be including in the common configuration applicable for the entire group. In this way, whenever a UE performs data transmission, it can listen to the PSFCH slot(s) mapped to the corresponding PSSCH. </w:t>
      </w:r>
      <w:r w:rsidR="000A566C">
        <w:rPr>
          <w:rFonts w:ascii="Times New Roman" w:hAnsi="Times New Roman"/>
          <w:sz w:val="20"/>
          <w:lang w:val="en-GB" w:eastAsia="zh-CN"/>
        </w:rPr>
        <w:t xml:space="preserve">This is currently being discussed in RAN1 and while </w:t>
      </w:r>
      <w:r w:rsidR="008A493F">
        <w:rPr>
          <w:rFonts w:ascii="Times New Roman" w:hAnsi="Times New Roman"/>
          <w:sz w:val="20"/>
          <w:lang w:val="en-GB" w:eastAsia="zh-CN"/>
        </w:rPr>
        <w:t xml:space="preserve">this option has various </w:t>
      </w:r>
      <w:r w:rsidR="004332CC">
        <w:rPr>
          <w:rFonts w:ascii="Times New Roman" w:hAnsi="Times New Roman"/>
          <w:sz w:val="20"/>
          <w:lang w:val="en-GB" w:eastAsia="zh-CN"/>
        </w:rPr>
        <w:t>trade-offs</w:t>
      </w:r>
      <w:r w:rsidR="008A493F">
        <w:rPr>
          <w:rFonts w:ascii="Times New Roman" w:hAnsi="Times New Roman"/>
          <w:sz w:val="20"/>
          <w:lang w:val="en-GB" w:eastAsia="zh-CN"/>
        </w:rPr>
        <w:t xml:space="preserve"> from signalling overhead vs complexity</w:t>
      </w:r>
      <w:r w:rsidR="003613BB">
        <w:rPr>
          <w:rFonts w:ascii="Times New Roman" w:hAnsi="Times New Roman"/>
          <w:sz w:val="20"/>
          <w:lang w:val="en-GB" w:eastAsia="zh-CN"/>
        </w:rPr>
        <w:t xml:space="preserve"> which care in RAN1 discussion scope</w:t>
      </w:r>
      <w:r w:rsidR="008A493F">
        <w:rPr>
          <w:rFonts w:ascii="Times New Roman" w:hAnsi="Times New Roman"/>
          <w:sz w:val="20"/>
          <w:lang w:val="en-GB" w:eastAsia="zh-CN"/>
        </w:rPr>
        <w:t xml:space="preserve">, </w:t>
      </w:r>
      <w:r w:rsidR="003613BB">
        <w:rPr>
          <w:rFonts w:ascii="Times New Roman" w:hAnsi="Times New Roman"/>
          <w:sz w:val="20"/>
          <w:lang w:val="en-GB" w:eastAsia="zh-CN"/>
        </w:rPr>
        <w:t xml:space="preserve">the essential point to note </w:t>
      </w:r>
      <w:r w:rsidR="008A493F">
        <w:rPr>
          <w:rFonts w:ascii="Times New Roman" w:hAnsi="Times New Roman"/>
          <w:sz w:val="20"/>
          <w:lang w:val="en-GB" w:eastAsia="zh-CN"/>
        </w:rPr>
        <w:t>from RAN2 point of view</w:t>
      </w:r>
      <w:r w:rsidR="003613BB">
        <w:rPr>
          <w:rFonts w:ascii="Times New Roman" w:hAnsi="Times New Roman"/>
          <w:sz w:val="20"/>
          <w:lang w:val="en-GB" w:eastAsia="zh-CN"/>
        </w:rPr>
        <w:t xml:space="preserve"> is that</w:t>
      </w:r>
      <w:r w:rsidR="008A493F">
        <w:rPr>
          <w:rFonts w:ascii="Times New Roman" w:hAnsi="Times New Roman"/>
          <w:sz w:val="20"/>
          <w:lang w:val="en-GB" w:eastAsia="zh-CN"/>
        </w:rPr>
        <w:t xml:space="preserve"> it does not require additional signalling among </w:t>
      </w:r>
      <w:r w:rsidR="0075599C">
        <w:rPr>
          <w:rFonts w:ascii="Times New Roman" w:hAnsi="Times New Roman"/>
          <w:sz w:val="20"/>
          <w:lang w:val="en-GB" w:eastAsia="zh-CN"/>
        </w:rPr>
        <w:t xml:space="preserve">UEs within </w:t>
      </w:r>
      <w:r w:rsidR="006D17EA">
        <w:rPr>
          <w:rFonts w:ascii="Times New Roman" w:hAnsi="Times New Roman"/>
          <w:sz w:val="20"/>
          <w:lang w:val="en-GB" w:eastAsia="zh-CN"/>
        </w:rPr>
        <w:t xml:space="preserve">the </w:t>
      </w:r>
      <w:r w:rsidR="0075599C">
        <w:rPr>
          <w:rFonts w:ascii="Times New Roman" w:hAnsi="Times New Roman"/>
          <w:sz w:val="20"/>
          <w:lang w:val="en-GB" w:eastAsia="zh-CN"/>
        </w:rPr>
        <w:t>group for resource reservation for HARQ feedback.</w:t>
      </w:r>
    </w:p>
    <w:p w14:paraId="70E05DE0" w14:textId="77777777" w:rsidR="0075599C" w:rsidRDefault="0075599C" w:rsidP="00E67A80">
      <w:pPr>
        <w:rPr>
          <w:rFonts w:ascii="Times New Roman" w:hAnsi="Times New Roman"/>
          <w:sz w:val="20"/>
          <w:lang w:val="en-GB" w:eastAsia="zh-CN"/>
        </w:rPr>
      </w:pPr>
    </w:p>
    <w:p w14:paraId="478CE3F1" w14:textId="0E78ABEC" w:rsidR="00E150CF" w:rsidRDefault="000A566C" w:rsidP="00E150CF">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w:t>
      </w:r>
      <w:r w:rsidR="004B1B09">
        <w:rPr>
          <w:rFonts w:ascii="Times New Roman" w:eastAsia="Times New Roman" w:hAnsi="Times New Roman"/>
          <w:b/>
          <w:bCs/>
          <w:sz w:val="20"/>
          <w:szCs w:val="20"/>
          <w:u w:val="single"/>
          <w:lang w:val="en-GB" w:eastAsia="zh-CN"/>
        </w:rPr>
        <w:t>i</w:t>
      </w:r>
      <w:r>
        <w:rPr>
          <w:rFonts w:ascii="Times New Roman" w:eastAsia="Times New Roman" w:hAnsi="Times New Roman"/>
          <w:b/>
          <w:bCs/>
          <w:sz w:val="20"/>
          <w:szCs w:val="20"/>
          <w:u w:val="single"/>
          <w:lang w:val="en-GB" w:eastAsia="zh-CN"/>
        </w:rPr>
        <w:t xml:space="preserve">on </w:t>
      </w:r>
      <w:r w:rsidR="0076519E">
        <w:rPr>
          <w:rFonts w:ascii="Times New Roman" w:eastAsia="Times New Roman" w:hAnsi="Times New Roman"/>
          <w:b/>
          <w:bCs/>
          <w:sz w:val="20"/>
          <w:szCs w:val="20"/>
          <w:u w:val="single"/>
          <w:lang w:val="en-GB" w:eastAsia="zh-CN"/>
        </w:rPr>
        <w:t>2</w:t>
      </w:r>
      <w:r w:rsidR="00E150CF">
        <w:rPr>
          <w:rFonts w:ascii="Times New Roman" w:eastAsia="Times New Roman" w:hAnsi="Times New Roman"/>
          <w:b/>
          <w:bCs/>
          <w:sz w:val="20"/>
          <w:szCs w:val="20"/>
          <w:u w:val="single"/>
          <w:lang w:val="en-GB" w:eastAsia="zh-CN"/>
        </w:rPr>
        <w:t>:</w:t>
      </w:r>
      <w:r w:rsidR="00E150CF">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For option1</w:t>
      </w:r>
      <w:r w:rsidR="0076519E">
        <w:rPr>
          <w:rFonts w:ascii="Times New Roman" w:eastAsia="Times New Roman" w:hAnsi="Times New Roman"/>
          <w:bCs/>
          <w:i/>
          <w:sz w:val="20"/>
          <w:szCs w:val="20"/>
          <w:lang w:val="en-GB" w:eastAsia="zh-CN"/>
        </w:rPr>
        <w:t xml:space="preserve">, a fixed timing based offset </w:t>
      </w:r>
      <w:r w:rsidR="003613BB">
        <w:rPr>
          <w:rFonts w:ascii="Times New Roman" w:eastAsia="Times New Roman" w:hAnsi="Times New Roman"/>
          <w:bCs/>
          <w:i/>
          <w:sz w:val="20"/>
          <w:szCs w:val="20"/>
          <w:lang w:val="en-GB" w:eastAsia="zh-CN"/>
        </w:rPr>
        <w:t xml:space="preserve">between PSSCH and PSFCH </w:t>
      </w:r>
      <w:r>
        <w:rPr>
          <w:rFonts w:ascii="Times New Roman" w:eastAsia="Times New Roman" w:hAnsi="Times New Roman"/>
          <w:bCs/>
          <w:i/>
          <w:sz w:val="20"/>
          <w:szCs w:val="20"/>
          <w:lang w:val="en-GB" w:eastAsia="zh-CN"/>
        </w:rPr>
        <w:t>is useful to consider</w:t>
      </w:r>
      <w:r w:rsidR="0076519E">
        <w:rPr>
          <w:rFonts w:ascii="Times New Roman" w:eastAsia="Times New Roman" w:hAnsi="Times New Roman"/>
          <w:bCs/>
          <w:i/>
          <w:sz w:val="20"/>
          <w:szCs w:val="20"/>
          <w:lang w:val="en-GB" w:eastAsia="zh-CN"/>
        </w:rPr>
        <w:t xml:space="preserve"> </w:t>
      </w:r>
      <w:r>
        <w:rPr>
          <w:rFonts w:ascii="Times New Roman" w:eastAsia="Times New Roman" w:hAnsi="Times New Roman"/>
          <w:bCs/>
          <w:i/>
          <w:sz w:val="20"/>
          <w:szCs w:val="20"/>
          <w:lang w:val="en-GB" w:eastAsia="zh-CN"/>
        </w:rPr>
        <w:t xml:space="preserve">for </w:t>
      </w:r>
      <w:r w:rsidR="0076519E">
        <w:rPr>
          <w:rFonts w:ascii="Times New Roman" w:eastAsia="Times New Roman" w:hAnsi="Times New Roman"/>
          <w:bCs/>
          <w:i/>
          <w:sz w:val="20"/>
          <w:szCs w:val="20"/>
          <w:lang w:val="en-GB" w:eastAsia="zh-CN"/>
        </w:rPr>
        <w:t>HARQ NACK transmissions within the group</w:t>
      </w:r>
      <w:r w:rsidR="00E150CF">
        <w:rPr>
          <w:rFonts w:ascii="Times New Roman" w:eastAsia="Times New Roman" w:hAnsi="Times New Roman"/>
          <w:bCs/>
          <w:i/>
          <w:sz w:val="20"/>
          <w:szCs w:val="20"/>
          <w:lang w:val="en-GB" w:eastAsia="zh-CN"/>
        </w:rPr>
        <w:t>.</w:t>
      </w:r>
    </w:p>
    <w:p w14:paraId="0FFC77D1" w14:textId="77777777" w:rsidR="000A566C" w:rsidRDefault="000A566C" w:rsidP="00E150CF">
      <w:pPr>
        <w:ind w:left="1350" w:hanging="1350"/>
        <w:rPr>
          <w:rFonts w:ascii="Times New Roman" w:eastAsia="Times New Roman" w:hAnsi="Times New Roman"/>
          <w:bCs/>
          <w:i/>
          <w:sz w:val="20"/>
          <w:szCs w:val="20"/>
          <w:lang w:val="en-GB" w:eastAsia="zh-CN"/>
        </w:rPr>
      </w:pPr>
    </w:p>
    <w:p w14:paraId="7FA814D4" w14:textId="21107BF8" w:rsidR="000A566C" w:rsidRPr="00B1479A" w:rsidRDefault="000A566C" w:rsidP="000A566C">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In order to support Option1, no additional AS layer co-ordination or signalling for HARQ feedback resource allocation within the group is required.</w:t>
      </w:r>
    </w:p>
    <w:p w14:paraId="40E7F933" w14:textId="77777777" w:rsidR="00E150CF" w:rsidRDefault="00E150CF" w:rsidP="004332CC">
      <w:pPr>
        <w:ind w:left="1350" w:hanging="1350"/>
        <w:rPr>
          <w:rFonts w:ascii="Times New Roman" w:hAnsi="Times New Roman"/>
          <w:sz w:val="20"/>
          <w:lang w:val="en-GB" w:eastAsia="zh-CN"/>
        </w:rPr>
      </w:pPr>
    </w:p>
    <w:p w14:paraId="1BB66FB3" w14:textId="77777777" w:rsidR="00E150CF" w:rsidRDefault="00E150CF" w:rsidP="00E67A80">
      <w:pPr>
        <w:rPr>
          <w:rFonts w:ascii="Times New Roman" w:hAnsi="Times New Roman"/>
          <w:sz w:val="20"/>
          <w:lang w:val="en-GB" w:eastAsia="zh-CN"/>
        </w:rPr>
      </w:pPr>
    </w:p>
    <w:p w14:paraId="08876E1B" w14:textId="77D5A088" w:rsidR="0075599C" w:rsidRPr="00E150CF" w:rsidRDefault="00707C8A" w:rsidP="00E67A80">
      <w:pPr>
        <w:rPr>
          <w:rFonts w:ascii="Times New Roman" w:hAnsi="Times New Roman"/>
          <w:b/>
          <w:i/>
          <w:sz w:val="20"/>
          <w:u w:val="single"/>
          <w:lang w:val="en-GB" w:eastAsia="zh-CN"/>
        </w:rPr>
      </w:pPr>
      <w:r w:rsidRPr="00E150CF">
        <w:rPr>
          <w:rFonts w:ascii="Times New Roman" w:hAnsi="Times New Roman"/>
          <w:b/>
          <w:i/>
          <w:sz w:val="20"/>
          <w:u w:val="single"/>
          <w:lang w:val="en-GB" w:eastAsia="zh-CN"/>
        </w:rPr>
        <w:t>OPTION 2:</w:t>
      </w:r>
    </w:p>
    <w:p w14:paraId="524E2A37" w14:textId="77777777" w:rsidR="00E150CF" w:rsidRDefault="00E150CF" w:rsidP="00E67A80">
      <w:pPr>
        <w:rPr>
          <w:rFonts w:ascii="Times New Roman" w:hAnsi="Times New Roman"/>
          <w:sz w:val="20"/>
          <w:lang w:val="en-GB" w:eastAsia="zh-CN"/>
        </w:rPr>
      </w:pPr>
    </w:p>
    <w:p w14:paraId="4E97BF8D" w14:textId="30F0CECE" w:rsidR="0075599C" w:rsidRDefault="0075599C" w:rsidP="00E67A80">
      <w:pPr>
        <w:rPr>
          <w:rFonts w:ascii="Times New Roman" w:hAnsi="Times New Roman"/>
          <w:sz w:val="20"/>
          <w:lang w:val="en-GB" w:eastAsia="zh-CN"/>
        </w:rPr>
      </w:pPr>
      <w:r>
        <w:rPr>
          <w:rFonts w:ascii="Times New Roman" w:hAnsi="Times New Roman"/>
          <w:sz w:val="20"/>
          <w:lang w:val="en-GB" w:eastAsia="zh-CN"/>
        </w:rPr>
        <w:t xml:space="preserve">For the case of option 2, </w:t>
      </w:r>
      <w:r w:rsidR="00DF0C36">
        <w:rPr>
          <w:rFonts w:ascii="Times New Roman" w:hAnsi="Times New Roman"/>
          <w:sz w:val="20"/>
          <w:lang w:val="en-GB" w:eastAsia="zh-CN"/>
        </w:rPr>
        <w:t>the situation</w:t>
      </w:r>
      <w:r>
        <w:rPr>
          <w:rFonts w:ascii="Times New Roman" w:hAnsi="Times New Roman"/>
          <w:sz w:val="20"/>
          <w:lang w:val="en-GB" w:eastAsia="zh-CN"/>
        </w:rPr>
        <w:t xml:space="preserve"> is a bit tricky since both ACKs and NACKs can be transmitted and each RX UE may need to be allocated a separate ACK/NACK resource. </w:t>
      </w:r>
      <w:r w:rsidR="00DF2422">
        <w:rPr>
          <w:rFonts w:ascii="Times New Roman" w:hAnsi="Times New Roman"/>
          <w:sz w:val="20"/>
          <w:lang w:val="en-GB" w:eastAsia="zh-CN"/>
        </w:rPr>
        <w:t xml:space="preserve">In other words, we can view the PSFCH transmissions for UE within the group as multiple unicast feedbacks to be multiplexed. </w:t>
      </w:r>
      <w:r>
        <w:rPr>
          <w:rFonts w:ascii="Times New Roman" w:hAnsi="Times New Roman"/>
          <w:sz w:val="20"/>
          <w:lang w:val="en-GB" w:eastAsia="zh-CN"/>
        </w:rPr>
        <w:t xml:space="preserve">In this case, we can consider the following three </w:t>
      </w:r>
      <w:r w:rsidR="00FE6A9A">
        <w:rPr>
          <w:rFonts w:ascii="Times New Roman" w:hAnsi="Times New Roman"/>
          <w:sz w:val="20"/>
          <w:lang w:val="en-GB" w:eastAsia="zh-CN"/>
        </w:rPr>
        <w:t>alternatives</w:t>
      </w:r>
      <w:r>
        <w:rPr>
          <w:rFonts w:ascii="Times New Roman" w:hAnsi="Times New Roman"/>
          <w:sz w:val="20"/>
          <w:lang w:val="en-GB" w:eastAsia="zh-CN"/>
        </w:rPr>
        <w:t>:</w:t>
      </w:r>
    </w:p>
    <w:p w14:paraId="5A383E75" w14:textId="77777777" w:rsidR="0075599C" w:rsidRDefault="0075599C" w:rsidP="00E67A80">
      <w:pPr>
        <w:rPr>
          <w:rFonts w:ascii="Times New Roman" w:hAnsi="Times New Roman"/>
          <w:sz w:val="20"/>
          <w:lang w:val="en-GB" w:eastAsia="zh-CN"/>
        </w:rPr>
      </w:pPr>
    </w:p>
    <w:p w14:paraId="3AC0E409" w14:textId="3A68CB34" w:rsidR="0075599C" w:rsidRDefault="0075599C" w:rsidP="0075599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 xml:space="preserve">The TX UE has to allocate specific </w:t>
      </w:r>
      <w:r w:rsidR="00DF2422">
        <w:rPr>
          <w:rFonts w:ascii="Times New Roman" w:hAnsi="Times New Roman"/>
          <w:sz w:val="20"/>
          <w:lang w:val="en-GB" w:eastAsia="zh-CN"/>
        </w:rPr>
        <w:t xml:space="preserve">resources based on unique group-wide identifiers for the intended recipients for its data transmission in order to determine whether or not the TB(s) is/are successfully decoded. </w:t>
      </w:r>
      <w:r w:rsidR="009F5D36">
        <w:rPr>
          <w:rFonts w:ascii="Times New Roman" w:hAnsi="Times New Roman"/>
          <w:sz w:val="20"/>
          <w:lang w:val="en-GB" w:eastAsia="zh-CN"/>
        </w:rPr>
        <w:t xml:space="preserve">This requires some indication from the </w:t>
      </w:r>
      <w:r w:rsidR="003304D8">
        <w:rPr>
          <w:rFonts w:ascii="Times New Roman" w:hAnsi="Times New Roman"/>
          <w:sz w:val="20"/>
          <w:lang w:val="en-GB" w:eastAsia="zh-CN"/>
        </w:rPr>
        <w:t>upper layers regarding at least the destination L2 IDs for other members of the group</w:t>
      </w:r>
      <w:r w:rsidR="00F90987">
        <w:rPr>
          <w:rFonts w:ascii="Times New Roman" w:hAnsi="Times New Roman"/>
          <w:sz w:val="20"/>
          <w:lang w:val="en-GB" w:eastAsia="zh-CN"/>
        </w:rPr>
        <w:t>.</w:t>
      </w:r>
      <w:r w:rsidR="004B256F">
        <w:rPr>
          <w:rFonts w:ascii="Times New Roman" w:hAnsi="Times New Roman"/>
          <w:sz w:val="20"/>
          <w:lang w:val="en-GB" w:eastAsia="zh-CN"/>
        </w:rPr>
        <w:t xml:space="preserve"> </w:t>
      </w:r>
    </w:p>
    <w:p w14:paraId="7282C5B6" w14:textId="5113B582" w:rsidR="003304D8" w:rsidRDefault="003304D8" w:rsidP="0075599C">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 xml:space="preserve">Another alternative is for the group leader to assume the responsibility of </w:t>
      </w:r>
      <w:r w:rsidR="00A8049D">
        <w:rPr>
          <w:rFonts w:ascii="Times New Roman" w:hAnsi="Times New Roman"/>
          <w:sz w:val="20"/>
          <w:lang w:val="en-GB" w:eastAsia="zh-CN"/>
        </w:rPr>
        <w:t>managing HARQ related ID allocation</w:t>
      </w:r>
      <w:r>
        <w:rPr>
          <w:rFonts w:ascii="Times New Roman" w:hAnsi="Times New Roman"/>
          <w:sz w:val="20"/>
          <w:lang w:val="en-GB" w:eastAsia="zh-CN"/>
        </w:rPr>
        <w:t xml:space="preserve"> for the entire group. Since the target use case is platooning, we assume that the group leader is already known to the group members and </w:t>
      </w:r>
      <w:r w:rsidR="00680A78">
        <w:rPr>
          <w:rFonts w:ascii="Times New Roman" w:hAnsi="Times New Roman"/>
          <w:sz w:val="20"/>
          <w:lang w:val="en-GB" w:eastAsia="zh-CN"/>
        </w:rPr>
        <w:t xml:space="preserve">is not expected to change very dynamically. </w:t>
      </w:r>
    </w:p>
    <w:p w14:paraId="5F37CB10" w14:textId="15AE005A" w:rsidR="001B5A55" w:rsidRPr="004332CC" w:rsidRDefault="001B5A55" w:rsidP="001B5A55">
      <w:pPr>
        <w:pStyle w:val="ListParagraph"/>
        <w:numPr>
          <w:ilvl w:val="0"/>
          <w:numId w:val="40"/>
        </w:numPr>
        <w:rPr>
          <w:rFonts w:ascii="Times New Roman" w:hAnsi="Times New Roman"/>
          <w:sz w:val="20"/>
          <w:lang w:val="en-GB" w:eastAsia="zh-CN"/>
        </w:rPr>
      </w:pPr>
      <w:r>
        <w:rPr>
          <w:rFonts w:ascii="Times New Roman" w:hAnsi="Times New Roman"/>
          <w:sz w:val="20"/>
          <w:lang w:val="en-GB" w:eastAsia="zh-CN"/>
        </w:rPr>
        <w:t>A final option can be to consider the gNB as the AS layer entity responsible for performing the mapping between L2 Destination ID and HARQ identifier. However, in our view, this option is relevant for the case when in connected mode and the group leader might have to assume this responsibility otherwise</w:t>
      </w:r>
      <w:r w:rsidR="00A8049D">
        <w:rPr>
          <w:rFonts w:ascii="Times New Roman" w:hAnsi="Times New Roman"/>
          <w:sz w:val="20"/>
          <w:lang w:val="en-GB" w:eastAsia="zh-CN"/>
        </w:rPr>
        <w:t xml:space="preserve"> in any case</w:t>
      </w:r>
      <w:r>
        <w:rPr>
          <w:rFonts w:ascii="Times New Roman" w:hAnsi="Times New Roman"/>
          <w:sz w:val="20"/>
          <w:lang w:val="en-GB" w:eastAsia="zh-CN"/>
        </w:rPr>
        <w:t>.</w:t>
      </w:r>
    </w:p>
    <w:p w14:paraId="3512FC69" w14:textId="61F70F0F" w:rsidR="00A2588F" w:rsidRDefault="001B5A55" w:rsidP="001B5A55">
      <w:pPr>
        <w:rPr>
          <w:rFonts w:ascii="Times New Roman" w:hAnsi="Times New Roman"/>
          <w:sz w:val="20"/>
          <w:lang w:val="en-GB" w:eastAsia="zh-CN"/>
        </w:rPr>
      </w:pPr>
      <w:r>
        <w:rPr>
          <w:rFonts w:ascii="Times New Roman" w:hAnsi="Times New Roman"/>
          <w:sz w:val="20"/>
          <w:lang w:val="en-GB" w:eastAsia="zh-CN"/>
        </w:rPr>
        <w:t xml:space="preserve">For the three </w:t>
      </w:r>
      <w:r w:rsidR="00FE6A9A">
        <w:rPr>
          <w:rFonts w:ascii="Times New Roman" w:hAnsi="Times New Roman"/>
          <w:sz w:val="20"/>
          <w:lang w:val="en-GB" w:eastAsia="zh-CN"/>
        </w:rPr>
        <w:t>alternatives</w:t>
      </w:r>
      <w:r>
        <w:rPr>
          <w:rFonts w:ascii="Times New Roman" w:hAnsi="Times New Roman"/>
          <w:sz w:val="20"/>
          <w:lang w:val="en-GB" w:eastAsia="zh-CN"/>
        </w:rPr>
        <w:t xml:space="preserve"> listed above, we think that both </w:t>
      </w:r>
      <w:r w:rsidR="00FE6A9A">
        <w:rPr>
          <w:rFonts w:ascii="Times New Roman" w:hAnsi="Times New Roman"/>
          <w:sz w:val="20"/>
          <w:lang w:val="en-GB" w:eastAsia="zh-CN"/>
        </w:rPr>
        <w:t>Alt-</w:t>
      </w:r>
      <w:r>
        <w:rPr>
          <w:rFonts w:ascii="Times New Roman" w:hAnsi="Times New Roman"/>
          <w:sz w:val="20"/>
          <w:lang w:val="en-GB" w:eastAsia="zh-CN"/>
        </w:rPr>
        <w:t xml:space="preserve">1 and </w:t>
      </w:r>
      <w:r w:rsidR="00FE6A9A">
        <w:rPr>
          <w:rFonts w:ascii="Times New Roman" w:hAnsi="Times New Roman"/>
          <w:sz w:val="20"/>
          <w:lang w:val="en-GB" w:eastAsia="zh-CN"/>
        </w:rPr>
        <w:t>Alt-</w:t>
      </w:r>
      <w:r>
        <w:rPr>
          <w:rFonts w:ascii="Times New Roman" w:hAnsi="Times New Roman"/>
          <w:sz w:val="20"/>
          <w:lang w:val="en-GB" w:eastAsia="zh-CN"/>
        </w:rPr>
        <w:t xml:space="preserve">2 can be supported. </w:t>
      </w:r>
      <w:r w:rsidR="00FE6A9A">
        <w:rPr>
          <w:rFonts w:ascii="Times New Roman" w:hAnsi="Times New Roman"/>
          <w:sz w:val="20"/>
          <w:lang w:val="en-GB" w:eastAsia="zh-CN"/>
        </w:rPr>
        <w:t>Alt-</w:t>
      </w:r>
      <w:r>
        <w:rPr>
          <w:rFonts w:ascii="Times New Roman" w:hAnsi="Times New Roman"/>
          <w:sz w:val="20"/>
          <w:lang w:val="en-GB" w:eastAsia="zh-CN"/>
        </w:rPr>
        <w:t>2 has the advantage of requiring less co-</w:t>
      </w:r>
      <w:r w:rsidR="005013B7">
        <w:rPr>
          <w:rFonts w:ascii="Times New Roman" w:hAnsi="Times New Roman"/>
          <w:sz w:val="20"/>
          <w:lang w:val="en-GB" w:eastAsia="zh-CN"/>
        </w:rPr>
        <w:t>ordination</w:t>
      </w:r>
      <w:r>
        <w:rPr>
          <w:rFonts w:ascii="Times New Roman" w:hAnsi="Times New Roman"/>
          <w:sz w:val="20"/>
          <w:lang w:val="en-GB" w:eastAsia="zh-CN"/>
        </w:rPr>
        <w:t xml:space="preserve"> signalling but seems to somewhat go against the earlier RAN2 understanding that group leader visibility at the AS layer is not required. </w:t>
      </w:r>
      <w:r w:rsidR="00A2588F">
        <w:rPr>
          <w:rFonts w:ascii="Times New Roman" w:hAnsi="Times New Roman"/>
          <w:sz w:val="20"/>
          <w:lang w:val="en-GB" w:eastAsia="zh-CN"/>
        </w:rPr>
        <w:t xml:space="preserve">It should be noted that regardless of which option is ultimately used, supporting Option 2 as in in the RAN1 LS has significant impact on AS layer functionality. For instance, while there is no RRC connection establishment for groupcast, some RRC level signalling would </w:t>
      </w:r>
      <w:r w:rsidR="004B1B09">
        <w:rPr>
          <w:rFonts w:ascii="Times New Roman" w:hAnsi="Times New Roman"/>
          <w:sz w:val="20"/>
          <w:lang w:val="en-GB" w:eastAsia="zh-CN"/>
        </w:rPr>
        <w:t xml:space="preserve">anyway </w:t>
      </w:r>
      <w:r w:rsidR="00A2588F">
        <w:rPr>
          <w:rFonts w:ascii="Times New Roman" w:hAnsi="Times New Roman"/>
          <w:sz w:val="20"/>
          <w:lang w:val="en-GB" w:eastAsia="zh-CN"/>
        </w:rPr>
        <w:t xml:space="preserve">be required by the TX or header UE for allocating </w:t>
      </w:r>
      <w:r w:rsidR="004B1B09">
        <w:rPr>
          <w:rFonts w:ascii="Times New Roman" w:hAnsi="Times New Roman"/>
          <w:sz w:val="20"/>
          <w:lang w:val="en-GB" w:eastAsia="zh-CN"/>
        </w:rPr>
        <w:t xml:space="preserve">feedback </w:t>
      </w:r>
      <w:r w:rsidR="00A2588F">
        <w:rPr>
          <w:rFonts w:ascii="Times New Roman" w:hAnsi="Times New Roman"/>
          <w:sz w:val="20"/>
          <w:lang w:val="en-GB" w:eastAsia="zh-CN"/>
        </w:rPr>
        <w:t xml:space="preserve">resources for ACK/NACK transmissions. This would significantly increase the signalling overhead needed for allocation of these resources. Additionally, Option 1, i.e. NACK based HARQ feedback might already be sufficient to meet the reliability requirements for groupcast use cases. So, we propose to further discuss the support of Option 2 and whether it needs to be supported in addition to Option 1. </w:t>
      </w:r>
    </w:p>
    <w:p w14:paraId="75B53D1E" w14:textId="77777777" w:rsidR="001B5A55" w:rsidRDefault="001B5A55" w:rsidP="001B5A55">
      <w:pPr>
        <w:rPr>
          <w:rFonts w:ascii="Times New Roman" w:hAnsi="Times New Roman"/>
          <w:sz w:val="20"/>
          <w:lang w:val="en-GB" w:eastAsia="zh-CN"/>
        </w:rPr>
      </w:pPr>
    </w:p>
    <w:p w14:paraId="786CC072" w14:textId="7685666B" w:rsidR="00A8049D" w:rsidRPr="00B1479A" w:rsidRDefault="00A8049D" w:rsidP="00A8049D">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to discuss </w:t>
      </w:r>
      <w:r w:rsidR="001151D2">
        <w:rPr>
          <w:rFonts w:ascii="Times New Roman" w:eastAsia="Times New Roman" w:hAnsi="Times New Roman"/>
          <w:bCs/>
          <w:i/>
          <w:sz w:val="20"/>
          <w:szCs w:val="20"/>
          <w:lang w:val="en-GB" w:eastAsia="zh-CN"/>
        </w:rPr>
        <w:t xml:space="preserve">support of Option 2 (in addition to Option 1) </w:t>
      </w:r>
      <w:r w:rsidR="004B1B09">
        <w:rPr>
          <w:rFonts w:ascii="Times New Roman" w:eastAsia="Times New Roman" w:hAnsi="Times New Roman"/>
          <w:bCs/>
          <w:i/>
          <w:sz w:val="20"/>
          <w:szCs w:val="20"/>
          <w:lang w:val="en-GB" w:eastAsia="zh-CN"/>
        </w:rPr>
        <w:t xml:space="preserve">and the associated RAN2 impact </w:t>
      </w:r>
      <w:r w:rsidR="001151D2">
        <w:rPr>
          <w:rFonts w:ascii="Times New Roman" w:eastAsia="Times New Roman" w:hAnsi="Times New Roman"/>
          <w:bCs/>
          <w:i/>
          <w:sz w:val="20"/>
          <w:szCs w:val="20"/>
          <w:lang w:val="en-GB" w:eastAsia="zh-CN"/>
        </w:rPr>
        <w:t xml:space="preserve">for </w:t>
      </w:r>
      <w:r w:rsidR="004B1B09">
        <w:rPr>
          <w:rFonts w:ascii="Times New Roman" w:eastAsia="Times New Roman" w:hAnsi="Times New Roman"/>
          <w:bCs/>
          <w:i/>
          <w:sz w:val="20"/>
          <w:szCs w:val="20"/>
          <w:lang w:val="en-GB" w:eastAsia="zh-CN"/>
        </w:rPr>
        <w:t xml:space="preserve">groupcast </w:t>
      </w:r>
      <w:r w:rsidR="001151D2">
        <w:rPr>
          <w:rFonts w:ascii="Times New Roman" w:eastAsia="Times New Roman" w:hAnsi="Times New Roman"/>
          <w:bCs/>
          <w:i/>
          <w:sz w:val="20"/>
          <w:szCs w:val="20"/>
          <w:lang w:val="en-GB" w:eastAsia="zh-CN"/>
        </w:rPr>
        <w:t>HARQ feedback</w:t>
      </w:r>
      <w:r>
        <w:rPr>
          <w:rFonts w:ascii="Times New Roman" w:eastAsia="Times New Roman" w:hAnsi="Times New Roman"/>
          <w:bCs/>
          <w:i/>
          <w:sz w:val="20"/>
          <w:szCs w:val="20"/>
          <w:lang w:val="en-GB" w:eastAsia="zh-CN"/>
        </w:rPr>
        <w:t>.</w:t>
      </w:r>
    </w:p>
    <w:p w14:paraId="42C75FC8" w14:textId="77777777" w:rsidR="001B5A55" w:rsidRDefault="001B5A55" w:rsidP="001B5A55">
      <w:pPr>
        <w:rPr>
          <w:rFonts w:ascii="Times New Roman" w:hAnsi="Times New Roman"/>
          <w:sz w:val="20"/>
          <w:lang w:val="en-GB" w:eastAsia="zh-CN"/>
        </w:rPr>
      </w:pPr>
    </w:p>
    <w:p w14:paraId="646306BE" w14:textId="15A303EE" w:rsidR="0016703F" w:rsidRPr="00100A13" w:rsidRDefault="00450C33" w:rsidP="0016703F">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Additional considerations for HARQ feedback</w:t>
      </w:r>
    </w:p>
    <w:p w14:paraId="7708A9B7" w14:textId="77777777" w:rsidR="0016703F" w:rsidRDefault="0016703F" w:rsidP="0016703F">
      <w:pPr>
        <w:rPr>
          <w:rFonts w:ascii="Times New Roman" w:hAnsi="Times New Roman"/>
          <w:sz w:val="20"/>
          <w:lang w:val="en-GB" w:eastAsia="zh-CN"/>
        </w:rPr>
      </w:pPr>
    </w:p>
    <w:p w14:paraId="18FC31AA" w14:textId="6EBF5BD9" w:rsidR="00D714C5" w:rsidRDefault="00B1479A" w:rsidP="006A7495">
      <w:pPr>
        <w:rPr>
          <w:rFonts w:ascii="Times New Roman" w:hAnsi="Times New Roman"/>
          <w:sz w:val="20"/>
          <w:lang w:val="en-GB" w:eastAsia="zh-CN"/>
        </w:rPr>
      </w:pPr>
      <w:r>
        <w:rPr>
          <w:rFonts w:ascii="Times New Roman" w:hAnsi="Times New Roman"/>
          <w:sz w:val="20"/>
          <w:lang w:val="en-GB" w:eastAsia="zh-CN"/>
        </w:rPr>
        <w:t xml:space="preserve">A related aspect to </w:t>
      </w:r>
      <w:r w:rsidR="006A7495">
        <w:rPr>
          <w:rFonts w:ascii="Times New Roman" w:hAnsi="Times New Roman"/>
          <w:sz w:val="20"/>
          <w:lang w:val="en-GB" w:eastAsia="zh-CN"/>
        </w:rPr>
        <w:t xml:space="preserve">the discussion above is </w:t>
      </w:r>
      <w:r w:rsidR="00C23949">
        <w:rPr>
          <w:rFonts w:ascii="Times New Roman" w:hAnsi="Times New Roman"/>
          <w:sz w:val="20"/>
          <w:lang w:val="en-GB" w:eastAsia="zh-CN"/>
        </w:rPr>
        <w:t xml:space="preserve">configurability of HARQ feedback for groupcast and its dependence on other factors. Since HARQ feedback, especially in larger groups is expected to generate </w:t>
      </w:r>
      <w:r w:rsidR="00DD191E">
        <w:rPr>
          <w:rFonts w:ascii="Times New Roman" w:hAnsi="Times New Roman"/>
          <w:sz w:val="20"/>
          <w:lang w:val="en-GB" w:eastAsia="zh-CN"/>
        </w:rPr>
        <w:t xml:space="preserve">significant </w:t>
      </w:r>
      <w:r w:rsidR="00C23949">
        <w:rPr>
          <w:rFonts w:ascii="Times New Roman" w:hAnsi="Times New Roman"/>
          <w:sz w:val="20"/>
          <w:lang w:val="en-GB" w:eastAsia="zh-CN"/>
        </w:rPr>
        <w:t xml:space="preserve">signalling overhead and lead to </w:t>
      </w:r>
      <w:r w:rsidR="00DD191E">
        <w:rPr>
          <w:rFonts w:ascii="Times New Roman" w:hAnsi="Times New Roman"/>
          <w:sz w:val="20"/>
          <w:lang w:val="en-GB" w:eastAsia="zh-CN"/>
        </w:rPr>
        <w:t xml:space="preserve">potential </w:t>
      </w:r>
      <w:r w:rsidR="00C23949">
        <w:rPr>
          <w:rFonts w:ascii="Times New Roman" w:hAnsi="Times New Roman"/>
          <w:sz w:val="20"/>
          <w:lang w:val="en-GB" w:eastAsia="zh-CN"/>
        </w:rPr>
        <w:t xml:space="preserve">congestion, we need to consider if in addition to NW configuration, additional factors need to be considered. In our view, at least the current channel congestion (e.g. CBR) and the QoS of the groupcast traffic for which feedback is to be performed </w:t>
      </w:r>
      <w:r w:rsidR="00205CC1">
        <w:rPr>
          <w:rFonts w:ascii="Times New Roman" w:hAnsi="Times New Roman"/>
          <w:sz w:val="20"/>
          <w:lang w:val="en-GB" w:eastAsia="zh-CN"/>
        </w:rPr>
        <w:t>as well as other ongoing services should be considered by the RX UEs when choosing when to send the HARQ feedb</w:t>
      </w:r>
      <w:r w:rsidR="00450C33">
        <w:rPr>
          <w:rFonts w:ascii="Times New Roman" w:hAnsi="Times New Roman"/>
          <w:sz w:val="20"/>
          <w:lang w:val="en-GB" w:eastAsia="zh-CN"/>
        </w:rPr>
        <w:t>ack</w:t>
      </w:r>
      <w:r w:rsidR="00205CC1">
        <w:rPr>
          <w:rFonts w:ascii="Times New Roman" w:hAnsi="Times New Roman"/>
          <w:sz w:val="20"/>
          <w:lang w:val="en-GB" w:eastAsia="zh-CN"/>
        </w:rPr>
        <w:t>. For instance, in case of congestion</w:t>
      </w:r>
      <w:r w:rsidR="00450C33">
        <w:rPr>
          <w:rFonts w:ascii="Times New Roman" w:hAnsi="Times New Roman"/>
          <w:sz w:val="20"/>
          <w:lang w:val="en-GB" w:eastAsia="zh-CN"/>
        </w:rPr>
        <w:t xml:space="preserve"> or for the case of service requiring extremely low latency</w:t>
      </w:r>
      <w:r w:rsidR="00205CC1">
        <w:rPr>
          <w:rFonts w:ascii="Times New Roman" w:hAnsi="Times New Roman"/>
          <w:sz w:val="20"/>
          <w:lang w:val="en-GB" w:eastAsia="zh-CN"/>
        </w:rPr>
        <w:t>, the RX UE may choose not to HARQ feedback</w:t>
      </w:r>
      <w:r w:rsidR="00450C33">
        <w:rPr>
          <w:rFonts w:ascii="Times New Roman" w:hAnsi="Times New Roman"/>
          <w:sz w:val="20"/>
          <w:lang w:val="en-GB" w:eastAsia="zh-CN"/>
        </w:rPr>
        <w:t xml:space="preserve"> even when the feature is enabled by configuration. So, we propose to discuss this aspect in RAN2.</w:t>
      </w:r>
    </w:p>
    <w:p w14:paraId="4BC7B012" w14:textId="77777777" w:rsidR="00D714C5" w:rsidRDefault="00D714C5" w:rsidP="00D714C5">
      <w:pPr>
        <w:rPr>
          <w:rFonts w:ascii="Times New Roman" w:eastAsia="Times New Roman" w:hAnsi="Times New Roman"/>
          <w:bCs/>
          <w:i/>
          <w:sz w:val="20"/>
          <w:szCs w:val="20"/>
          <w:lang w:val="en-GB" w:eastAsia="zh-CN"/>
        </w:rPr>
      </w:pPr>
    </w:p>
    <w:p w14:paraId="46BA7543" w14:textId="06B82534" w:rsidR="00D714C5" w:rsidRPr="00B1479A" w:rsidRDefault="00D714C5" w:rsidP="00D714C5">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575153">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50C33">
        <w:rPr>
          <w:rFonts w:ascii="Times New Roman" w:eastAsia="Times New Roman" w:hAnsi="Times New Roman"/>
          <w:bCs/>
          <w:i/>
          <w:sz w:val="20"/>
          <w:szCs w:val="20"/>
          <w:lang w:val="en-GB" w:eastAsia="zh-CN"/>
        </w:rPr>
        <w:t>RAN2 to consider additional factors including QoS for ongoing traffic and channel congestion when determining whether or not HARQ feedback is transmitted by the RX UE</w:t>
      </w:r>
      <w:r>
        <w:rPr>
          <w:rFonts w:ascii="Times New Roman" w:eastAsia="Times New Roman" w:hAnsi="Times New Roman"/>
          <w:bCs/>
          <w:i/>
          <w:sz w:val="20"/>
          <w:szCs w:val="20"/>
          <w:lang w:val="en-GB" w:eastAsia="zh-CN"/>
        </w:rPr>
        <w:t>.</w:t>
      </w:r>
    </w:p>
    <w:p w14:paraId="0751770D" w14:textId="77777777" w:rsidR="00B556A6" w:rsidRPr="00B556A6" w:rsidRDefault="00B556A6" w:rsidP="00443607">
      <w:pPr>
        <w:rPr>
          <w:rFonts w:ascii="Times New Roman" w:eastAsia="Times New Roman" w:hAnsi="Times New Roman"/>
          <w:bCs/>
          <w:sz w:val="20"/>
          <w:szCs w:val="20"/>
          <w:lang w:val="en-GB" w:eastAsia="zh-CN"/>
        </w:rPr>
      </w:pPr>
    </w:p>
    <w:p w14:paraId="50A28EC3" w14:textId="77777777" w:rsidR="008669B1" w:rsidRPr="00E0063E" w:rsidRDefault="008669B1" w:rsidP="008669B1">
      <w:pPr>
        <w:pStyle w:val="Tdoc"/>
      </w:pPr>
      <w:r w:rsidRPr="00E0063E">
        <w:t>Conclusion</w:t>
      </w:r>
    </w:p>
    <w:p w14:paraId="50A28EC4" w14:textId="676CF632"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 discusses </w:t>
      </w:r>
      <w:r w:rsidR="00883D0A">
        <w:rPr>
          <w:rFonts w:ascii="Times New Roman" w:eastAsia="Times New Roman" w:hAnsi="Times New Roman"/>
          <w:bCs/>
          <w:sz w:val="20"/>
          <w:szCs w:val="20"/>
          <w:lang w:val="en-GB" w:eastAsia="zh-CN"/>
        </w:rPr>
        <w:t xml:space="preserve">aspects related to </w:t>
      </w:r>
      <w:r w:rsidR="00FE6A9A">
        <w:rPr>
          <w:rFonts w:ascii="Times New Roman" w:eastAsia="Times New Roman" w:hAnsi="Times New Roman"/>
          <w:bCs/>
          <w:sz w:val="20"/>
          <w:szCs w:val="20"/>
          <w:lang w:val="en-GB" w:eastAsia="zh-CN"/>
        </w:rPr>
        <w:t xml:space="preserve">HARQ feedback operation for </w:t>
      </w:r>
      <w:r w:rsidR="00C40041">
        <w:rPr>
          <w:rFonts w:ascii="Times New Roman" w:eastAsia="Times New Roman" w:hAnsi="Times New Roman"/>
          <w:bCs/>
          <w:sz w:val="20"/>
          <w:szCs w:val="20"/>
          <w:lang w:val="en-GB" w:eastAsia="zh-CN"/>
        </w:rPr>
        <w:t xml:space="preserve">groupcast over sidelink, specifically </w:t>
      </w:r>
      <w:r w:rsidR="00642633">
        <w:rPr>
          <w:rFonts w:ascii="Times New Roman" w:eastAsia="Times New Roman" w:hAnsi="Times New Roman"/>
          <w:bCs/>
          <w:sz w:val="20"/>
          <w:szCs w:val="20"/>
          <w:lang w:val="en-GB" w:eastAsia="zh-CN"/>
        </w:rPr>
        <w:t>based on RAN1 progress</w:t>
      </w:r>
      <w:r w:rsidR="00C40041">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 xml:space="preserve">makes the following </w:t>
      </w:r>
      <w:r w:rsidR="00EA1EA7">
        <w:rPr>
          <w:rFonts w:ascii="Times New Roman" w:eastAsia="Times New Roman" w:hAnsi="Times New Roman"/>
          <w:bCs/>
          <w:sz w:val="20"/>
          <w:szCs w:val="20"/>
          <w:lang w:val="en-GB" w:eastAsia="zh-CN"/>
        </w:rPr>
        <w:t xml:space="preserve">observations and </w:t>
      </w:r>
      <w:r w:rsidR="00BD4C5D">
        <w:rPr>
          <w:rFonts w:ascii="Times New Roman" w:eastAsia="Times New Roman" w:hAnsi="Times New Roman"/>
          <w:bCs/>
          <w:sz w:val="20"/>
          <w:szCs w:val="20"/>
          <w:lang w:val="en-GB" w:eastAsia="zh-CN"/>
        </w:rPr>
        <w:t>proposals</w:t>
      </w:r>
      <w:r w:rsidR="00777344">
        <w:rPr>
          <w:rFonts w:ascii="Times New Roman" w:eastAsia="Times New Roman" w:hAnsi="Times New Roman"/>
          <w:bCs/>
          <w:sz w:val="20"/>
          <w:szCs w:val="20"/>
          <w:lang w:val="en-GB" w:eastAsia="zh-CN"/>
        </w:rPr>
        <w:t>:</w:t>
      </w:r>
    </w:p>
    <w:p w14:paraId="1AD0990F" w14:textId="77777777" w:rsidR="007E2ABD" w:rsidRDefault="007E2ABD"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p w14:paraId="0F04B970" w14:textId="77777777" w:rsidR="007E2ABD" w:rsidRDefault="007E2ABD" w:rsidP="007E2ABD">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1:</w:t>
      </w:r>
      <w:r>
        <w:rPr>
          <w:rFonts w:ascii="Times New Roman" w:eastAsia="Times New Roman" w:hAnsi="Times New Roman"/>
          <w:b/>
          <w:bCs/>
          <w:sz w:val="20"/>
          <w:szCs w:val="20"/>
          <w:lang w:val="en-GB" w:eastAsia="zh-CN"/>
        </w:rPr>
        <w:tab/>
      </w:r>
      <w:r w:rsidRPr="005013B7">
        <w:rPr>
          <w:rFonts w:ascii="Times New Roman" w:eastAsia="Times New Roman" w:hAnsi="Times New Roman"/>
          <w:bCs/>
          <w:i/>
          <w:sz w:val="20"/>
          <w:szCs w:val="20"/>
          <w:lang w:val="en-GB" w:eastAsia="zh-CN"/>
        </w:rPr>
        <w:t>There seems to be differing views in RAN1 and RAN2 as to whether groupcast is considered as a special case of unicast or broadcast operation.</w:t>
      </w:r>
    </w:p>
    <w:p w14:paraId="0FA4D747" w14:textId="77777777" w:rsidR="004B1B09" w:rsidRDefault="004B1B09" w:rsidP="004B1B0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For option1, a fixed timing based offset between PSSCH and PSFCH is useful to consider for HARQ NACK transmissions within the group.</w:t>
      </w:r>
    </w:p>
    <w:p w14:paraId="58A07CE7" w14:textId="77777777" w:rsidR="004B1B09" w:rsidRDefault="004B1B09" w:rsidP="004B1B09">
      <w:pPr>
        <w:rPr>
          <w:rFonts w:ascii="Times New Roman" w:eastAsia="Times New Roman" w:hAnsi="Times New Roman"/>
          <w:bCs/>
          <w:i/>
          <w:sz w:val="20"/>
          <w:szCs w:val="20"/>
          <w:lang w:val="en-GB" w:eastAsia="zh-CN"/>
        </w:rPr>
      </w:pPr>
    </w:p>
    <w:p w14:paraId="37B41A47" w14:textId="732FD5AF" w:rsidR="004B1B09" w:rsidRPr="00B1479A" w:rsidRDefault="004B1B09" w:rsidP="004B1B0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sidRPr="00E150CF">
        <w:rPr>
          <w:rFonts w:ascii="Times New Roman" w:eastAsia="Times New Roman" w:hAnsi="Times New Roman"/>
          <w:bCs/>
          <w:i/>
          <w:sz w:val="20"/>
          <w:szCs w:val="20"/>
          <w:lang w:val="en-GB" w:eastAsia="zh-CN"/>
        </w:rPr>
        <w:t>A</w:t>
      </w:r>
      <w:r>
        <w:rPr>
          <w:rFonts w:ascii="Times New Roman" w:eastAsia="Times New Roman" w:hAnsi="Times New Roman"/>
          <w:bCs/>
          <w:i/>
          <w:sz w:val="20"/>
          <w:szCs w:val="20"/>
          <w:lang w:val="en-GB" w:eastAsia="zh-CN"/>
        </w:rPr>
        <w:t xml:space="preserve">n AS layer entity which is aware </w:t>
      </w:r>
      <w:r w:rsidRPr="00E150CF">
        <w:rPr>
          <w:rFonts w:ascii="Times New Roman" w:eastAsia="Times New Roman" w:hAnsi="Times New Roman"/>
          <w:bCs/>
          <w:i/>
          <w:sz w:val="20"/>
          <w:szCs w:val="20"/>
          <w:lang w:val="en-GB" w:eastAsia="zh-CN"/>
        </w:rPr>
        <w:t>of the group compositions (</w:t>
      </w:r>
      <w:r>
        <w:rPr>
          <w:rFonts w:ascii="Times New Roman" w:eastAsia="Times New Roman" w:hAnsi="Times New Roman"/>
          <w:bCs/>
          <w:i/>
          <w:sz w:val="20"/>
          <w:szCs w:val="20"/>
          <w:lang w:val="en-GB" w:eastAsia="zh-CN"/>
        </w:rPr>
        <w:t xml:space="preserve">specifically </w:t>
      </w:r>
      <w:r w:rsidRPr="00E150CF">
        <w:rPr>
          <w:rFonts w:ascii="Times New Roman" w:eastAsia="Times New Roman" w:hAnsi="Times New Roman"/>
          <w:bCs/>
          <w:i/>
          <w:sz w:val="20"/>
          <w:szCs w:val="20"/>
          <w:lang w:val="en-GB" w:eastAsia="zh-CN"/>
        </w:rPr>
        <w:t xml:space="preserve">L2 </w:t>
      </w:r>
      <w:r>
        <w:rPr>
          <w:rFonts w:ascii="Times New Roman" w:eastAsia="Times New Roman" w:hAnsi="Times New Roman"/>
          <w:bCs/>
          <w:i/>
          <w:sz w:val="20"/>
          <w:szCs w:val="20"/>
          <w:lang w:val="en-GB" w:eastAsia="zh-CN"/>
        </w:rPr>
        <w:t xml:space="preserve">Destination </w:t>
      </w:r>
      <w:r w:rsidRPr="00E150CF">
        <w:rPr>
          <w:rFonts w:ascii="Times New Roman" w:eastAsia="Times New Roman" w:hAnsi="Times New Roman"/>
          <w:bCs/>
          <w:i/>
          <w:sz w:val="20"/>
          <w:szCs w:val="20"/>
          <w:lang w:val="en-GB" w:eastAsia="zh-CN"/>
        </w:rPr>
        <w:t>IDs) is supported</w:t>
      </w:r>
      <w:r>
        <w:rPr>
          <w:rFonts w:ascii="Times New Roman" w:eastAsia="Times New Roman" w:hAnsi="Times New Roman"/>
          <w:bCs/>
          <w:i/>
          <w:sz w:val="20"/>
          <w:szCs w:val="20"/>
          <w:lang w:val="en-GB" w:eastAsia="zh-CN"/>
        </w:rPr>
        <w:t xml:space="preserve"> in order to enable HARQ feedback operation for groupcast.</w:t>
      </w:r>
    </w:p>
    <w:p w14:paraId="1360DA0E" w14:textId="77777777" w:rsidR="004B1B09" w:rsidRPr="00B1479A" w:rsidRDefault="004B1B09" w:rsidP="004B1B0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In order to support Option1, no additional AS layer co-ordination or signalling for HARQ feedback resource allocation within the group is required.</w:t>
      </w:r>
    </w:p>
    <w:p w14:paraId="059A10C6" w14:textId="76425AF3" w:rsidR="004B1B09" w:rsidRPr="00B1479A" w:rsidRDefault="004B1B09" w:rsidP="004B1B09">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discuss support of Option 2 (in addition to Option 1) and the associated RAN2 impact for groupcast HARQ feedback.</w:t>
      </w:r>
    </w:p>
    <w:p w14:paraId="31977783" w14:textId="77777777" w:rsidR="007E2ABD" w:rsidRPr="00B1479A" w:rsidRDefault="007E2ABD" w:rsidP="007E2ABD">
      <w:pPr>
        <w:ind w:left="1350" w:hanging="135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consider additional factors including QoS for ongoing traffic and channel congestion when determining whether or not HARQ feedback is transmitted by the RX UE.</w:t>
      </w:r>
    </w:p>
    <w:p w14:paraId="67C04A2A" w14:textId="77777777" w:rsidR="00C40041" w:rsidRDefault="00C40041"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p>
    <w:sdt>
      <w:sdtPr>
        <w:rPr>
          <w:rFonts w:ascii="Calibri" w:eastAsia="SimSun" w:hAnsi="Calibri"/>
          <w:noProof w:val="0"/>
          <w:sz w:val="22"/>
          <w:szCs w:val="22"/>
          <w:lang w:eastAsia="en-US"/>
        </w:rPr>
        <w:id w:val="70091276"/>
        <w:docPartObj>
          <w:docPartGallery w:val="Bibliographies"/>
          <w:docPartUnique/>
        </w:docPartObj>
      </w:sdtPr>
      <w:sdtEndPr/>
      <w:sdtContent>
        <w:p w14:paraId="16C0286F" w14:textId="1209FACE" w:rsidR="00C454E6" w:rsidRDefault="00C454E6" w:rsidP="00C454E6">
          <w:pPr>
            <w:pStyle w:val="Tdoc"/>
            <w:divId w:val="1131898881"/>
            <w:rPr>
              <w:sz w:val="20"/>
            </w:rPr>
          </w:pPr>
          <w:r>
            <w:rPr>
              <w:rStyle w:val="TdocChar"/>
            </w:rPr>
            <w:t>R</w:t>
          </w:r>
          <w:r w:rsidR="0063286E" w:rsidRPr="00C454E6">
            <w:rPr>
              <w:rStyle w:val="TdocChar"/>
            </w:rPr>
            <w:t>eferences</w:t>
          </w:r>
          <w:r w:rsidR="000A472B">
            <w:fldChar w:fldCharType="begin"/>
          </w:r>
          <w:r w:rsidR="000A472B" w:rsidRPr="000B32EB">
            <w:instrText xml:space="preserve"> BIBLIOGRAPHY  \l 1033 </w:instrText>
          </w:r>
          <w:r w:rsidR="000A472B">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C454E6" w14:paraId="0942D103" w14:textId="77777777">
            <w:trPr>
              <w:divId w:val="1757634884"/>
              <w:tblCellSpacing w:w="15" w:type="dxa"/>
            </w:trPr>
            <w:tc>
              <w:tcPr>
                <w:tcW w:w="50" w:type="pct"/>
                <w:hideMark/>
              </w:tcPr>
              <w:p w14:paraId="0BEFEAFB" w14:textId="5841FB65" w:rsidR="00C454E6" w:rsidRDefault="00C454E6">
                <w:pPr>
                  <w:pStyle w:val="Bibliography"/>
                  <w:rPr>
                    <w:noProof/>
                    <w:sz w:val="24"/>
                    <w:szCs w:val="24"/>
                  </w:rPr>
                </w:pPr>
                <w:r>
                  <w:rPr>
                    <w:noProof/>
                  </w:rPr>
                  <w:t xml:space="preserve">[1] </w:t>
                </w:r>
              </w:p>
            </w:tc>
            <w:tc>
              <w:tcPr>
                <w:tcW w:w="0" w:type="auto"/>
                <w:hideMark/>
              </w:tcPr>
              <w:p w14:paraId="0E16518A" w14:textId="77777777" w:rsidR="00C454E6" w:rsidRDefault="00C454E6">
                <w:pPr>
                  <w:pStyle w:val="Bibliography"/>
                  <w:rPr>
                    <w:noProof/>
                  </w:rPr>
                </w:pPr>
                <w:r>
                  <w:rPr>
                    <w:noProof/>
                  </w:rPr>
                  <w:t xml:space="preserve">R2-1905906, LS on sidelink HARQ feedback for groupcast, RAN1. </w:t>
                </w:r>
              </w:p>
            </w:tc>
          </w:tr>
          <w:tr w:rsidR="00C454E6" w14:paraId="3A032B23" w14:textId="77777777">
            <w:trPr>
              <w:divId w:val="1757634884"/>
              <w:tblCellSpacing w:w="15" w:type="dxa"/>
            </w:trPr>
            <w:tc>
              <w:tcPr>
                <w:tcW w:w="50" w:type="pct"/>
                <w:hideMark/>
              </w:tcPr>
              <w:p w14:paraId="63590434" w14:textId="77777777" w:rsidR="00C454E6" w:rsidRDefault="00C454E6">
                <w:pPr>
                  <w:pStyle w:val="Bibliography"/>
                  <w:rPr>
                    <w:noProof/>
                  </w:rPr>
                </w:pPr>
                <w:r>
                  <w:rPr>
                    <w:noProof/>
                  </w:rPr>
                  <w:t xml:space="preserve">[2] </w:t>
                </w:r>
              </w:p>
            </w:tc>
            <w:tc>
              <w:tcPr>
                <w:tcW w:w="0" w:type="auto"/>
                <w:hideMark/>
              </w:tcPr>
              <w:p w14:paraId="69032DDB" w14:textId="77777777" w:rsidR="00C454E6" w:rsidRDefault="00C454E6">
                <w:pPr>
                  <w:pStyle w:val="Bibliography"/>
                  <w:rPr>
                    <w:noProof/>
                  </w:rPr>
                </w:pPr>
                <w:r>
                  <w:rPr>
                    <w:noProof/>
                  </w:rPr>
                  <w:t xml:space="preserve">RAN2#105bis, NR V2X: Chairman Notes. </w:t>
                </w:r>
              </w:p>
            </w:tc>
          </w:tr>
        </w:tbl>
        <w:p w14:paraId="269AABDE" w14:textId="77777777" w:rsidR="00C454E6" w:rsidRDefault="00C454E6">
          <w:pPr>
            <w:divId w:val="1757634884"/>
            <w:rPr>
              <w:rFonts w:eastAsia="Times New Roman"/>
              <w:noProof/>
            </w:rPr>
          </w:pPr>
        </w:p>
        <w:p w14:paraId="3B293168" w14:textId="42F460DC" w:rsidR="00E43B63" w:rsidRDefault="000A472B" w:rsidP="000B32EB">
          <w:pPr>
            <w:divId w:val="1131898881"/>
            <w:rPr>
              <w:rFonts w:eastAsia="Times New Roman"/>
              <w:noProof/>
            </w:rPr>
          </w:pPr>
          <w:r>
            <w:rPr>
              <w:rFonts w:eastAsia="Times New Roman"/>
              <w:noProof/>
            </w:rPr>
            <w:fldChar w:fldCharType="end"/>
          </w:r>
        </w:p>
        <w:p w14:paraId="50A28EEF" w14:textId="41D9B9E6" w:rsidR="00E0063E" w:rsidRPr="00E43B63" w:rsidRDefault="0064636A" w:rsidP="00E43B63"/>
      </w:sdtContent>
    </w:sdt>
    <w:bookmarkEnd w:id="1" w:displacedByCustomXml="prev"/>
    <w:sectPr w:rsidR="00E0063E" w:rsidRPr="00E43B6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D326EC" w:rsidRDefault="00D326EC">
      <w:pPr>
        <w:spacing w:after="0" w:line="240" w:lineRule="auto"/>
      </w:pPr>
      <w:r>
        <w:separator/>
      </w:r>
    </w:p>
  </w:endnote>
  <w:endnote w:type="continuationSeparator" w:id="0">
    <w:p w14:paraId="50A28EF3" w14:textId="77777777" w:rsidR="00D326EC" w:rsidRDefault="00D32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D326EC" w:rsidRDefault="00D326EC"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2839">
      <w:rPr>
        <w:rFonts w:ascii="Arial" w:hAnsi="Arial" w:cs="Arial"/>
        <w:b/>
        <w:noProof/>
        <w:sz w:val="18"/>
        <w:szCs w:val="18"/>
      </w:rPr>
      <w:t>1</w:t>
    </w:r>
    <w:r>
      <w:rPr>
        <w:rFonts w:ascii="Arial" w:hAnsi="Arial" w:cs="Arial"/>
        <w:b/>
        <w:sz w:val="18"/>
        <w:szCs w:val="18"/>
      </w:rPr>
      <w:fldChar w:fldCharType="end"/>
    </w:r>
  </w:p>
  <w:p w14:paraId="50A28EF5" w14:textId="77777777" w:rsidR="00D326EC" w:rsidRDefault="00D326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D326EC" w:rsidRDefault="00D326EC">
      <w:pPr>
        <w:spacing w:after="0" w:line="240" w:lineRule="auto"/>
      </w:pPr>
      <w:r>
        <w:separator/>
      </w:r>
    </w:p>
  </w:footnote>
  <w:footnote w:type="continuationSeparator" w:id="0">
    <w:p w14:paraId="50A28EF1" w14:textId="77777777" w:rsidR="00D326EC" w:rsidRDefault="00D326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9"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C1226"/>
    <w:multiLevelType w:val="hybridMultilevel"/>
    <w:tmpl w:val="7D664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D1123"/>
    <w:multiLevelType w:val="hybridMultilevel"/>
    <w:tmpl w:val="93CA22BA"/>
    <w:lvl w:ilvl="0" w:tplc="0409000F">
      <w:start w:val="1"/>
      <w:numFmt w:val="decimal"/>
      <w:lvlText w:val="%1."/>
      <w:lvlJc w:val="left"/>
      <w:pPr>
        <w:ind w:left="405" w:hanging="360"/>
      </w:pPr>
      <w:rPr>
        <w:rFonts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8AB3FAB"/>
    <w:multiLevelType w:val="hybridMultilevel"/>
    <w:tmpl w:val="81D2D7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E17585"/>
    <w:multiLevelType w:val="hybridMultilevel"/>
    <w:tmpl w:val="FB883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1" w15:restartNumberingAfterBreak="0">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4" w15:restartNumberingAfterBreak="0">
    <w:nsid w:val="4C76158D"/>
    <w:multiLevelType w:val="hybridMultilevel"/>
    <w:tmpl w:val="CD7EE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DA42AB"/>
    <w:multiLevelType w:val="hybridMultilevel"/>
    <w:tmpl w:val="7D14F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5E0EA6"/>
    <w:multiLevelType w:val="hybridMultilevel"/>
    <w:tmpl w:val="222A000A"/>
    <w:lvl w:ilvl="0" w:tplc="D5AA5E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CE46A8"/>
    <w:multiLevelType w:val="multilevel"/>
    <w:tmpl w:val="F33498A8"/>
    <w:lvl w:ilvl="0">
      <w:start w:val="1"/>
      <w:numFmt w:val="decimal"/>
      <w:pStyle w:val="Tdoc"/>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3"/>
  </w:num>
  <w:num w:numId="2">
    <w:abstractNumId w:val="25"/>
  </w:num>
  <w:num w:numId="3">
    <w:abstractNumId w:val="17"/>
  </w:num>
  <w:num w:numId="4">
    <w:abstractNumId w:val="16"/>
  </w:num>
  <w:num w:numId="5">
    <w:abstractNumId w:val="5"/>
    <w:lvlOverride w:ilvl="0">
      <w:startOverride w:val="1"/>
    </w:lvlOverride>
  </w:num>
  <w:num w:numId="6">
    <w:abstractNumId w:val="7"/>
    <w:lvlOverride w:ilvl="0">
      <w:startOverride w:val="2"/>
    </w:lvlOverride>
  </w:num>
  <w:num w:numId="7">
    <w:abstractNumId w:val="35"/>
  </w:num>
  <w:num w:numId="8">
    <w:abstractNumId w:val="12"/>
  </w:num>
  <w:num w:numId="9">
    <w:abstractNumId w:val="8"/>
  </w:num>
  <w:num w:numId="10">
    <w:abstractNumId w:val="29"/>
  </w:num>
  <w:num w:numId="11">
    <w:abstractNumId w:val="37"/>
  </w:num>
  <w:num w:numId="12">
    <w:abstractNumId w:val="6"/>
  </w:num>
  <w:num w:numId="13">
    <w:abstractNumId w:val="9"/>
  </w:num>
  <w:num w:numId="14">
    <w:abstractNumId w:val="3"/>
  </w:num>
  <w:num w:numId="15">
    <w:abstractNumId w:val="4"/>
  </w:num>
  <w:num w:numId="16">
    <w:abstractNumId w:val="15"/>
  </w:num>
  <w:num w:numId="17">
    <w:abstractNumId w:val="34"/>
  </w:num>
  <w:num w:numId="18">
    <w:abstractNumId w:val="13"/>
  </w:num>
  <w:num w:numId="19">
    <w:abstractNumId w:val="30"/>
  </w:num>
  <w:num w:numId="20">
    <w:abstractNumId w:val="2"/>
  </w:num>
  <w:num w:numId="21">
    <w:abstractNumId w:val="36"/>
  </w:num>
  <w:num w:numId="22">
    <w:abstractNumId w:val="1"/>
  </w:num>
  <w:num w:numId="23">
    <w:abstractNumId w:val="28"/>
  </w:num>
  <w:num w:numId="24">
    <w:abstractNumId w:val="39"/>
  </w:num>
  <w:num w:numId="25">
    <w:abstractNumId w:val="26"/>
  </w:num>
  <w:num w:numId="26">
    <w:abstractNumId w:val="23"/>
  </w:num>
  <w:num w:numId="27">
    <w:abstractNumId w:val="20"/>
  </w:num>
  <w:num w:numId="28">
    <w:abstractNumId w:val="38"/>
  </w:num>
  <w:num w:numId="29">
    <w:abstractNumId w:val="0"/>
  </w:num>
  <w:num w:numId="30">
    <w:abstractNumId w:val="11"/>
  </w:num>
  <w:num w:numId="31">
    <w:abstractNumId w:val="32"/>
  </w:num>
  <w:num w:numId="32">
    <w:abstractNumId w:val="22"/>
  </w:num>
  <w:num w:numId="33">
    <w:abstractNumId w:val="27"/>
  </w:num>
  <w:num w:numId="34">
    <w:abstractNumId w:val="24"/>
  </w:num>
  <w:num w:numId="35">
    <w:abstractNumId w:val="14"/>
  </w:num>
  <w:num w:numId="36">
    <w:abstractNumId w:val="18"/>
  </w:num>
  <w:num w:numId="37">
    <w:abstractNumId w:val="19"/>
  </w:num>
  <w:num w:numId="38">
    <w:abstractNumId w:val="31"/>
  </w:num>
  <w:num w:numId="39">
    <w:abstractNumId w:val="21"/>
  </w:num>
  <w:num w:numId="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0742B"/>
    <w:rsid w:val="00015966"/>
    <w:rsid w:val="0002151A"/>
    <w:rsid w:val="00030913"/>
    <w:rsid w:val="00031A47"/>
    <w:rsid w:val="000336C8"/>
    <w:rsid w:val="00053B8A"/>
    <w:rsid w:val="00060D54"/>
    <w:rsid w:val="00061F84"/>
    <w:rsid w:val="000632AE"/>
    <w:rsid w:val="00066057"/>
    <w:rsid w:val="000712B7"/>
    <w:rsid w:val="00071BD0"/>
    <w:rsid w:val="00071EA1"/>
    <w:rsid w:val="000760CC"/>
    <w:rsid w:val="0007638E"/>
    <w:rsid w:val="00077473"/>
    <w:rsid w:val="00081766"/>
    <w:rsid w:val="0008197A"/>
    <w:rsid w:val="00096596"/>
    <w:rsid w:val="000A09E6"/>
    <w:rsid w:val="000A13E8"/>
    <w:rsid w:val="000A472B"/>
    <w:rsid w:val="000A5406"/>
    <w:rsid w:val="000A566C"/>
    <w:rsid w:val="000A7E1C"/>
    <w:rsid w:val="000A7FE2"/>
    <w:rsid w:val="000B32EB"/>
    <w:rsid w:val="000D6536"/>
    <w:rsid w:val="000E4761"/>
    <w:rsid w:val="000E493C"/>
    <w:rsid w:val="000F00FC"/>
    <w:rsid w:val="000F1C37"/>
    <w:rsid w:val="000F54CA"/>
    <w:rsid w:val="00100001"/>
    <w:rsid w:val="00100A13"/>
    <w:rsid w:val="00111236"/>
    <w:rsid w:val="001128E0"/>
    <w:rsid w:val="001151D2"/>
    <w:rsid w:val="0011610B"/>
    <w:rsid w:val="00116AED"/>
    <w:rsid w:val="00120B9E"/>
    <w:rsid w:val="00143E86"/>
    <w:rsid w:val="00143F5D"/>
    <w:rsid w:val="00144CD4"/>
    <w:rsid w:val="00147C5C"/>
    <w:rsid w:val="00151E30"/>
    <w:rsid w:val="00153601"/>
    <w:rsid w:val="00153EA5"/>
    <w:rsid w:val="00154CC9"/>
    <w:rsid w:val="00160710"/>
    <w:rsid w:val="0016207C"/>
    <w:rsid w:val="0016488C"/>
    <w:rsid w:val="0016703F"/>
    <w:rsid w:val="00171180"/>
    <w:rsid w:val="00175B7F"/>
    <w:rsid w:val="00175DCB"/>
    <w:rsid w:val="00181357"/>
    <w:rsid w:val="0019239B"/>
    <w:rsid w:val="00195430"/>
    <w:rsid w:val="00197B45"/>
    <w:rsid w:val="001A793C"/>
    <w:rsid w:val="001A79BD"/>
    <w:rsid w:val="001B2DF7"/>
    <w:rsid w:val="001B5A55"/>
    <w:rsid w:val="001B7098"/>
    <w:rsid w:val="001C137C"/>
    <w:rsid w:val="001C479B"/>
    <w:rsid w:val="001C60FD"/>
    <w:rsid w:val="001C6E8B"/>
    <w:rsid w:val="001D28A0"/>
    <w:rsid w:val="001D5499"/>
    <w:rsid w:val="001E221E"/>
    <w:rsid w:val="001E251D"/>
    <w:rsid w:val="001E54F9"/>
    <w:rsid w:val="001F03C4"/>
    <w:rsid w:val="001F221E"/>
    <w:rsid w:val="001F6936"/>
    <w:rsid w:val="002039B6"/>
    <w:rsid w:val="00203D1C"/>
    <w:rsid w:val="0020567B"/>
    <w:rsid w:val="00205CC1"/>
    <w:rsid w:val="0020671E"/>
    <w:rsid w:val="00220EC4"/>
    <w:rsid w:val="00225341"/>
    <w:rsid w:val="002410A5"/>
    <w:rsid w:val="0024165F"/>
    <w:rsid w:val="00253F58"/>
    <w:rsid w:val="00255F2A"/>
    <w:rsid w:val="00260222"/>
    <w:rsid w:val="00263354"/>
    <w:rsid w:val="0026345A"/>
    <w:rsid w:val="00265EF0"/>
    <w:rsid w:val="00274F99"/>
    <w:rsid w:val="00276574"/>
    <w:rsid w:val="002769B9"/>
    <w:rsid w:val="00281DB7"/>
    <w:rsid w:val="00283FDE"/>
    <w:rsid w:val="00285A48"/>
    <w:rsid w:val="00285FD9"/>
    <w:rsid w:val="00286053"/>
    <w:rsid w:val="0028689C"/>
    <w:rsid w:val="00286B58"/>
    <w:rsid w:val="00286CD8"/>
    <w:rsid w:val="00291433"/>
    <w:rsid w:val="00291DB2"/>
    <w:rsid w:val="00293F66"/>
    <w:rsid w:val="0029495D"/>
    <w:rsid w:val="002A5F0F"/>
    <w:rsid w:val="002A78E6"/>
    <w:rsid w:val="002B17B0"/>
    <w:rsid w:val="002B2F0A"/>
    <w:rsid w:val="002D2168"/>
    <w:rsid w:val="002F04F8"/>
    <w:rsid w:val="002F153B"/>
    <w:rsid w:val="002F432E"/>
    <w:rsid w:val="00305CD5"/>
    <w:rsid w:val="0032490D"/>
    <w:rsid w:val="003304D8"/>
    <w:rsid w:val="00330823"/>
    <w:rsid w:val="00332463"/>
    <w:rsid w:val="00332851"/>
    <w:rsid w:val="00336D1D"/>
    <w:rsid w:val="003379D6"/>
    <w:rsid w:val="00337A0E"/>
    <w:rsid w:val="003400B0"/>
    <w:rsid w:val="00343C43"/>
    <w:rsid w:val="00345654"/>
    <w:rsid w:val="00346CBD"/>
    <w:rsid w:val="0035278E"/>
    <w:rsid w:val="003613BB"/>
    <w:rsid w:val="00361EF9"/>
    <w:rsid w:val="003638A3"/>
    <w:rsid w:val="0037540A"/>
    <w:rsid w:val="00377DF9"/>
    <w:rsid w:val="003848A3"/>
    <w:rsid w:val="00384CB8"/>
    <w:rsid w:val="00385E3E"/>
    <w:rsid w:val="00395DCA"/>
    <w:rsid w:val="00396B24"/>
    <w:rsid w:val="00397FA3"/>
    <w:rsid w:val="003A766F"/>
    <w:rsid w:val="003B424F"/>
    <w:rsid w:val="003B6208"/>
    <w:rsid w:val="003B6BC4"/>
    <w:rsid w:val="003C2812"/>
    <w:rsid w:val="003D022C"/>
    <w:rsid w:val="003D1D55"/>
    <w:rsid w:val="003D42CB"/>
    <w:rsid w:val="003E1161"/>
    <w:rsid w:val="003E250C"/>
    <w:rsid w:val="003E76DD"/>
    <w:rsid w:val="003F0F74"/>
    <w:rsid w:val="0040277F"/>
    <w:rsid w:val="004035EF"/>
    <w:rsid w:val="004114F2"/>
    <w:rsid w:val="00412F14"/>
    <w:rsid w:val="00413455"/>
    <w:rsid w:val="00415F96"/>
    <w:rsid w:val="00416235"/>
    <w:rsid w:val="00424635"/>
    <w:rsid w:val="00430F31"/>
    <w:rsid w:val="00430F3A"/>
    <w:rsid w:val="004332CC"/>
    <w:rsid w:val="00433DA4"/>
    <w:rsid w:val="00434F17"/>
    <w:rsid w:val="0043655F"/>
    <w:rsid w:val="00437AB1"/>
    <w:rsid w:val="00440C74"/>
    <w:rsid w:val="00443607"/>
    <w:rsid w:val="00443E40"/>
    <w:rsid w:val="00445B7E"/>
    <w:rsid w:val="00450C33"/>
    <w:rsid w:val="00453DB6"/>
    <w:rsid w:val="0045665A"/>
    <w:rsid w:val="00460EBA"/>
    <w:rsid w:val="00463BC4"/>
    <w:rsid w:val="0046730A"/>
    <w:rsid w:val="00467867"/>
    <w:rsid w:val="004747C6"/>
    <w:rsid w:val="004803F0"/>
    <w:rsid w:val="00480D6C"/>
    <w:rsid w:val="00483C87"/>
    <w:rsid w:val="004873A1"/>
    <w:rsid w:val="0049247B"/>
    <w:rsid w:val="004941A2"/>
    <w:rsid w:val="004A45E2"/>
    <w:rsid w:val="004B1B09"/>
    <w:rsid w:val="004B256F"/>
    <w:rsid w:val="004B2F1A"/>
    <w:rsid w:val="004C546C"/>
    <w:rsid w:val="004D12A9"/>
    <w:rsid w:val="004D44CA"/>
    <w:rsid w:val="004D57DD"/>
    <w:rsid w:val="004D6C2B"/>
    <w:rsid w:val="004D7A2E"/>
    <w:rsid w:val="004E2339"/>
    <w:rsid w:val="004E3975"/>
    <w:rsid w:val="004E3ED3"/>
    <w:rsid w:val="004E6A8F"/>
    <w:rsid w:val="004F361D"/>
    <w:rsid w:val="004F415B"/>
    <w:rsid w:val="005013B7"/>
    <w:rsid w:val="00504033"/>
    <w:rsid w:val="005067A7"/>
    <w:rsid w:val="00511AF4"/>
    <w:rsid w:val="0051392C"/>
    <w:rsid w:val="00513956"/>
    <w:rsid w:val="005214C0"/>
    <w:rsid w:val="005231DC"/>
    <w:rsid w:val="00523734"/>
    <w:rsid w:val="00524D27"/>
    <w:rsid w:val="005279F9"/>
    <w:rsid w:val="00533214"/>
    <w:rsid w:val="00534DC6"/>
    <w:rsid w:val="00536974"/>
    <w:rsid w:val="005442B6"/>
    <w:rsid w:val="00544AAA"/>
    <w:rsid w:val="00545C8C"/>
    <w:rsid w:val="0055379C"/>
    <w:rsid w:val="00555440"/>
    <w:rsid w:val="0055706A"/>
    <w:rsid w:val="00557402"/>
    <w:rsid w:val="00561F69"/>
    <w:rsid w:val="00575153"/>
    <w:rsid w:val="00593190"/>
    <w:rsid w:val="00597FD5"/>
    <w:rsid w:val="005A4656"/>
    <w:rsid w:val="005A7CEA"/>
    <w:rsid w:val="005C158A"/>
    <w:rsid w:val="005C2350"/>
    <w:rsid w:val="005C3865"/>
    <w:rsid w:val="005C3DFF"/>
    <w:rsid w:val="005D37A5"/>
    <w:rsid w:val="005E3E1B"/>
    <w:rsid w:val="005E4401"/>
    <w:rsid w:val="005E4E14"/>
    <w:rsid w:val="005F30EF"/>
    <w:rsid w:val="0060381E"/>
    <w:rsid w:val="00613A40"/>
    <w:rsid w:val="00625D8E"/>
    <w:rsid w:val="00627647"/>
    <w:rsid w:val="0063286E"/>
    <w:rsid w:val="00633024"/>
    <w:rsid w:val="00637FD8"/>
    <w:rsid w:val="00642633"/>
    <w:rsid w:val="00661C20"/>
    <w:rsid w:val="00667231"/>
    <w:rsid w:val="006720DF"/>
    <w:rsid w:val="00673EBD"/>
    <w:rsid w:val="00680A78"/>
    <w:rsid w:val="006821CE"/>
    <w:rsid w:val="0068421C"/>
    <w:rsid w:val="006851F2"/>
    <w:rsid w:val="00696FDC"/>
    <w:rsid w:val="006A27E5"/>
    <w:rsid w:val="006A65D5"/>
    <w:rsid w:val="006A7495"/>
    <w:rsid w:val="006B69DF"/>
    <w:rsid w:val="006C65A8"/>
    <w:rsid w:val="006D0058"/>
    <w:rsid w:val="006D17EA"/>
    <w:rsid w:val="006D1A4B"/>
    <w:rsid w:val="006D512C"/>
    <w:rsid w:val="006D53FD"/>
    <w:rsid w:val="006D7CC2"/>
    <w:rsid w:val="006E0F37"/>
    <w:rsid w:val="006E54AD"/>
    <w:rsid w:val="006F4DDB"/>
    <w:rsid w:val="006F631D"/>
    <w:rsid w:val="00705D31"/>
    <w:rsid w:val="00707C8A"/>
    <w:rsid w:val="00710503"/>
    <w:rsid w:val="00711B34"/>
    <w:rsid w:val="007158F5"/>
    <w:rsid w:val="007178DB"/>
    <w:rsid w:val="00722993"/>
    <w:rsid w:val="00723298"/>
    <w:rsid w:val="0072364C"/>
    <w:rsid w:val="00732A41"/>
    <w:rsid w:val="00732CD4"/>
    <w:rsid w:val="007336B5"/>
    <w:rsid w:val="007356BA"/>
    <w:rsid w:val="00740D3E"/>
    <w:rsid w:val="00743313"/>
    <w:rsid w:val="00752D0F"/>
    <w:rsid w:val="0075599C"/>
    <w:rsid w:val="007646CF"/>
    <w:rsid w:val="0076519E"/>
    <w:rsid w:val="00772385"/>
    <w:rsid w:val="00773DDF"/>
    <w:rsid w:val="0077506E"/>
    <w:rsid w:val="00777344"/>
    <w:rsid w:val="00777B6B"/>
    <w:rsid w:val="00781376"/>
    <w:rsid w:val="00786A05"/>
    <w:rsid w:val="00786EC6"/>
    <w:rsid w:val="00790DC8"/>
    <w:rsid w:val="007917EB"/>
    <w:rsid w:val="00791A9C"/>
    <w:rsid w:val="00792327"/>
    <w:rsid w:val="00797358"/>
    <w:rsid w:val="007A2068"/>
    <w:rsid w:val="007A49CD"/>
    <w:rsid w:val="007B7DD5"/>
    <w:rsid w:val="007C3A70"/>
    <w:rsid w:val="007D042C"/>
    <w:rsid w:val="007D05E3"/>
    <w:rsid w:val="007D32DD"/>
    <w:rsid w:val="007E2ABD"/>
    <w:rsid w:val="007F2F4C"/>
    <w:rsid w:val="00813FBF"/>
    <w:rsid w:val="00822B9A"/>
    <w:rsid w:val="00827742"/>
    <w:rsid w:val="00833E79"/>
    <w:rsid w:val="00835599"/>
    <w:rsid w:val="008364DC"/>
    <w:rsid w:val="008418C6"/>
    <w:rsid w:val="00842397"/>
    <w:rsid w:val="00842457"/>
    <w:rsid w:val="00850DC6"/>
    <w:rsid w:val="00851FB1"/>
    <w:rsid w:val="008610A8"/>
    <w:rsid w:val="00861C7A"/>
    <w:rsid w:val="008669B1"/>
    <w:rsid w:val="00875F14"/>
    <w:rsid w:val="00876F5D"/>
    <w:rsid w:val="008775ED"/>
    <w:rsid w:val="00883D0A"/>
    <w:rsid w:val="00883EF2"/>
    <w:rsid w:val="008848AB"/>
    <w:rsid w:val="00886353"/>
    <w:rsid w:val="0089023C"/>
    <w:rsid w:val="00893665"/>
    <w:rsid w:val="008937A3"/>
    <w:rsid w:val="00897CC2"/>
    <w:rsid w:val="008A1007"/>
    <w:rsid w:val="008A1604"/>
    <w:rsid w:val="008A3B9F"/>
    <w:rsid w:val="008A3EC6"/>
    <w:rsid w:val="008A493F"/>
    <w:rsid w:val="008B0017"/>
    <w:rsid w:val="008B7DB0"/>
    <w:rsid w:val="008C0567"/>
    <w:rsid w:val="008C6004"/>
    <w:rsid w:val="008D2846"/>
    <w:rsid w:val="008E03BE"/>
    <w:rsid w:val="008E4A12"/>
    <w:rsid w:val="008E5071"/>
    <w:rsid w:val="008F15B9"/>
    <w:rsid w:val="008F7B19"/>
    <w:rsid w:val="00901F6D"/>
    <w:rsid w:val="00902C16"/>
    <w:rsid w:val="00915CAD"/>
    <w:rsid w:val="009209B1"/>
    <w:rsid w:val="009215C6"/>
    <w:rsid w:val="00924AFE"/>
    <w:rsid w:val="00925869"/>
    <w:rsid w:val="00927261"/>
    <w:rsid w:val="009331B4"/>
    <w:rsid w:val="00934516"/>
    <w:rsid w:val="00934A52"/>
    <w:rsid w:val="00936F83"/>
    <w:rsid w:val="00937013"/>
    <w:rsid w:val="009374DF"/>
    <w:rsid w:val="00943FF6"/>
    <w:rsid w:val="00944290"/>
    <w:rsid w:val="009459D5"/>
    <w:rsid w:val="0094797B"/>
    <w:rsid w:val="009506BB"/>
    <w:rsid w:val="009511B9"/>
    <w:rsid w:val="00952743"/>
    <w:rsid w:val="009546A8"/>
    <w:rsid w:val="00955F6D"/>
    <w:rsid w:val="009573C2"/>
    <w:rsid w:val="009737B4"/>
    <w:rsid w:val="009759A1"/>
    <w:rsid w:val="00976070"/>
    <w:rsid w:val="00981113"/>
    <w:rsid w:val="00981471"/>
    <w:rsid w:val="00986C1A"/>
    <w:rsid w:val="009917F0"/>
    <w:rsid w:val="009A301E"/>
    <w:rsid w:val="009A3832"/>
    <w:rsid w:val="009A5E1C"/>
    <w:rsid w:val="009A7A28"/>
    <w:rsid w:val="009B6A2D"/>
    <w:rsid w:val="009C4F61"/>
    <w:rsid w:val="009C54C2"/>
    <w:rsid w:val="009D5BAB"/>
    <w:rsid w:val="009E4EC5"/>
    <w:rsid w:val="009E6ED4"/>
    <w:rsid w:val="009E7171"/>
    <w:rsid w:val="009F06CB"/>
    <w:rsid w:val="009F5D36"/>
    <w:rsid w:val="009F731B"/>
    <w:rsid w:val="009F758B"/>
    <w:rsid w:val="00A01CDB"/>
    <w:rsid w:val="00A2588F"/>
    <w:rsid w:val="00A27826"/>
    <w:rsid w:val="00A3157F"/>
    <w:rsid w:val="00A3213E"/>
    <w:rsid w:val="00A35BD3"/>
    <w:rsid w:val="00A446DF"/>
    <w:rsid w:val="00A44954"/>
    <w:rsid w:val="00A45F0D"/>
    <w:rsid w:val="00A5035B"/>
    <w:rsid w:val="00A507B8"/>
    <w:rsid w:val="00A53711"/>
    <w:rsid w:val="00A601C3"/>
    <w:rsid w:val="00A63B12"/>
    <w:rsid w:val="00A8049D"/>
    <w:rsid w:val="00A824AF"/>
    <w:rsid w:val="00A83DE0"/>
    <w:rsid w:val="00A85069"/>
    <w:rsid w:val="00A86A88"/>
    <w:rsid w:val="00A871CB"/>
    <w:rsid w:val="00A92667"/>
    <w:rsid w:val="00A94F99"/>
    <w:rsid w:val="00AA1496"/>
    <w:rsid w:val="00AA5C2B"/>
    <w:rsid w:val="00AB388C"/>
    <w:rsid w:val="00AC2503"/>
    <w:rsid w:val="00AC4F72"/>
    <w:rsid w:val="00AD20FE"/>
    <w:rsid w:val="00AE0020"/>
    <w:rsid w:val="00AE0A3D"/>
    <w:rsid w:val="00AE13FE"/>
    <w:rsid w:val="00AE5AC2"/>
    <w:rsid w:val="00AE5BAD"/>
    <w:rsid w:val="00AE7C91"/>
    <w:rsid w:val="00AF256D"/>
    <w:rsid w:val="00B019D2"/>
    <w:rsid w:val="00B117C2"/>
    <w:rsid w:val="00B14023"/>
    <w:rsid w:val="00B1479A"/>
    <w:rsid w:val="00B20B32"/>
    <w:rsid w:val="00B24821"/>
    <w:rsid w:val="00B3013F"/>
    <w:rsid w:val="00B329F9"/>
    <w:rsid w:val="00B32C90"/>
    <w:rsid w:val="00B33EE3"/>
    <w:rsid w:val="00B438F2"/>
    <w:rsid w:val="00B45EDF"/>
    <w:rsid w:val="00B46212"/>
    <w:rsid w:val="00B556A6"/>
    <w:rsid w:val="00B70F01"/>
    <w:rsid w:val="00B737FF"/>
    <w:rsid w:val="00B74D9C"/>
    <w:rsid w:val="00B76EA2"/>
    <w:rsid w:val="00B810AC"/>
    <w:rsid w:val="00B81256"/>
    <w:rsid w:val="00B87F36"/>
    <w:rsid w:val="00B9000F"/>
    <w:rsid w:val="00B91D6D"/>
    <w:rsid w:val="00B92FEE"/>
    <w:rsid w:val="00B9460B"/>
    <w:rsid w:val="00B95A1F"/>
    <w:rsid w:val="00BA2CEB"/>
    <w:rsid w:val="00BB7B6E"/>
    <w:rsid w:val="00BC052F"/>
    <w:rsid w:val="00BC068A"/>
    <w:rsid w:val="00BD4114"/>
    <w:rsid w:val="00BD4C5D"/>
    <w:rsid w:val="00BD4D14"/>
    <w:rsid w:val="00BD67D0"/>
    <w:rsid w:val="00BE00A3"/>
    <w:rsid w:val="00BE0DBD"/>
    <w:rsid w:val="00BE4AC7"/>
    <w:rsid w:val="00BE6D20"/>
    <w:rsid w:val="00BF5579"/>
    <w:rsid w:val="00BF78E3"/>
    <w:rsid w:val="00C02839"/>
    <w:rsid w:val="00C06C5B"/>
    <w:rsid w:val="00C10CE1"/>
    <w:rsid w:val="00C13538"/>
    <w:rsid w:val="00C13DB4"/>
    <w:rsid w:val="00C16A65"/>
    <w:rsid w:val="00C23949"/>
    <w:rsid w:val="00C27475"/>
    <w:rsid w:val="00C348A8"/>
    <w:rsid w:val="00C40041"/>
    <w:rsid w:val="00C454E6"/>
    <w:rsid w:val="00C47BFB"/>
    <w:rsid w:val="00C54226"/>
    <w:rsid w:val="00C641CB"/>
    <w:rsid w:val="00C65B7C"/>
    <w:rsid w:val="00C667DF"/>
    <w:rsid w:val="00C67B49"/>
    <w:rsid w:val="00C73BA9"/>
    <w:rsid w:val="00C84589"/>
    <w:rsid w:val="00C8595C"/>
    <w:rsid w:val="00C90D45"/>
    <w:rsid w:val="00CA41AF"/>
    <w:rsid w:val="00CA4212"/>
    <w:rsid w:val="00CA751B"/>
    <w:rsid w:val="00CB248A"/>
    <w:rsid w:val="00CB6AB5"/>
    <w:rsid w:val="00CD2ABF"/>
    <w:rsid w:val="00CD4245"/>
    <w:rsid w:val="00CD7BAA"/>
    <w:rsid w:val="00CE5D88"/>
    <w:rsid w:val="00CE70AB"/>
    <w:rsid w:val="00D0160E"/>
    <w:rsid w:val="00D05CFA"/>
    <w:rsid w:val="00D244A7"/>
    <w:rsid w:val="00D30389"/>
    <w:rsid w:val="00D304C8"/>
    <w:rsid w:val="00D30D35"/>
    <w:rsid w:val="00D326EC"/>
    <w:rsid w:val="00D4144E"/>
    <w:rsid w:val="00D4639F"/>
    <w:rsid w:val="00D65AAE"/>
    <w:rsid w:val="00D70FEC"/>
    <w:rsid w:val="00D714C5"/>
    <w:rsid w:val="00D74365"/>
    <w:rsid w:val="00D75EC2"/>
    <w:rsid w:val="00D75FE1"/>
    <w:rsid w:val="00D80BD1"/>
    <w:rsid w:val="00D90B79"/>
    <w:rsid w:val="00D94525"/>
    <w:rsid w:val="00DA2C5B"/>
    <w:rsid w:val="00DC00B2"/>
    <w:rsid w:val="00DC097B"/>
    <w:rsid w:val="00DC299B"/>
    <w:rsid w:val="00DD191E"/>
    <w:rsid w:val="00DD1D39"/>
    <w:rsid w:val="00DD532A"/>
    <w:rsid w:val="00DE207A"/>
    <w:rsid w:val="00DE34AB"/>
    <w:rsid w:val="00DF07FB"/>
    <w:rsid w:val="00DF0C36"/>
    <w:rsid w:val="00DF106B"/>
    <w:rsid w:val="00DF2222"/>
    <w:rsid w:val="00DF2422"/>
    <w:rsid w:val="00DF25A3"/>
    <w:rsid w:val="00E0063E"/>
    <w:rsid w:val="00E01E30"/>
    <w:rsid w:val="00E10C75"/>
    <w:rsid w:val="00E13016"/>
    <w:rsid w:val="00E14C3C"/>
    <w:rsid w:val="00E150CF"/>
    <w:rsid w:val="00E267E6"/>
    <w:rsid w:val="00E31E41"/>
    <w:rsid w:val="00E32368"/>
    <w:rsid w:val="00E36EAC"/>
    <w:rsid w:val="00E42BBE"/>
    <w:rsid w:val="00E43B63"/>
    <w:rsid w:val="00E529F9"/>
    <w:rsid w:val="00E53137"/>
    <w:rsid w:val="00E60548"/>
    <w:rsid w:val="00E63487"/>
    <w:rsid w:val="00E65894"/>
    <w:rsid w:val="00E6786C"/>
    <w:rsid w:val="00E67A80"/>
    <w:rsid w:val="00E73BA3"/>
    <w:rsid w:val="00E76581"/>
    <w:rsid w:val="00E772C0"/>
    <w:rsid w:val="00E77D40"/>
    <w:rsid w:val="00E86837"/>
    <w:rsid w:val="00E87B8A"/>
    <w:rsid w:val="00E93113"/>
    <w:rsid w:val="00E936F6"/>
    <w:rsid w:val="00EA1EA7"/>
    <w:rsid w:val="00EA395E"/>
    <w:rsid w:val="00EA68B2"/>
    <w:rsid w:val="00EB0968"/>
    <w:rsid w:val="00EB2A11"/>
    <w:rsid w:val="00EC1C57"/>
    <w:rsid w:val="00EC7E0A"/>
    <w:rsid w:val="00ED00AF"/>
    <w:rsid w:val="00ED52F8"/>
    <w:rsid w:val="00ED7949"/>
    <w:rsid w:val="00EE3B7D"/>
    <w:rsid w:val="00EE5DBE"/>
    <w:rsid w:val="00EF0145"/>
    <w:rsid w:val="00EF37F4"/>
    <w:rsid w:val="00EF7293"/>
    <w:rsid w:val="00F14233"/>
    <w:rsid w:val="00F14583"/>
    <w:rsid w:val="00F16547"/>
    <w:rsid w:val="00F16840"/>
    <w:rsid w:val="00F20B33"/>
    <w:rsid w:val="00F2103E"/>
    <w:rsid w:val="00F22C9F"/>
    <w:rsid w:val="00F2386B"/>
    <w:rsid w:val="00F239D6"/>
    <w:rsid w:val="00F23D5E"/>
    <w:rsid w:val="00F25073"/>
    <w:rsid w:val="00F267E0"/>
    <w:rsid w:val="00F27189"/>
    <w:rsid w:val="00F349C6"/>
    <w:rsid w:val="00F376B7"/>
    <w:rsid w:val="00F37D4B"/>
    <w:rsid w:val="00F37FEE"/>
    <w:rsid w:val="00F443D7"/>
    <w:rsid w:val="00F46717"/>
    <w:rsid w:val="00F6097D"/>
    <w:rsid w:val="00F71990"/>
    <w:rsid w:val="00F75027"/>
    <w:rsid w:val="00F7592D"/>
    <w:rsid w:val="00F77B6D"/>
    <w:rsid w:val="00F77BD9"/>
    <w:rsid w:val="00F816A9"/>
    <w:rsid w:val="00F83629"/>
    <w:rsid w:val="00F87B5D"/>
    <w:rsid w:val="00F90987"/>
    <w:rsid w:val="00F9593B"/>
    <w:rsid w:val="00F97382"/>
    <w:rsid w:val="00FA03CA"/>
    <w:rsid w:val="00FA458F"/>
    <w:rsid w:val="00FA4DC9"/>
    <w:rsid w:val="00FB08ED"/>
    <w:rsid w:val="00FC16BC"/>
    <w:rsid w:val="00FC2DCE"/>
    <w:rsid w:val="00FC2EDB"/>
    <w:rsid w:val="00FD039C"/>
    <w:rsid w:val="00FD2574"/>
    <w:rsid w:val="00FD4AC8"/>
    <w:rsid w:val="00FE6A9A"/>
    <w:rsid w:val="00FF04BC"/>
    <w:rsid w:val="00FF13DA"/>
    <w:rsid w:val="00FF23F1"/>
    <w:rsid w:val="00FF2C09"/>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3E"/>
    <w:pPr>
      <w:spacing w:after="160" w:line="259" w:lineRule="auto"/>
      <w:contextualSpacing/>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Caption">
    <w:name w:val="caption"/>
    <w:basedOn w:val="Normal"/>
    <w:next w:val="Normal"/>
    <w:uiPriority w:val="35"/>
    <w:unhideWhenUsed/>
    <w:qFormat/>
    <w:rsid w:val="00C40041"/>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11348160">
      <w:bodyDiv w:val="1"/>
      <w:marLeft w:val="0"/>
      <w:marRight w:val="0"/>
      <w:marTop w:val="0"/>
      <w:marBottom w:val="0"/>
      <w:divBdr>
        <w:top w:val="none" w:sz="0" w:space="0" w:color="auto"/>
        <w:left w:val="none" w:sz="0" w:space="0" w:color="auto"/>
        <w:bottom w:val="none" w:sz="0" w:space="0" w:color="auto"/>
        <w:right w:val="none" w:sz="0" w:space="0" w:color="auto"/>
      </w:divBdr>
    </w:div>
    <w:div w:id="30347016">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42606147">
      <w:bodyDiv w:val="1"/>
      <w:marLeft w:val="0"/>
      <w:marRight w:val="0"/>
      <w:marTop w:val="0"/>
      <w:marBottom w:val="0"/>
      <w:divBdr>
        <w:top w:val="none" w:sz="0" w:space="0" w:color="auto"/>
        <w:left w:val="none" w:sz="0" w:space="0" w:color="auto"/>
        <w:bottom w:val="none" w:sz="0" w:space="0" w:color="auto"/>
        <w:right w:val="none" w:sz="0" w:space="0" w:color="auto"/>
      </w:divBdr>
    </w:div>
    <w:div w:id="52894321">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55785618">
      <w:bodyDiv w:val="1"/>
      <w:marLeft w:val="0"/>
      <w:marRight w:val="0"/>
      <w:marTop w:val="0"/>
      <w:marBottom w:val="0"/>
      <w:divBdr>
        <w:top w:val="none" w:sz="0" w:space="0" w:color="auto"/>
        <w:left w:val="none" w:sz="0" w:space="0" w:color="auto"/>
        <w:bottom w:val="none" w:sz="0" w:space="0" w:color="auto"/>
        <w:right w:val="none" w:sz="0" w:space="0" w:color="auto"/>
      </w:divBdr>
    </w:div>
    <w:div w:id="61760574">
      <w:bodyDiv w:val="1"/>
      <w:marLeft w:val="0"/>
      <w:marRight w:val="0"/>
      <w:marTop w:val="0"/>
      <w:marBottom w:val="0"/>
      <w:divBdr>
        <w:top w:val="none" w:sz="0" w:space="0" w:color="auto"/>
        <w:left w:val="none" w:sz="0" w:space="0" w:color="auto"/>
        <w:bottom w:val="none" w:sz="0" w:space="0" w:color="auto"/>
        <w:right w:val="none" w:sz="0" w:space="0" w:color="auto"/>
      </w:divBdr>
    </w:div>
    <w:div w:id="72902198">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79913096">
      <w:bodyDiv w:val="1"/>
      <w:marLeft w:val="0"/>
      <w:marRight w:val="0"/>
      <w:marTop w:val="0"/>
      <w:marBottom w:val="0"/>
      <w:divBdr>
        <w:top w:val="none" w:sz="0" w:space="0" w:color="auto"/>
        <w:left w:val="none" w:sz="0" w:space="0" w:color="auto"/>
        <w:bottom w:val="none" w:sz="0" w:space="0" w:color="auto"/>
        <w:right w:val="none" w:sz="0" w:space="0" w:color="auto"/>
      </w:divBdr>
    </w:div>
    <w:div w:id="86660081">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110098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63590623">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8734305">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2953551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69775491">
      <w:bodyDiv w:val="1"/>
      <w:marLeft w:val="0"/>
      <w:marRight w:val="0"/>
      <w:marTop w:val="0"/>
      <w:marBottom w:val="0"/>
      <w:divBdr>
        <w:top w:val="none" w:sz="0" w:space="0" w:color="auto"/>
        <w:left w:val="none" w:sz="0" w:space="0" w:color="auto"/>
        <w:bottom w:val="none" w:sz="0" w:space="0" w:color="auto"/>
        <w:right w:val="none" w:sz="0" w:space="0" w:color="auto"/>
      </w:divBdr>
    </w:div>
    <w:div w:id="270208367">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89820066">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00118447">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24163028">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0162386">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78820055">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387537179">
      <w:bodyDiv w:val="1"/>
      <w:marLeft w:val="0"/>
      <w:marRight w:val="0"/>
      <w:marTop w:val="0"/>
      <w:marBottom w:val="0"/>
      <w:divBdr>
        <w:top w:val="none" w:sz="0" w:space="0" w:color="auto"/>
        <w:left w:val="none" w:sz="0" w:space="0" w:color="auto"/>
        <w:bottom w:val="none" w:sz="0" w:space="0" w:color="auto"/>
        <w:right w:val="none" w:sz="0" w:space="0" w:color="auto"/>
      </w:divBdr>
    </w:div>
    <w:div w:id="399518366">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5635917">
      <w:bodyDiv w:val="1"/>
      <w:marLeft w:val="0"/>
      <w:marRight w:val="0"/>
      <w:marTop w:val="0"/>
      <w:marBottom w:val="0"/>
      <w:divBdr>
        <w:top w:val="none" w:sz="0" w:space="0" w:color="auto"/>
        <w:left w:val="none" w:sz="0" w:space="0" w:color="auto"/>
        <w:bottom w:val="none" w:sz="0" w:space="0" w:color="auto"/>
        <w:right w:val="none" w:sz="0" w:space="0" w:color="auto"/>
      </w:divBdr>
    </w:div>
    <w:div w:id="416942560">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38915141">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54567011">
      <w:bodyDiv w:val="1"/>
      <w:marLeft w:val="0"/>
      <w:marRight w:val="0"/>
      <w:marTop w:val="0"/>
      <w:marBottom w:val="0"/>
      <w:divBdr>
        <w:top w:val="none" w:sz="0" w:space="0" w:color="auto"/>
        <w:left w:val="none" w:sz="0" w:space="0" w:color="auto"/>
        <w:bottom w:val="none" w:sz="0" w:space="0" w:color="auto"/>
        <w:right w:val="none" w:sz="0" w:space="0" w:color="auto"/>
      </w:divBdr>
    </w:div>
    <w:div w:id="459150999">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77037109">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5972839">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4402877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65914547">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060461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36959903">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0452059">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1249369">
      <w:bodyDiv w:val="1"/>
      <w:marLeft w:val="0"/>
      <w:marRight w:val="0"/>
      <w:marTop w:val="0"/>
      <w:marBottom w:val="0"/>
      <w:divBdr>
        <w:top w:val="none" w:sz="0" w:space="0" w:color="auto"/>
        <w:left w:val="none" w:sz="0" w:space="0" w:color="auto"/>
        <w:bottom w:val="none" w:sz="0" w:space="0" w:color="auto"/>
        <w:right w:val="none" w:sz="0" w:space="0" w:color="auto"/>
      </w:divBdr>
    </w:div>
    <w:div w:id="703288676">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747993625">
      <w:bodyDiv w:val="1"/>
      <w:marLeft w:val="0"/>
      <w:marRight w:val="0"/>
      <w:marTop w:val="0"/>
      <w:marBottom w:val="0"/>
      <w:divBdr>
        <w:top w:val="none" w:sz="0" w:space="0" w:color="auto"/>
        <w:left w:val="none" w:sz="0" w:space="0" w:color="auto"/>
        <w:bottom w:val="none" w:sz="0" w:space="0" w:color="auto"/>
        <w:right w:val="none" w:sz="0" w:space="0" w:color="auto"/>
      </w:divBdr>
    </w:div>
    <w:div w:id="788234036">
      <w:bodyDiv w:val="1"/>
      <w:marLeft w:val="0"/>
      <w:marRight w:val="0"/>
      <w:marTop w:val="0"/>
      <w:marBottom w:val="0"/>
      <w:divBdr>
        <w:top w:val="none" w:sz="0" w:space="0" w:color="auto"/>
        <w:left w:val="none" w:sz="0" w:space="0" w:color="auto"/>
        <w:bottom w:val="none" w:sz="0" w:space="0" w:color="auto"/>
        <w:right w:val="none" w:sz="0" w:space="0" w:color="auto"/>
      </w:divBdr>
    </w:div>
    <w:div w:id="800419483">
      <w:bodyDiv w:val="1"/>
      <w:marLeft w:val="0"/>
      <w:marRight w:val="0"/>
      <w:marTop w:val="0"/>
      <w:marBottom w:val="0"/>
      <w:divBdr>
        <w:top w:val="none" w:sz="0" w:space="0" w:color="auto"/>
        <w:left w:val="none" w:sz="0" w:space="0" w:color="auto"/>
        <w:bottom w:val="none" w:sz="0" w:space="0" w:color="auto"/>
        <w:right w:val="none" w:sz="0" w:space="0" w:color="auto"/>
      </w:divBdr>
    </w:div>
    <w:div w:id="808090210">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47983156">
      <w:bodyDiv w:val="1"/>
      <w:marLeft w:val="0"/>
      <w:marRight w:val="0"/>
      <w:marTop w:val="0"/>
      <w:marBottom w:val="0"/>
      <w:divBdr>
        <w:top w:val="none" w:sz="0" w:space="0" w:color="auto"/>
        <w:left w:val="none" w:sz="0" w:space="0" w:color="auto"/>
        <w:bottom w:val="none" w:sz="0" w:space="0" w:color="auto"/>
        <w:right w:val="none" w:sz="0" w:space="0" w:color="auto"/>
      </w:divBdr>
    </w:div>
    <w:div w:id="848256700">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69076620">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75896056">
      <w:bodyDiv w:val="1"/>
      <w:marLeft w:val="0"/>
      <w:marRight w:val="0"/>
      <w:marTop w:val="0"/>
      <w:marBottom w:val="0"/>
      <w:divBdr>
        <w:top w:val="none" w:sz="0" w:space="0" w:color="auto"/>
        <w:left w:val="none" w:sz="0" w:space="0" w:color="auto"/>
        <w:bottom w:val="none" w:sz="0" w:space="0" w:color="auto"/>
        <w:right w:val="none" w:sz="0" w:space="0" w:color="auto"/>
      </w:divBdr>
    </w:div>
    <w:div w:id="881941533">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420285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101911">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6114615">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2591742">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3808133">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677354">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31761863">
      <w:bodyDiv w:val="1"/>
      <w:marLeft w:val="0"/>
      <w:marRight w:val="0"/>
      <w:marTop w:val="0"/>
      <w:marBottom w:val="0"/>
      <w:divBdr>
        <w:top w:val="none" w:sz="0" w:space="0" w:color="auto"/>
        <w:left w:val="none" w:sz="0" w:space="0" w:color="auto"/>
        <w:bottom w:val="none" w:sz="0" w:space="0" w:color="auto"/>
        <w:right w:val="none" w:sz="0" w:space="0" w:color="auto"/>
      </w:divBdr>
    </w:div>
    <w:div w:id="1032611379">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62754952">
      <w:bodyDiv w:val="1"/>
      <w:marLeft w:val="0"/>
      <w:marRight w:val="0"/>
      <w:marTop w:val="0"/>
      <w:marBottom w:val="0"/>
      <w:divBdr>
        <w:top w:val="none" w:sz="0" w:space="0" w:color="auto"/>
        <w:left w:val="none" w:sz="0" w:space="0" w:color="auto"/>
        <w:bottom w:val="none" w:sz="0" w:space="0" w:color="auto"/>
        <w:right w:val="none" w:sz="0" w:space="0" w:color="auto"/>
      </w:divBdr>
    </w:div>
    <w:div w:id="1065033822">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89883844">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2992969">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1898881">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59224278">
      <w:bodyDiv w:val="1"/>
      <w:marLeft w:val="0"/>
      <w:marRight w:val="0"/>
      <w:marTop w:val="0"/>
      <w:marBottom w:val="0"/>
      <w:divBdr>
        <w:top w:val="none" w:sz="0" w:space="0" w:color="auto"/>
        <w:left w:val="none" w:sz="0" w:space="0" w:color="auto"/>
        <w:bottom w:val="none" w:sz="0" w:space="0" w:color="auto"/>
        <w:right w:val="none" w:sz="0" w:space="0" w:color="auto"/>
      </w:divBdr>
    </w:div>
    <w:div w:id="1159274507">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189878094">
      <w:bodyDiv w:val="1"/>
      <w:marLeft w:val="0"/>
      <w:marRight w:val="0"/>
      <w:marTop w:val="0"/>
      <w:marBottom w:val="0"/>
      <w:divBdr>
        <w:top w:val="none" w:sz="0" w:space="0" w:color="auto"/>
        <w:left w:val="none" w:sz="0" w:space="0" w:color="auto"/>
        <w:bottom w:val="none" w:sz="0" w:space="0" w:color="auto"/>
        <w:right w:val="none" w:sz="0" w:space="0" w:color="auto"/>
      </w:divBdr>
    </w:div>
    <w:div w:id="1194999381">
      <w:bodyDiv w:val="1"/>
      <w:marLeft w:val="0"/>
      <w:marRight w:val="0"/>
      <w:marTop w:val="0"/>
      <w:marBottom w:val="0"/>
      <w:divBdr>
        <w:top w:val="none" w:sz="0" w:space="0" w:color="auto"/>
        <w:left w:val="none" w:sz="0" w:space="0" w:color="auto"/>
        <w:bottom w:val="none" w:sz="0" w:space="0" w:color="auto"/>
        <w:right w:val="none" w:sz="0" w:space="0" w:color="auto"/>
      </w:divBdr>
    </w:div>
    <w:div w:id="1226407610">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29196165">
      <w:bodyDiv w:val="1"/>
      <w:marLeft w:val="0"/>
      <w:marRight w:val="0"/>
      <w:marTop w:val="0"/>
      <w:marBottom w:val="0"/>
      <w:divBdr>
        <w:top w:val="none" w:sz="0" w:space="0" w:color="auto"/>
        <w:left w:val="none" w:sz="0" w:space="0" w:color="auto"/>
        <w:bottom w:val="none" w:sz="0" w:space="0" w:color="auto"/>
        <w:right w:val="none" w:sz="0" w:space="0" w:color="auto"/>
      </w:divBdr>
    </w:div>
    <w:div w:id="1242252877">
      <w:bodyDiv w:val="1"/>
      <w:marLeft w:val="0"/>
      <w:marRight w:val="0"/>
      <w:marTop w:val="0"/>
      <w:marBottom w:val="0"/>
      <w:divBdr>
        <w:top w:val="none" w:sz="0" w:space="0" w:color="auto"/>
        <w:left w:val="none" w:sz="0" w:space="0" w:color="auto"/>
        <w:bottom w:val="none" w:sz="0" w:space="0" w:color="auto"/>
        <w:right w:val="none" w:sz="0" w:space="0" w:color="auto"/>
      </w:divBdr>
    </w:div>
    <w:div w:id="1264724502">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1620418">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17492867">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71881930">
      <w:bodyDiv w:val="1"/>
      <w:marLeft w:val="0"/>
      <w:marRight w:val="0"/>
      <w:marTop w:val="0"/>
      <w:marBottom w:val="0"/>
      <w:divBdr>
        <w:top w:val="none" w:sz="0" w:space="0" w:color="auto"/>
        <w:left w:val="none" w:sz="0" w:space="0" w:color="auto"/>
        <w:bottom w:val="none" w:sz="0" w:space="0" w:color="auto"/>
        <w:right w:val="none" w:sz="0" w:space="0" w:color="auto"/>
      </w:divBdr>
    </w:div>
    <w:div w:id="1373574019">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09956352">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5439838">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3802323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2791508">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08246378">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24129034">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72498150">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1327404">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66153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1593837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0820677">
      <w:bodyDiv w:val="1"/>
      <w:marLeft w:val="0"/>
      <w:marRight w:val="0"/>
      <w:marTop w:val="0"/>
      <w:marBottom w:val="0"/>
      <w:divBdr>
        <w:top w:val="none" w:sz="0" w:space="0" w:color="auto"/>
        <w:left w:val="none" w:sz="0" w:space="0" w:color="auto"/>
        <w:bottom w:val="none" w:sz="0" w:space="0" w:color="auto"/>
        <w:right w:val="none" w:sz="0" w:space="0" w:color="auto"/>
      </w:divBdr>
    </w:div>
    <w:div w:id="1632318810">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682004270">
      <w:bodyDiv w:val="1"/>
      <w:marLeft w:val="0"/>
      <w:marRight w:val="0"/>
      <w:marTop w:val="0"/>
      <w:marBottom w:val="0"/>
      <w:divBdr>
        <w:top w:val="none" w:sz="0" w:space="0" w:color="auto"/>
        <w:left w:val="none" w:sz="0" w:space="0" w:color="auto"/>
        <w:bottom w:val="none" w:sz="0" w:space="0" w:color="auto"/>
        <w:right w:val="none" w:sz="0" w:space="0" w:color="auto"/>
      </w:divBdr>
    </w:div>
    <w:div w:id="1688481796">
      <w:bodyDiv w:val="1"/>
      <w:marLeft w:val="0"/>
      <w:marRight w:val="0"/>
      <w:marTop w:val="0"/>
      <w:marBottom w:val="0"/>
      <w:divBdr>
        <w:top w:val="none" w:sz="0" w:space="0" w:color="auto"/>
        <w:left w:val="none" w:sz="0" w:space="0" w:color="auto"/>
        <w:bottom w:val="none" w:sz="0" w:space="0" w:color="auto"/>
        <w:right w:val="none" w:sz="0" w:space="0" w:color="auto"/>
      </w:divBdr>
    </w:div>
    <w:div w:id="1697542766">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0755720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4697330">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18626831">
      <w:bodyDiv w:val="1"/>
      <w:marLeft w:val="0"/>
      <w:marRight w:val="0"/>
      <w:marTop w:val="0"/>
      <w:marBottom w:val="0"/>
      <w:divBdr>
        <w:top w:val="none" w:sz="0" w:space="0" w:color="auto"/>
        <w:left w:val="none" w:sz="0" w:space="0" w:color="auto"/>
        <w:bottom w:val="none" w:sz="0" w:space="0" w:color="auto"/>
        <w:right w:val="none" w:sz="0" w:space="0" w:color="auto"/>
      </w:divBdr>
    </w:div>
    <w:div w:id="1723946151">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7634884">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361887">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5003315">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4560926">
      <w:bodyDiv w:val="1"/>
      <w:marLeft w:val="0"/>
      <w:marRight w:val="0"/>
      <w:marTop w:val="0"/>
      <w:marBottom w:val="0"/>
      <w:divBdr>
        <w:top w:val="none" w:sz="0" w:space="0" w:color="auto"/>
        <w:left w:val="none" w:sz="0" w:space="0" w:color="auto"/>
        <w:bottom w:val="none" w:sz="0" w:space="0" w:color="auto"/>
        <w:right w:val="none" w:sz="0" w:space="0" w:color="auto"/>
      </w:divBdr>
    </w:div>
    <w:div w:id="190725553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30432171">
      <w:bodyDiv w:val="1"/>
      <w:marLeft w:val="0"/>
      <w:marRight w:val="0"/>
      <w:marTop w:val="0"/>
      <w:marBottom w:val="0"/>
      <w:divBdr>
        <w:top w:val="none" w:sz="0" w:space="0" w:color="auto"/>
        <w:left w:val="none" w:sz="0" w:space="0" w:color="auto"/>
        <w:bottom w:val="none" w:sz="0" w:space="0" w:color="auto"/>
        <w:right w:val="none" w:sz="0" w:space="0" w:color="auto"/>
      </w:divBdr>
    </w:div>
    <w:div w:id="195351182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242207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2131947">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146587">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39743642">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5034226">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062437822">
      <w:bodyDiv w:val="1"/>
      <w:marLeft w:val="0"/>
      <w:marRight w:val="0"/>
      <w:marTop w:val="0"/>
      <w:marBottom w:val="0"/>
      <w:divBdr>
        <w:top w:val="none" w:sz="0" w:space="0" w:color="auto"/>
        <w:left w:val="none" w:sz="0" w:space="0" w:color="auto"/>
        <w:bottom w:val="none" w:sz="0" w:space="0" w:color="auto"/>
        <w:right w:val="none" w:sz="0" w:space="0" w:color="auto"/>
      </w:divBdr>
    </w:div>
    <w:div w:id="2065910212">
      <w:bodyDiv w:val="1"/>
      <w:marLeft w:val="0"/>
      <w:marRight w:val="0"/>
      <w:marTop w:val="0"/>
      <w:marBottom w:val="0"/>
      <w:divBdr>
        <w:top w:val="none" w:sz="0" w:space="0" w:color="auto"/>
        <w:left w:val="none" w:sz="0" w:space="0" w:color="auto"/>
        <w:bottom w:val="none" w:sz="0" w:space="0" w:color="auto"/>
        <w:right w:val="none" w:sz="0" w:space="0" w:color="auto"/>
      </w:divBdr>
    </w:div>
    <w:div w:id="2097552861">
      <w:bodyDiv w:val="1"/>
      <w:marLeft w:val="0"/>
      <w:marRight w:val="0"/>
      <w:marTop w:val="0"/>
      <w:marBottom w:val="0"/>
      <w:divBdr>
        <w:top w:val="none" w:sz="0" w:space="0" w:color="auto"/>
        <w:left w:val="none" w:sz="0" w:space="0" w:color="auto"/>
        <w:bottom w:val="none" w:sz="0" w:space="0" w:color="auto"/>
        <w:right w:val="none" w:sz="0" w:space="0" w:color="auto"/>
      </w:divBdr>
    </w:div>
    <w:div w:id="2104564753">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0278025">
      <w:bodyDiv w:val="1"/>
      <w:marLeft w:val="0"/>
      <w:marRight w:val="0"/>
      <w:marTop w:val="0"/>
      <w:marBottom w:val="0"/>
      <w:divBdr>
        <w:top w:val="none" w:sz="0" w:space="0" w:color="auto"/>
        <w:left w:val="none" w:sz="0" w:space="0" w:color="auto"/>
        <w:bottom w:val="none" w:sz="0" w:space="0" w:color="auto"/>
        <w:right w:val="none" w:sz="0" w:space="0" w:color="auto"/>
      </w:divBdr>
    </w:div>
    <w:div w:id="2133866671">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RAN1LSGroupHARQ</b:Tag>
    <b:SourceType>Book</b:SourceType>
    <b:Guid>{D9B9F567-E0C7-4C41-AA30-93A25B186729}</b:Guid>
    <b:Title>R2-1905906, LS on sidelink HARQ feedback for groupcast, RAN1</b:Title>
    <b:RefOrder>1</b:RefOrder>
  </b:Source>
  <b:Source>
    <b:Tag>RAN2105bisV2X</b:Tag>
    <b:SourceType>Book</b:SourceType>
    <b:Guid>{AF175339-A326-4BEC-A9AF-00EB2565C59F}</b:Guid>
    <b:Title>RAN2#105bis, NR V2X: Chairman Notes</b:Title>
    <b:RefOrder>2</b:RefOrder>
  </b:Source>
</b:Sources>
</file>

<file path=customXml/itemProps1.xml><?xml version="1.0" encoding="utf-8"?>
<ds:datastoreItem xmlns:ds="http://schemas.openxmlformats.org/officeDocument/2006/customXml" ds:itemID="{4D69657C-909D-4954-AC96-438360CAA015}">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5CC35AC-1218-469A-A0DC-58D360B9B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12846</TotalTime>
  <Pages>3</Pages>
  <Words>1664</Words>
  <Characters>8368</Characters>
  <Application>Microsoft Office Word</Application>
  <DocSecurity>0</DocSecurity>
  <Lines>146</Lines>
  <Paragraphs>46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406</cp:revision>
  <dcterms:created xsi:type="dcterms:W3CDTF">2017-08-12T02:26:00Z</dcterms:created>
  <dcterms:modified xsi:type="dcterms:W3CDTF">2019-05-03T01:58:00Z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2019-05-03 01:58:24Z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