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43A38" w14:textId="04B20B25" w:rsidR="00953B7F" w:rsidRDefault="00953B7F" w:rsidP="00953B7F">
      <w:pPr>
        <w:pStyle w:val="3GPPHeader"/>
        <w:spacing w:after="60"/>
        <w:rPr>
          <w:sz w:val="32"/>
          <w:szCs w:val="32"/>
          <w:highlight w:val="yellow"/>
        </w:rPr>
      </w:pPr>
      <w:r>
        <w:rPr>
          <w:lang w:val="en-US"/>
        </w:rPr>
        <w:t>3GPP TSG-RAN WG2 #105bis</w:t>
      </w:r>
      <w:r>
        <w:tab/>
      </w:r>
      <w:r>
        <w:rPr>
          <w:sz w:val="32"/>
          <w:szCs w:val="32"/>
        </w:rPr>
        <w:t xml:space="preserve"> TDoc </w:t>
      </w:r>
      <w:bookmarkStart w:id="0" w:name="_GoBack"/>
      <w:r w:rsidR="00A44777" w:rsidRPr="00A44777">
        <w:rPr>
          <w:sz w:val="32"/>
          <w:szCs w:val="32"/>
        </w:rPr>
        <w:t>R2-1904735</w:t>
      </w:r>
      <w:bookmarkEnd w:id="0"/>
    </w:p>
    <w:p w14:paraId="06DBD085" w14:textId="5D4777CC" w:rsidR="00280DD1" w:rsidRDefault="00953B7F" w:rsidP="00953B7F">
      <w:pPr>
        <w:pStyle w:val="3GPPHeader"/>
        <w:spacing w:after="60"/>
        <w:rPr>
          <w:sz w:val="32"/>
          <w:szCs w:val="32"/>
          <w:highlight w:val="yellow"/>
        </w:rPr>
      </w:pPr>
      <w:r>
        <w:rPr>
          <w:lang w:eastAsia="en-US"/>
        </w:rPr>
        <w:t>Xi’an, China, 08 Apr – 12 Apr 2019</w:t>
      </w:r>
      <w:r w:rsidR="00103CA8">
        <w:tab/>
        <w:t xml:space="preserve">Revision of </w:t>
      </w:r>
      <w:r w:rsidR="00103CA8" w:rsidRPr="00103CA8">
        <w:rPr>
          <w:lang w:eastAsia="en-US"/>
        </w:rPr>
        <w:t>R2-1901744</w:t>
      </w:r>
    </w:p>
    <w:p w14:paraId="2834B461" w14:textId="77777777" w:rsidR="00E90E49" w:rsidRPr="00CE0424" w:rsidRDefault="00E90E49" w:rsidP="00357380">
      <w:pPr>
        <w:pStyle w:val="3GPPHeader"/>
      </w:pPr>
    </w:p>
    <w:p w14:paraId="08F8AAAF" w14:textId="24CC8E52" w:rsidR="00E90E49" w:rsidRPr="0082651A" w:rsidRDefault="00E90E49" w:rsidP="00311702">
      <w:pPr>
        <w:pStyle w:val="3GPPHeader"/>
        <w:rPr>
          <w:sz w:val="22"/>
          <w:szCs w:val="22"/>
          <w:lang w:val="en-US"/>
        </w:rPr>
      </w:pPr>
      <w:r w:rsidRPr="0082651A">
        <w:rPr>
          <w:sz w:val="22"/>
          <w:szCs w:val="22"/>
          <w:lang w:val="en-US"/>
        </w:rPr>
        <w:t>Agenda Item:</w:t>
      </w:r>
      <w:r w:rsidRPr="0082651A">
        <w:rPr>
          <w:sz w:val="22"/>
          <w:szCs w:val="22"/>
          <w:lang w:val="en-US"/>
        </w:rPr>
        <w:tab/>
      </w:r>
      <w:r w:rsidR="00074C8C" w:rsidRPr="0082651A">
        <w:rPr>
          <w:sz w:val="22"/>
          <w:szCs w:val="22"/>
          <w:lang w:val="en-US"/>
        </w:rPr>
        <w:t>11.2.</w:t>
      </w:r>
      <w:r w:rsidR="00A116B6" w:rsidRPr="0082651A">
        <w:rPr>
          <w:sz w:val="22"/>
          <w:szCs w:val="22"/>
          <w:lang w:val="en-US"/>
        </w:rPr>
        <w:t>2.2</w:t>
      </w:r>
    </w:p>
    <w:p w14:paraId="46B8ACF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CFDB04" w14:textId="0E062500" w:rsidR="00E90E49" w:rsidRPr="00CE0424" w:rsidRDefault="003D3C45" w:rsidP="00311702">
      <w:pPr>
        <w:pStyle w:val="3GPPHeader"/>
        <w:rPr>
          <w:sz w:val="22"/>
          <w:szCs w:val="22"/>
        </w:rPr>
      </w:pPr>
      <w:r>
        <w:rPr>
          <w:sz w:val="22"/>
          <w:szCs w:val="22"/>
        </w:rPr>
        <w:t>Title:</w:t>
      </w:r>
      <w:r w:rsidR="00E90E49" w:rsidRPr="00CE0424">
        <w:rPr>
          <w:sz w:val="22"/>
          <w:szCs w:val="22"/>
        </w:rPr>
        <w:tab/>
      </w:r>
      <w:r w:rsidR="00E8458E" w:rsidRPr="000051D8">
        <w:rPr>
          <w:sz w:val="22"/>
          <w:szCs w:val="22"/>
        </w:rPr>
        <w:t>Mobility in NR-U</w:t>
      </w:r>
    </w:p>
    <w:p w14:paraId="0212022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74C8C">
        <w:rPr>
          <w:sz w:val="22"/>
          <w:szCs w:val="22"/>
        </w:rPr>
        <w:t>Discussion, Decision</w:t>
      </w:r>
    </w:p>
    <w:p w14:paraId="322492CF" w14:textId="77777777" w:rsidR="00C24345" w:rsidRDefault="00E90E49" w:rsidP="00A2052C">
      <w:pPr>
        <w:pStyle w:val="Heading1"/>
      </w:pPr>
      <w:r w:rsidRPr="00CE0424">
        <w:t>Introduction</w:t>
      </w:r>
    </w:p>
    <w:p w14:paraId="2951465F" w14:textId="4FA92112" w:rsidR="007E506A" w:rsidRDefault="007E506A" w:rsidP="007E506A">
      <w:r>
        <w:t xml:space="preserve">In the WID </w:t>
      </w:r>
      <w:r>
        <w:fldChar w:fldCharType="begin"/>
      </w:r>
      <w:r>
        <w:instrText xml:space="preserve"> REF _Ref359373 \n \h </w:instrText>
      </w:r>
      <w:r>
        <w:fldChar w:fldCharType="separate"/>
      </w:r>
      <w:r w:rsidR="00B6445B">
        <w:t>[1]</w:t>
      </w:r>
      <w:r>
        <w:fldChar w:fldCharType="end"/>
      </w:r>
      <w:r>
        <w:t xml:space="preserve"> the following scenarios are to be supported: </w:t>
      </w:r>
    </w:p>
    <w:p w14:paraId="1985B8DD" w14:textId="77777777" w:rsidR="007E506A" w:rsidRDefault="007E506A" w:rsidP="007E506A">
      <w:pPr>
        <w:spacing w:after="0"/>
        <w:ind w:left="360"/>
        <w:rPr>
          <w:rFonts w:ascii="Times New Roman" w:hAnsi="Times New Roman"/>
          <w:bCs/>
          <w:lang w:eastAsia="en-GB"/>
        </w:rPr>
      </w:pPr>
      <w:r>
        <w:rPr>
          <w:bCs/>
        </w:rPr>
        <w:t xml:space="preserve">This work item is aimed at supporting the following scenarios: </w:t>
      </w:r>
    </w:p>
    <w:p w14:paraId="3A11C629" w14:textId="77777777" w:rsidR="007E506A" w:rsidRDefault="007E506A" w:rsidP="007E506A">
      <w:pPr>
        <w:numPr>
          <w:ilvl w:val="0"/>
          <w:numId w:val="16"/>
        </w:numPr>
        <w:spacing w:after="0"/>
        <w:ind w:left="1080"/>
        <w:jc w:val="left"/>
        <w:textAlignment w:val="auto"/>
        <w:rPr>
          <w:bCs/>
        </w:rPr>
      </w:pPr>
      <w:r>
        <w:rPr>
          <w:bCs/>
        </w:rPr>
        <w:t xml:space="preserve">Scenario A: Carrier aggregation between licensed band NR (PCell) and NR-U (SCell). </w:t>
      </w:r>
    </w:p>
    <w:p w14:paraId="56EBDE7F" w14:textId="77777777" w:rsidR="007E506A" w:rsidRDefault="007E506A" w:rsidP="007E506A">
      <w:pPr>
        <w:numPr>
          <w:ilvl w:val="1"/>
          <w:numId w:val="16"/>
        </w:numPr>
        <w:spacing w:after="0"/>
        <w:ind w:left="1800"/>
        <w:jc w:val="left"/>
        <w:textAlignment w:val="auto"/>
        <w:rPr>
          <w:bCs/>
        </w:rPr>
      </w:pPr>
      <w:r>
        <w:rPr>
          <w:bCs/>
        </w:rPr>
        <w:t>NR-U SCell may have both DL and UL, or DL-only.</w:t>
      </w:r>
    </w:p>
    <w:p w14:paraId="31C3928B" w14:textId="77777777" w:rsidR="007E506A" w:rsidRDefault="007E506A" w:rsidP="007E506A">
      <w:pPr>
        <w:numPr>
          <w:ilvl w:val="1"/>
          <w:numId w:val="16"/>
        </w:numPr>
        <w:spacing w:after="0"/>
        <w:ind w:left="1800"/>
        <w:jc w:val="left"/>
        <w:textAlignment w:val="auto"/>
        <w:rPr>
          <w:bCs/>
        </w:rPr>
      </w:pPr>
      <w:r>
        <w:rPr>
          <w:bCs/>
        </w:rPr>
        <w:t>In this scenario, NR PCell is connected to 5G-CN.</w:t>
      </w:r>
    </w:p>
    <w:p w14:paraId="36D9A142" w14:textId="77777777" w:rsidR="007E506A" w:rsidRDefault="007E506A" w:rsidP="007E506A">
      <w:pPr>
        <w:numPr>
          <w:ilvl w:val="0"/>
          <w:numId w:val="16"/>
        </w:numPr>
        <w:spacing w:after="0"/>
        <w:ind w:left="1080"/>
        <w:jc w:val="left"/>
        <w:textAlignment w:val="auto"/>
        <w:rPr>
          <w:bCs/>
        </w:rPr>
      </w:pPr>
      <w:r>
        <w:rPr>
          <w:bCs/>
        </w:rPr>
        <w:t>Scenario B: Dual connectivity between licensed band LTE (PCell) and NR-U (PSCell)</w:t>
      </w:r>
    </w:p>
    <w:p w14:paraId="560C34BF" w14:textId="77777777" w:rsidR="007E506A" w:rsidRDefault="007E506A" w:rsidP="007E506A">
      <w:pPr>
        <w:numPr>
          <w:ilvl w:val="1"/>
          <w:numId w:val="16"/>
        </w:numPr>
        <w:spacing w:after="0"/>
        <w:ind w:left="1800"/>
        <w:jc w:val="left"/>
        <w:textAlignment w:val="auto"/>
        <w:rPr>
          <w:bCs/>
        </w:rPr>
      </w:pPr>
      <w:r>
        <w:rPr>
          <w:bCs/>
        </w:rPr>
        <w:t xml:space="preserve">In this scenario, LTE PCell connected to EPC as higher priority than PCell connected to 5G-CN. </w:t>
      </w:r>
    </w:p>
    <w:p w14:paraId="2D506013" w14:textId="77777777" w:rsidR="007E506A" w:rsidRDefault="007E506A" w:rsidP="007E506A">
      <w:pPr>
        <w:numPr>
          <w:ilvl w:val="0"/>
          <w:numId w:val="16"/>
        </w:numPr>
        <w:spacing w:after="0"/>
        <w:ind w:left="1080"/>
        <w:jc w:val="left"/>
        <w:textAlignment w:val="auto"/>
        <w:rPr>
          <w:bCs/>
        </w:rPr>
      </w:pPr>
      <w:r>
        <w:rPr>
          <w:bCs/>
        </w:rPr>
        <w:t>Scenario C: Stand-alone NR-U</w:t>
      </w:r>
    </w:p>
    <w:p w14:paraId="7F8286D3" w14:textId="77777777" w:rsidR="007E506A" w:rsidRDefault="007E506A" w:rsidP="007E506A">
      <w:pPr>
        <w:numPr>
          <w:ilvl w:val="1"/>
          <w:numId w:val="16"/>
        </w:numPr>
        <w:spacing w:after="0"/>
        <w:ind w:left="1800"/>
        <w:jc w:val="left"/>
        <w:textAlignment w:val="auto"/>
        <w:rPr>
          <w:bCs/>
        </w:rPr>
      </w:pPr>
      <w:r>
        <w:rPr>
          <w:bCs/>
        </w:rPr>
        <w:t>In this scenario, NR-U is connected to 5G-CN.</w:t>
      </w:r>
    </w:p>
    <w:p w14:paraId="4D7B4942" w14:textId="77777777" w:rsidR="007E506A" w:rsidRDefault="007E506A" w:rsidP="007E506A">
      <w:pPr>
        <w:numPr>
          <w:ilvl w:val="0"/>
          <w:numId w:val="16"/>
        </w:numPr>
        <w:spacing w:after="0"/>
        <w:ind w:left="1080"/>
        <w:jc w:val="left"/>
        <w:textAlignment w:val="auto"/>
        <w:rPr>
          <w:bCs/>
        </w:rPr>
      </w:pPr>
      <w:r>
        <w:rPr>
          <w:bCs/>
        </w:rPr>
        <w:t>Scenario D: A stand-alone NR cell in unlicensed band and UL in licensed band (single cell architecture).</w:t>
      </w:r>
    </w:p>
    <w:p w14:paraId="0DB64584" w14:textId="77777777" w:rsidR="007E506A" w:rsidRDefault="007E506A" w:rsidP="007E506A">
      <w:pPr>
        <w:numPr>
          <w:ilvl w:val="1"/>
          <w:numId w:val="16"/>
        </w:numPr>
        <w:spacing w:after="0"/>
        <w:ind w:left="1800"/>
        <w:jc w:val="left"/>
        <w:textAlignment w:val="auto"/>
        <w:rPr>
          <w:bCs/>
        </w:rPr>
      </w:pPr>
      <w:r>
        <w:rPr>
          <w:bCs/>
        </w:rPr>
        <w:t>In this scenario, NR-U is connected to 5G-CN.</w:t>
      </w:r>
    </w:p>
    <w:p w14:paraId="249598F2" w14:textId="77777777" w:rsidR="007E506A" w:rsidRDefault="007E506A" w:rsidP="007E506A">
      <w:pPr>
        <w:numPr>
          <w:ilvl w:val="0"/>
          <w:numId w:val="16"/>
        </w:numPr>
        <w:spacing w:after="0"/>
        <w:ind w:left="1080"/>
        <w:jc w:val="left"/>
        <w:textAlignment w:val="auto"/>
        <w:rPr>
          <w:bCs/>
        </w:rPr>
      </w:pPr>
      <w:r>
        <w:rPr>
          <w:bCs/>
        </w:rPr>
        <w:t xml:space="preserve">Scenario E: Dual connectivity between licensed band NR and NR-U. </w:t>
      </w:r>
    </w:p>
    <w:p w14:paraId="1A19340A" w14:textId="77777777" w:rsidR="007E506A" w:rsidRDefault="007E506A" w:rsidP="007E506A">
      <w:pPr>
        <w:numPr>
          <w:ilvl w:val="1"/>
          <w:numId w:val="16"/>
        </w:numPr>
        <w:spacing w:after="0"/>
        <w:ind w:left="1800"/>
        <w:jc w:val="left"/>
        <w:textAlignment w:val="auto"/>
        <w:rPr>
          <w:bCs/>
        </w:rPr>
      </w:pPr>
      <w:r>
        <w:rPr>
          <w:bCs/>
        </w:rPr>
        <w:t>In this scenario, PCell is connected to 5G-CN.</w:t>
      </w:r>
    </w:p>
    <w:p w14:paraId="53EE18FB" w14:textId="77777777" w:rsidR="007E506A" w:rsidRDefault="007E506A" w:rsidP="007E506A">
      <w:pPr>
        <w:spacing w:after="0"/>
        <w:ind w:left="360"/>
        <w:rPr>
          <w:bCs/>
        </w:rPr>
      </w:pPr>
    </w:p>
    <w:p w14:paraId="70413B9C" w14:textId="77777777" w:rsidR="007E506A" w:rsidRDefault="007E506A" w:rsidP="007E506A">
      <w:pPr>
        <w:spacing w:after="0"/>
        <w:ind w:left="360"/>
        <w:rPr>
          <w:bCs/>
        </w:rPr>
      </w:pPr>
      <w:r>
        <w:rPr>
          <w:bCs/>
        </w:rPr>
        <w:t xml:space="preserve">The work on Scenario E, in particular, will also leverage the work conducted as part of the parallel WI on “Multi-RAT Dual-Connectivity and Carrier Aggregation enhancements” (LTE_NR_DC_CA_enh-Core) and will be treated with a lower priority in the context of this WI. Note that carrier aggregation across NR-U cells is in the scope of all the above scenarios. </w:t>
      </w:r>
    </w:p>
    <w:p w14:paraId="76C0B398" w14:textId="77777777" w:rsidR="007E506A" w:rsidRDefault="007E506A" w:rsidP="00A2052C"/>
    <w:p w14:paraId="3338E578" w14:textId="4951C1A6" w:rsidR="00FC69A2" w:rsidRDefault="00970FCE" w:rsidP="00A2052C">
      <w:r>
        <w:t>Then</w:t>
      </w:r>
      <w:r w:rsidR="007E506A">
        <w:t xml:space="preserve"> the</w:t>
      </w:r>
      <w:r w:rsidR="00FC69A2">
        <w:t xml:space="preserve"> WID</w:t>
      </w:r>
      <w:r w:rsidR="00CB2B28">
        <w:t xml:space="preserve"> </w:t>
      </w:r>
      <w:r w:rsidR="00CB2B28">
        <w:fldChar w:fldCharType="begin"/>
      </w:r>
      <w:r w:rsidR="00CB2B28">
        <w:instrText xml:space="preserve"> REF _Ref359373 \n \h </w:instrText>
      </w:r>
      <w:r w:rsidR="00CB2B28">
        <w:fldChar w:fldCharType="separate"/>
      </w:r>
      <w:r w:rsidR="00B6445B">
        <w:t>[1]</w:t>
      </w:r>
      <w:r w:rsidR="00CB2B28">
        <w:fldChar w:fldCharType="end"/>
      </w:r>
      <w:r w:rsidR="00FC69A2">
        <w:t xml:space="preserve"> </w:t>
      </w:r>
      <w:r w:rsidR="007E506A">
        <w:t xml:space="preserve">specifies the </w:t>
      </w:r>
      <w:r w:rsidR="00CB2B28">
        <w:t>following detailed objectives</w:t>
      </w:r>
      <w:r w:rsidR="00064A6C">
        <w:t xml:space="preserve"> concerning mobility</w:t>
      </w:r>
      <w:r w:rsidR="00CB2B28">
        <w:t>:</w:t>
      </w:r>
      <w:r w:rsidR="00FA6929">
        <w:t xml:space="preserve"> </w:t>
      </w:r>
    </w:p>
    <w:p w14:paraId="71878B92" w14:textId="77777777" w:rsidR="00CB2B28" w:rsidRDefault="00CB2B28" w:rsidP="00CB2B28">
      <w:pPr>
        <w:pStyle w:val="B1"/>
        <w:rPr>
          <w:rFonts w:ascii="Times New Roman" w:hAnsi="Times New Roman"/>
          <w:lang w:eastAsia="ja-JP"/>
        </w:rPr>
      </w:pPr>
      <w:r>
        <w:rPr>
          <w:lang w:eastAsia="ja-JP"/>
        </w:rPr>
        <w:t>-</w:t>
      </w:r>
      <w:r>
        <w:rPr>
          <w:lang w:eastAsia="ja-JP"/>
        </w:rPr>
        <w:tab/>
        <w:t>Radio interface protocol architecture and procedures (ref. TR 38.889 section 7.2.2) [RAN2]:</w:t>
      </w:r>
    </w:p>
    <w:p w14:paraId="0EF393AF" w14:textId="2F51C730" w:rsidR="00CB2B28" w:rsidRDefault="00CB2B28" w:rsidP="00CB2B28">
      <w:pPr>
        <w:pStyle w:val="B2"/>
        <w:rPr>
          <w:lang w:eastAsia="en-GB"/>
        </w:rPr>
      </w:pPr>
      <w:r>
        <w:rPr>
          <w:lang w:eastAsia="ja-JP"/>
        </w:rPr>
        <w:t>-</w:t>
      </w:r>
      <w:r>
        <w:rPr>
          <w:lang w:eastAsia="ja-JP"/>
        </w:rPr>
        <w:tab/>
        <w:t>…</w:t>
      </w:r>
    </w:p>
    <w:p w14:paraId="31755A0C" w14:textId="2205DA74" w:rsidR="00CB2B28" w:rsidRDefault="00CB2B28" w:rsidP="00CB2B2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 </w:t>
      </w:r>
    </w:p>
    <w:p w14:paraId="779950D2" w14:textId="77777777" w:rsidR="00212571" w:rsidRDefault="00212571" w:rsidP="00212571">
      <w:pPr>
        <w:pStyle w:val="B2"/>
        <w:rPr>
          <w:lang w:eastAsia="en-GB"/>
        </w:rPr>
      </w:pPr>
      <w:r>
        <w:rPr>
          <w:lang w:eastAsia="ja-JP"/>
        </w:rPr>
        <w:t>-</w:t>
      </w:r>
      <w:r>
        <w:rPr>
          <w:lang w:eastAsia="ja-JP"/>
        </w:rPr>
        <w:tab/>
        <w:t>…</w:t>
      </w:r>
    </w:p>
    <w:p w14:paraId="4C9D63C8" w14:textId="77777777" w:rsidR="005242A9" w:rsidRDefault="005242A9" w:rsidP="00A2052C"/>
    <w:p w14:paraId="4ADBB103" w14:textId="7C3601F0" w:rsidR="00DB6398" w:rsidRDefault="00FA6929" w:rsidP="00A2052C">
      <w:r>
        <w:t>Further</w:t>
      </w:r>
      <w:r w:rsidR="00DB6398">
        <w:t xml:space="preserve"> in </w:t>
      </w:r>
      <w:r>
        <w:t xml:space="preserve">the </w:t>
      </w:r>
      <w:r w:rsidR="00DB6398">
        <w:t xml:space="preserve">TR 38.889 </w:t>
      </w:r>
      <w:r w:rsidR="00DB6398">
        <w:fldChar w:fldCharType="begin"/>
      </w:r>
      <w:r w:rsidR="00DB6398">
        <w:instrText xml:space="preserve"> REF _Ref376881 \n \h </w:instrText>
      </w:r>
      <w:r w:rsidR="00DB6398">
        <w:fldChar w:fldCharType="separate"/>
      </w:r>
      <w:r w:rsidR="00B6445B">
        <w:t>[2]</w:t>
      </w:r>
      <w:r w:rsidR="00DB6398">
        <w:fldChar w:fldCharType="end"/>
      </w:r>
      <w:r w:rsidR="00DB6398">
        <w:t xml:space="preserve"> we have</w:t>
      </w:r>
      <w:r w:rsidR="00367BBB">
        <w:t xml:space="preserve">: </w:t>
      </w:r>
    </w:p>
    <w:p w14:paraId="0C6A732B" w14:textId="77777777" w:rsidR="005242A9" w:rsidRPr="00C64ECB" w:rsidRDefault="005242A9" w:rsidP="005242A9">
      <w:pPr>
        <w:spacing w:before="120"/>
        <w:ind w:left="567"/>
      </w:pPr>
      <w:r w:rsidRPr="00C64ECB">
        <w:t>For non-standalone NR-U deployments, connected mode mobility is supported on licensed spectrum using the baseline mobility procedure specified for the concerned licensed radio access technology (LTE or NR).</w:t>
      </w:r>
    </w:p>
    <w:p w14:paraId="6AD0FD67" w14:textId="77777777" w:rsidR="005242A9" w:rsidRPr="00C64ECB" w:rsidRDefault="005242A9" w:rsidP="005242A9">
      <w:pPr>
        <w:ind w:left="567"/>
      </w:pPr>
      <w:r w:rsidRPr="00C64ECB">
        <w:lastRenderedPageBreak/>
        <w:t>For standalone NR-U deployments, the following mobility scenarios shall be supported:</w:t>
      </w:r>
    </w:p>
    <w:p w14:paraId="6E964EE1" w14:textId="77777777" w:rsidR="005242A9" w:rsidRPr="00C64ECB" w:rsidRDefault="005242A9" w:rsidP="005242A9">
      <w:pPr>
        <w:pStyle w:val="B1"/>
        <w:ind w:left="1135"/>
      </w:pPr>
      <w:r w:rsidRPr="00C64ECB">
        <w:t>-</w:t>
      </w:r>
      <w:r w:rsidRPr="00C64ECB">
        <w:tab/>
        <w:t>Inter-cell handover between NR-U and NR-U;</w:t>
      </w:r>
    </w:p>
    <w:p w14:paraId="175CEE53" w14:textId="77777777" w:rsidR="005242A9" w:rsidRPr="00C64ECB" w:rsidRDefault="005242A9" w:rsidP="005242A9">
      <w:pPr>
        <w:pStyle w:val="B1"/>
        <w:ind w:left="1135"/>
      </w:pPr>
      <w:r w:rsidRPr="00C64ECB">
        <w:t>-</w:t>
      </w:r>
      <w:r w:rsidRPr="00C64ECB">
        <w:tab/>
        <w:t>Inter-cell handover between NR-U and NR.</w:t>
      </w:r>
    </w:p>
    <w:p w14:paraId="632F9EDF" w14:textId="77777777" w:rsidR="005242A9" w:rsidRPr="00C64ECB" w:rsidRDefault="005242A9" w:rsidP="005242A9">
      <w:pPr>
        <w:ind w:left="567"/>
      </w:pPr>
      <w:r w:rsidRPr="00C64ECB">
        <w:t>In addition, the following mobility scenarios shall be supported based on the mobility between NR-U and NR and and the mobility between NR and (e)LTE, however further optimizations to this scenarios will be considered possibly with lower priority:</w:t>
      </w:r>
    </w:p>
    <w:p w14:paraId="34EEBE1C" w14:textId="77777777" w:rsidR="005242A9" w:rsidRPr="00C64ECB" w:rsidRDefault="005242A9" w:rsidP="005242A9">
      <w:pPr>
        <w:pStyle w:val="B1"/>
        <w:ind w:left="1135"/>
      </w:pPr>
      <w:r w:rsidRPr="00C64ECB">
        <w:t>-</w:t>
      </w:r>
      <w:r w:rsidRPr="00C64ECB">
        <w:tab/>
        <w:t>Inter-RAT handover between NR-U and LTE connected to EPC;</w:t>
      </w:r>
    </w:p>
    <w:p w14:paraId="45FFFDA1" w14:textId="77777777" w:rsidR="005242A9" w:rsidRPr="00C64ECB" w:rsidRDefault="005242A9" w:rsidP="005242A9">
      <w:pPr>
        <w:pStyle w:val="B1"/>
        <w:ind w:left="1135"/>
      </w:pPr>
      <w:r w:rsidRPr="00C64ECB">
        <w:t>-</w:t>
      </w:r>
      <w:r w:rsidRPr="00C64ECB">
        <w:tab/>
        <w:t>Inter-RAT handover between NR-U and LTE connected to 5GC.</w:t>
      </w:r>
    </w:p>
    <w:p w14:paraId="269BF6F2" w14:textId="5362C5CC" w:rsidR="005242A9" w:rsidRPr="00C64ECB" w:rsidRDefault="005242A9" w:rsidP="005242A9">
      <w:pPr>
        <w:ind w:left="567"/>
      </w:pPr>
      <w:r w:rsidRPr="00C64ECB">
        <w:t>For connected mode mobility, the main issue identified for NR operation in unlicensed band is the reduced transmission opportunities for different signalings due to LBT failure.</w:t>
      </w:r>
    </w:p>
    <w:p w14:paraId="07BE92C5" w14:textId="77777777" w:rsidR="005242A9" w:rsidRPr="00C64ECB" w:rsidRDefault="005242A9" w:rsidP="005242A9">
      <w:pPr>
        <w:ind w:left="284"/>
      </w:pPr>
      <w:r w:rsidRPr="00C64ECB">
        <w:t>The following modifications to mobility-related procedures have been identified as beneficial to study:</w:t>
      </w:r>
    </w:p>
    <w:p w14:paraId="351132DC" w14:textId="77777777" w:rsidR="005242A9" w:rsidRPr="00C64ECB" w:rsidRDefault="005242A9" w:rsidP="005242A9">
      <w:pPr>
        <w:pStyle w:val="B1"/>
        <w:ind w:left="852"/>
      </w:pPr>
      <w:r w:rsidRPr="00C64ECB">
        <w:t>-</w:t>
      </w:r>
      <w:r w:rsidRPr="00C64ECB">
        <w:tab/>
        <w:t>Modifications to mobility-related measurements considering limitations to the transmission of reference signals due to LBT. NR-U needs to consider techniques to handle reduced RS (e.g. SS/PBCH block and CSI-RS) transmission opportunities due to LBT failure.</w:t>
      </w:r>
    </w:p>
    <w:p w14:paraId="6FD8EA9A" w14:textId="77777777" w:rsidR="005242A9" w:rsidRPr="00C64ECB" w:rsidRDefault="005242A9" w:rsidP="005242A9">
      <w:pPr>
        <w:pStyle w:val="B1"/>
        <w:ind w:left="852"/>
      </w:pPr>
      <w:r w:rsidRPr="00C64ECB">
        <w:t>-</w:t>
      </w:r>
      <w:r w:rsidRPr="00C64ECB">
        <w:tab/>
        <w:t>Modifications to mobility-related measurements and/or triggers considering limitations related to high channel occupancy. NR-U needs to consider techniques to handle increased interference levels in the unlicensed channel for mobility-related decisions.</w:t>
      </w:r>
    </w:p>
    <w:p w14:paraId="6FACF720" w14:textId="77777777" w:rsidR="005242A9" w:rsidRPr="00C64ECB" w:rsidRDefault="005242A9" w:rsidP="005242A9">
      <w:pPr>
        <w:pStyle w:val="B1"/>
        <w:ind w:left="852"/>
      </w:pPr>
      <w:r w:rsidRPr="00C64ECB">
        <w:t>-</w:t>
      </w:r>
      <w:r w:rsidRPr="00C64ECB">
        <w:tab/>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088A188" w14:textId="77777777" w:rsidR="00DB6398" w:rsidRDefault="00DB6398" w:rsidP="00A2052C"/>
    <w:p w14:paraId="4B429FC9" w14:textId="79E157F7" w:rsidR="00CB2B28" w:rsidRDefault="00F05EBC" w:rsidP="00A2052C">
      <w:r>
        <w:t xml:space="preserve">Here </w:t>
      </w:r>
      <w:r w:rsidR="00212571">
        <w:t xml:space="preserve">we </w:t>
      </w:r>
      <w:r w:rsidR="006D6BD0">
        <w:t xml:space="preserve">will </w:t>
      </w:r>
      <w:r w:rsidR="00A66C10">
        <w:t xml:space="preserve">study </w:t>
      </w:r>
      <w:r w:rsidR="008036B9">
        <w:t>the</w:t>
      </w:r>
      <w:r>
        <w:t xml:space="preserve"> modifications to mobility procedures</w:t>
      </w:r>
      <w:r w:rsidR="008036B9">
        <w:t xml:space="preserve">. </w:t>
      </w:r>
    </w:p>
    <w:p w14:paraId="46433CB7" w14:textId="77777777" w:rsidR="004000E8" w:rsidRPr="00CE0424" w:rsidRDefault="004000E8" w:rsidP="00CE0424">
      <w:pPr>
        <w:pStyle w:val="Heading1"/>
      </w:pPr>
      <w:bookmarkStart w:id="1" w:name="_Ref178064866"/>
      <w:r w:rsidRPr="00CE0424">
        <w:t>Discussion</w:t>
      </w:r>
      <w:bookmarkEnd w:id="1"/>
    </w:p>
    <w:p w14:paraId="67AB120F" w14:textId="5AF6DE7F" w:rsidR="005242A9" w:rsidRDefault="00F05EBC" w:rsidP="00E8458E">
      <w:pPr>
        <w:pStyle w:val="Heading2"/>
      </w:pPr>
      <w:r>
        <w:t>M</w:t>
      </w:r>
      <w:r w:rsidR="005242A9">
        <w:t>easurements on reference signals subject to LBT</w:t>
      </w:r>
    </w:p>
    <w:p w14:paraId="48C57092" w14:textId="659387FC" w:rsidR="0057729E" w:rsidRDefault="0057729E" w:rsidP="005242A9">
      <w:r>
        <w:t xml:space="preserve">In the TR </w:t>
      </w:r>
      <w:r w:rsidR="007E5EFB">
        <w:fldChar w:fldCharType="begin"/>
      </w:r>
      <w:r w:rsidR="007E5EFB">
        <w:instrText xml:space="preserve"> REF _Ref376881 \n \h </w:instrText>
      </w:r>
      <w:r w:rsidR="007E5EFB">
        <w:fldChar w:fldCharType="separate"/>
      </w:r>
      <w:r w:rsidR="00B6445B">
        <w:t>[2]</w:t>
      </w:r>
      <w:r w:rsidR="007E5EFB">
        <w:fldChar w:fldCharType="end"/>
      </w:r>
      <w:r w:rsidR="007E5EFB">
        <w:t xml:space="preserve"> </w:t>
      </w:r>
      <w:r>
        <w:t xml:space="preserve">it is further noted that </w:t>
      </w:r>
    </w:p>
    <w:p w14:paraId="18DC9954" w14:textId="77777777" w:rsidR="0057729E" w:rsidRPr="00C64ECB" w:rsidRDefault="0057729E" w:rsidP="0057729E">
      <w:pPr>
        <w:ind w:left="567"/>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12D672B8" w14:textId="3617F78D" w:rsidR="0057729E" w:rsidRDefault="00B8422D" w:rsidP="005242A9">
      <w:r>
        <w:t xml:space="preserve">We note that in licensed NR, RRM measurements are based on SSBs and/or CSI-RS, and RAN1has agreed that inclusion of SSB and CSI-RS in NR-U DRS is beneficial. In combination with the above, </w:t>
      </w:r>
      <w:r w:rsidR="0057729E">
        <w:t xml:space="preserve">we may wait </w:t>
      </w:r>
      <w:r w:rsidR="00DD76FB">
        <w:t xml:space="preserve">until further progress in RAN1 to decide if RAN2 will need to make </w:t>
      </w:r>
      <w:r>
        <w:t xml:space="preserve">any </w:t>
      </w:r>
      <w:r w:rsidR="00DD76FB">
        <w:t>changes</w:t>
      </w:r>
      <w:r>
        <w:t xml:space="preserve"> for taking LBT into account for reference signal measurements</w:t>
      </w:r>
      <w:r w:rsidR="00DD76FB">
        <w:t xml:space="preserve">. </w:t>
      </w:r>
    </w:p>
    <w:p w14:paraId="71C8CD31" w14:textId="0E997AD9" w:rsidR="00CF77AD" w:rsidRDefault="00CF77AD" w:rsidP="00CF77AD">
      <w:pPr>
        <w:pStyle w:val="Proposal"/>
      </w:pPr>
      <w:bookmarkStart w:id="2" w:name="_Toc399668"/>
      <w:bookmarkStart w:id="3" w:name="_Toc401821"/>
      <w:bookmarkStart w:id="4" w:name="_Toc402226"/>
      <w:bookmarkStart w:id="5" w:name="_Toc402364"/>
      <w:bookmarkStart w:id="6" w:name="_Toc1048806"/>
      <w:bookmarkStart w:id="7" w:name="_Toc1048833"/>
      <w:bookmarkStart w:id="8" w:name="_Toc1049754"/>
      <w:bookmarkStart w:id="9" w:name="_Toc1049767"/>
      <w:bookmarkStart w:id="10" w:name="_Toc1049840"/>
      <w:bookmarkStart w:id="11" w:name="_Toc1049887"/>
      <w:bookmarkStart w:id="12" w:name="_Toc1049892"/>
      <w:bookmarkStart w:id="13" w:name="_Toc1069027"/>
      <w:bookmarkStart w:id="14" w:name="_Toc1082802"/>
      <w:bookmarkStart w:id="15" w:name="_Toc1083176"/>
      <w:bookmarkStart w:id="16" w:name="_Toc1083246"/>
      <w:bookmarkStart w:id="17" w:name="_Toc4022592"/>
      <w:bookmarkStart w:id="18" w:name="_Toc4052550"/>
      <w:r>
        <w:t xml:space="preserve">Wait for further RAN1 progress on the NR-U DRS before deciding on </w:t>
      </w:r>
      <w:r w:rsidR="001020C4">
        <w:t xml:space="preserve">additional </w:t>
      </w:r>
      <w:r>
        <w:t>measures to handle missing reference signals due to failed LBT</w:t>
      </w:r>
      <w:r w:rsidRPr="00A04F49">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p>
    <w:p w14:paraId="7BE21678" w14:textId="33E22065" w:rsidR="005242A9" w:rsidRDefault="00F05EBC" w:rsidP="00E8458E">
      <w:pPr>
        <w:pStyle w:val="Heading2"/>
      </w:pPr>
      <w:bookmarkStart w:id="19" w:name="_Ref401573"/>
      <w:r>
        <w:t>M</w:t>
      </w:r>
      <w:r w:rsidR="005242A9">
        <w:t>easurements and</w:t>
      </w:r>
      <w:r w:rsidR="00B8422D">
        <w:t>/or</w:t>
      </w:r>
      <w:r w:rsidR="005242A9">
        <w:t xml:space="preserve"> triggers in presence of high channel occupancy</w:t>
      </w:r>
      <w:bookmarkEnd w:id="19"/>
      <w:r w:rsidR="005242A9">
        <w:t xml:space="preserve"> </w:t>
      </w:r>
    </w:p>
    <w:p w14:paraId="5EEB0F44" w14:textId="2C869C58" w:rsidR="005242A9" w:rsidRPr="005242A9" w:rsidRDefault="00B304D7" w:rsidP="005242A9">
      <w:r>
        <w:t>Due to t</w:t>
      </w:r>
      <w:r w:rsidR="00301FDD">
        <w:t xml:space="preserve">he nature of the unlicensed spectrum, the channel </w:t>
      </w:r>
      <w:r w:rsidR="00D75F20">
        <w:t xml:space="preserve">may be </w:t>
      </w:r>
      <w:r w:rsidR="00301FDD">
        <w:t xml:space="preserve">occupied when measurements are to be made, or when they shall be reported. </w:t>
      </w:r>
    </w:p>
    <w:p w14:paraId="308B818F" w14:textId="2EE8E1E0" w:rsidR="00094988" w:rsidRDefault="000051D8" w:rsidP="005242A9">
      <w:r>
        <w:lastRenderedPageBreak/>
        <w:t xml:space="preserve">When the channel is highly occupied both gNBs and UEs may have problem accessing the channel and communication quality may suffer. </w:t>
      </w:r>
    </w:p>
    <w:p w14:paraId="7BE45009" w14:textId="68D8DB42" w:rsidR="00094988" w:rsidRDefault="00094988" w:rsidP="00094988">
      <w:r>
        <w:t xml:space="preserve">From the WID </w:t>
      </w:r>
      <w:r>
        <w:fldChar w:fldCharType="begin"/>
      </w:r>
      <w:r>
        <w:instrText xml:space="preserve"> REF _Ref359373 \n \h </w:instrText>
      </w:r>
      <w:r>
        <w:fldChar w:fldCharType="separate"/>
      </w:r>
      <w:r w:rsidR="00B6445B">
        <w:t>[1]</w:t>
      </w:r>
      <w:r>
        <w:fldChar w:fldCharType="end"/>
      </w:r>
      <w:r>
        <w:t xml:space="preserve"> we note the following objectives: </w:t>
      </w:r>
    </w:p>
    <w:p w14:paraId="00DF62BC" w14:textId="77777777" w:rsidR="00094988" w:rsidRDefault="00094988" w:rsidP="00094988">
      <w:pPr>
        <w:pStyle w:val="B1"/>
        <w:rPr>
          <w:rFonts w:ascii="Times New Roman" w:hAnsi="Times New Roman"/>
          <w:lang w:eastAsia="ja-JP"/>
        </w:rPr>
      </w:pPr>
      <w:r>
        <w:rPr>
          <w:lang w:eastAsia="ja-JP"/>
        </w:rPr>
        <w:t>-</w:t>
      </w:r>
      <w:r>
        <w:rPr>
          <w:lang w:eastAsia="ja-JP"/>
        </w:rPr>
        <w:tab/>
        <w:t>Physical layer procedure(s) including [RAN1, RAN2]:</w:t>
      </w:r>
    </w:p>
    <w:p w14:paraId="14DB6459" w14:textId="77777777" w:rsidR="00094988" w:rsidRDefault="00094988" w:rsidP="00094988">
      <w:pPr>
        <w:pStyle w:val="B2"/>
        <w:rPr>
          <w:lang w:eastAsia="ja-JP"/>
        </w:rPr>
      </w:pPr>
      <w:r>
        <w:rPr>
          <w:lang w:eastAsia="ja-JP"/>
        </w:rPr>
        <w:t>-</w:t>
      </w:r>
      <w:r>
        <w:rPr>
          <w:lang w:eastAsia="ja-JP"/>
        </w:rPr>
        <w:tab/>
        <w:t>…</w:t>
      </w:r>
    </w:p>
    <w:p w14:paraId="3FA55797" w14:textId="77777777" w:rsidR="00094988" w:rsidRDefault="00094988" w:rsidP="00094988">
      <w:pPr>
        <w:pStyle w:val="B2"/>
        <w:rPr>
          <w:lang w:eastAsia="ja-JP"/>
        </w:rPr>
      </w:pPr>
      <w:r>
        <w:rPr>
          <w:lang w:eastAsia="ja-JP"/>
        </w:rPr>
        <w:t>-</w:t>
      </w:r>
      <w:r>
        <w:rPr>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 xml:space="preserve">identifying the set of RLM-RSs to measure, which set(s) are used for in-sync, out-of-sync evaluations, potential definition of a metric to accurately identify unsuccessful detection of RLM-RS. </w:t>
      </w:r>
      <w:r w:rsidRPr="005111B1">
        <w:rPr>
          <w:highlight w:val="yellow"/>
          <w:lang w:eastAsia="ja-JP"/>
        </w:rPr>
        <w:t>Support RSSI reporting. D</w:t>
      </w:r>
      <w:r w:rsidRPr="00EA61ED">
        <w:rPr>
          <w:highlight w:val="yellow"/>
          <w:lang w:eastAsia="ja-JP"/>
        </w:rPr>
        <w:t>efine a metric to measure channel occupancy or medium contention and its corresponding reporting. (RAN1/RAN2)</w:t>
      </w:r>
    </w:p>
    <w:p w14:paraId="372E078C" w14:textId="77777777" w:rsidR="00094988" w:rsidRDefault="00094988" w:rsidP="005242A9"/>
    <w:p w14:paraId="4F3CE02C" w14:textId="48F665C4" w:rsidR="00B50D88" w:rsidRDefault="00B50D88" w:rsidP="00B50D88">
      <w:pPr>
        <w:pStyle w:val="BodyText"/>
      </w:pPr>
      <w:r>
        <w:t xml:space="preserve">At the RAN1 Ad-Hoc in January there were proposals </w:t>
      </w:r>
      <w:r>
        <w:fldChar w:fldCharType="begin"/>
      </w:r>
      <w:r>
        <w:instrText xml:space="preserve"> REF _Ref396730 \n \h </w:instrText>
      </w:r>
      <w:r>
        <w:fldChar w:fldCharType="separate"/>
      </w:r>
      <w:r w:rsidR="00B6445B">
        <w:t>[3]</w:t>
      </w:r>
      <w:r>
        <w:fldChar w:fldCharType="end"/>
      </w:r>
      <w:r>
        <w:t xml:space="preserve"> for defining a channel occupancy or medium contention metric, but no agreements on these were made </w:t>
      </w:r>
      <w:r>
        <w:fldChar w:fldCharType="begin"/>
      </w:r>
      <w:r>
        <w:instrText xml:space="preserve"> REF _Ref396733 \n \h </w:instrText>
      </w:r>
      <w:r>
        <w:fldChar w:fldCharType="separate"/>
      </w:r>
      <w:r w:rsidR="00B6445B">
        <w:t>[4]</w:t>
      </w:r>
      <w:r>
        <w:fldChar w:fldCharType="end"/>
      </w:r>
      <w:r>
        <w:t xml:space="preserve">. In LTE LAA we had similar metrics for channel occupancy, where UEs can measure the average RSSI and the percentage of time that the RSSI is above a threshold. </w:t>
      </w:r>
    </w:p>
    <w:p w14:paraId="6D70D485" w14:textId="6FF71753" w:rsidR="00B50D88" w:rsidRDefault="00B50D88" w:rsidP="00B50D88">
      <w:pPr>
        <w:pStyle w:val="BodyText"/>
      </w:pPr>
      <w:r>
        <w:t>We can assume that in NR-U we will have an average RSSI measurement and probably another measurement that is similar to LTE LAA channel occupancy metric. The configuration and reporting of these can be the same as in LTE LAA independent of what metrics are chosen in RAN1.</w:t>
      </w:r>
      <w:r w:rsidR="006D5FC9">
        <w:t xml:space="preserve"> </w:t>
      </w:r>
    </w:p>
    <w:p w14:paraId="2616E861" w14:textId="6A481A5A" w:rsidR="005242A9" w:rsidRDefault="000E4B35" w:rsidP="005242A9">
      <w:r>
        <w:t xml:space="preserve">As stated in the above objective, </w:t>
      </w:r>
      <w:r w:rsidR="00B44DED">
        <w:t>RSSI and channel occupancy/medium contention should be added in the NR-U work item. Such metrics are already defined in LTE LAA and we assume RAN2 can use</w:t>
      </w:r>
      <w:r w:rsidR="0095531F">
        <w:t xml:space="preserve"> what is defined for LTE as baseline</w:t>
      </w:r>
      <w:r w:rsidR="00B44DED">
        <w:t>.</w:t>
      </w:r>
      <w:r w:rsidR="00094988">
        <w:t xml:space="preserve"> </w:t>
      </w:r>
    </w:p>
    <w:p w14:paraId="22D03CCC" w14:textId="4DC5BCE5" w:rsidR="00CA4DF3" w:rsidRDefault="00EB4B35" w:rsidP="00CA4DF3">
      <w:pPr>
        <w:pStyle w:val="Proposal"/>
      </w:pPr>
      <w:bookmarkStart w:id="20" w:name="_Toc347823621"/>
      <w:bookmarkStart w:id="21" w:name="_Toc347824073"/>
      <w:bookmarkStart w:id="22" w:name="_Toc347824246"/>
      <w:bookmarkStart w:id="23" w:name="_Toc399429"/>
      <w:bookmarkStart w:id="24" w:name="_Toc399447"/>
      <w:bookmarkStart w:id="25" w:name="_Toc399669"/>
      <w:bookmarkStart w:id="26" w:name="_Toc401822"/>
      <w:bookmarkStart w:id="27" w:name="_Toc402227"/>
      <w:bookmarkStart w:id="28" w:name="_Toc402365"/>
      <w:bookmarkStart w:id="29" w:name="_Toc1048807"/>
      <w:bookmarkStart w:id="30" w:name="_Toc1048834"/>
      <w:bookmarkStart w:id="31" w:name="_Toc1049755"/>
      <w:bookmarkStart w:id="32" w:name="_Toc1049768"/>
      <w:bookmarkStart w:id="33" w:name="_Toc1049841"/>
      <w:bookmarkStart w:id="34" w:name="_Toc1049888"/>
      <w:bookmarkStart w:id="35" w:name="_Toc1049893"/>
      <w:bookmarkStart w:id="36" w:name="_Toc1069028"/>
      <w:bookmarkStart w:id="37" w:name="_Toc1082803"/>
      <w:bookmarkStart w:id="38" w:name="_Toc1083177"/>
      <w:bookmarkStart w:id="39" w:name="_Toc1083247"/>
      <w:bookmarkStart w:id="40" w:name="_Toc4022593"/>
      <w:bookmarkStart w:id="41" w:name="_Toc4052551"/>
      <w:r>
        <w:t>Configuration and reporting of RSSI reuse the configuration and reporting from LTE LAA</w:t>
      </w:r>
      <w:r w:rsidR="00CA4DF3" w:rsidRPr="00A04F49">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CF77AD">
        <w:t xml:space="preserve"> </w:t>
      </w:r>
    </w:p>
    <w:p w14:paraId="1B3E6FD7" w14:textId="64580165" w:rsidR="006D695D" w:rsidRDefault="00F23831" w:rsidP="006D695D">
      <w:pPr>
        <w:pStyle w:val="Proposal"/>
      </w:pPr>
      <w:bookmarkStart w:id="42" w:name="_Toc1043889"/>
      <w:bookmarkStart w:id="43" w:name="_Toc1045970"/>
      <w:bookmarkStart w:id="44" w:name="_Toc1046855"/>
      <w:bookmarkStart w:id="45" w:name="_Toc1083178"/>
      <w:bookmarkStart w:id="46" w:name="_Toc1083248"/>
      <w:bookmarkStart w:id="47" w:name="_Toc4022594"/>
      <w:bookmarkStart w:id="48" w:name="_Toc4052552"/>
      <w:r>
        <w:t>The configuration and reporting of channel occupancy or medium contention measurements, if defined in RAN1, use a similar configuration and reporting as the channel occupancy in LTE LAA.</w:t>
      </w:r>
      <w:bookmarkEnd w:id="42"/>
      <w:bookmarkEnd w:id="43"/>
      <w:bookmarkEnd w:id="44"/>
      <w:bookmarkEnd w:id="45"/>
      <w:bookmarkEnd w:id="46"/>
      <w:bookmarkEnd w:id="47"/>
      <w:bookmarkEnd w:id="48"/>
      <w:r>
        <w:t xml:space="preserve"> </w:t>
      </w:r>
    </w:p>
    <w:p w14:paraId="4CABDF30" w14:textId="77777777" w:rsidR="007B62AA" w:rsidRDefault="007B62AA" w:rsidP="007B62AA">
      <w:pPr>
        <w:pStyle w:val="BodyText"/>
      </w:pPr>
      <w:r>
        <w:t xml:space="preserve">Further what is special in NR-U is that the UEs may have to perform listen-before-talk, LBT, to access the channel. It may be beneficial for the gNB to know the LBT situation at the UEs to enable handling of resources, for example what carriers users shall camp on or be connected to, and which to use for carrier aggregation or dual connectivity. </w:t>
      </w:r>
    </w:p>
    <w:p w14:paraId="1A77E750" w14:textId="3A769F6C" w:rsidR="001E2903" w:rsidRDefault="003949D0" w:rsidP="001E2903">
      <w:pPr>
        <w:pStyle w:val="Observation"/>
      </w:pPr>
      <w:bookmarkStart w:id="49" w:name="_Toc1083174"/>
      <w:bookmarkStart w:id="50" w:name="_Toc1083244"/>
      <w:bookmarkStart w:id="51" w:name="_Toc4022587"/>
      <w:bookmarkStart w:id="52" w:name="_Toc4052546"/>
      <w:r w:rsidRPr="003949D0">
        <w:t>UE measurements of LBT will be beneficial for gNB resource management</w:t>
      </w:r>
      <w:r w:rsidR="001E2903">
        <w:t>.</w:t>
      </w:r>
      <w:bookmarkEnd w:id="49"/>
      <w:bookmarkEnd w:id="50"/>
      <w:bookmarkEnd w:id="51"/>
      <w:bookmarkEnd w:id="52"/>
      <w:r w:rsidR="001E2903">
        <w:t xml:space="preserve"> </w:t>
      </w:r>
    </w:p>
    <w:p w14:paraId="1F8A3843" w14:textId="5478CDFF" w:rsidR="004500F4" w:rsidRDefault="005C7E92" w:rsidP="004500F4">
      <w:pPr>
        <w:pStyle w:val="Proposal"/>
      </w:pPr>
      <w:bookmarkStart w:id="53" w:name="_Toc4022595"/>
      <w:bookmarkStart w:id="54" w:name="_Toc4052553"/>
      <w:r>
        <w:t>UL LBT failure</w:t>
      </w:r>
      <w:r w:rsidR="008A0064">
        <w:t xml:space="preserve"> stati</w:t>
      </w:r>
      <w:r w:rsidR="00F36C5E">
        <w:t>stics</w:t>
      </w:r>
      <w:r>
        <w:t xml:space="preserve"> shall be </w:t>
      </w:r>
      <w:r w:rsidR="00F36C5E">
        <w:t>reported to gNB</w:t>
      </w:r>
      <w:r w:rsidR="005F3DBB">
        <w:t>, on demand or periodic</w:t>
      </w:r>
      <w:r w:rsidR="004500F4" w:rsidRPr="00A04F49">
        <w:t>.</w:t>
      </w:r>
      <w:bookmarkEnd w:id="53"/>
      <w:bookmarkEnd w:id="54"/>
      <w:r w:rsidR="004500F4">
        <w:t xml:space="preserve"> </w:t>
      </w:r>
    </w:p>
    <w:p w14:paraId="24275AEC" w14:textId="64FF20F1" w:rsidR="005242A9" w:rsidRDefault="005242A9" w:rsidP="00E8458E">
      <w:pPr>
        <w:pStyle w:val="Heading2"/>
      </w:pPr>
      <w:r>
        <w:t>Mobility procedures and triggers when control plane signalling is subject to LBT</w:t>
      </w:r>
    </w:p>
    <w:p w14:paraId="607EF782" w14:textId="4AA7FC41" w:rsidR="003D0F9B" w:rsidRDefault="003D0F9B" w:rsidP="005242A9">
      <w:r>
        <w:t>One way to avoid signalling when the channel is</w:t>
      </w:r>
      <w:r w:rsidR="007E5EFB">
        <w:t xml:space="preserve"> heavily occupied is to have </w:t>
      </w:r>
      <w:r w:rsidR="003E147F">
        <w:t xml:space="preserve">a </w:t>
      </w:r>
      <w:r w:rsidR="007E5EFB">
        <w:t xml:space="preserve">lower threshold for reporting measurements </w:t>
      </w:r>
      <w:r w:rsidR="003E147F">
        <w:t>(</w:t>
      </w:r>
      <w:r w:rsidR="007E5EFB">
        <w:t xml:space="preserve">measurements as mentioned in </w:t>
      </w:r>
      <w:r w:rsidR="007E5EFB">
        <w:fldChar w:fldCharType="begin"/>
      </w:r>
      <w:r w:rsidR="007E5EFB">
        <w:instrText xml:space="preserve"> REF _Ref401573 \r \h </w:instrText>
      </w:r>
      <w:r w:rsidR="007E5EFB">
        <w:fldChar w:fldCharType="separate"/>
      </w:r>
      <w:r w:rsidR="00B6445B">
        <w:t>2.2</w:t>
      </w:r>
      <w:r w:rsidR="007E5EFB">
        <w:fldChar w:fldCharType="end"/>
      </w:r>
      <w:r w:rsidR="007E5EFB">
        <w:t xml:space="preserve"> or other traditional handover measurements</w:t>
      </w:r>
      <w:r w:rsidR="003E147F">
        <w:t>)</w:t>
      </w:r>
      <w:r w:rsidR="007E5EFB">
        <w:t xml:space="preserve"> then the gNB may prepare a different cell for the UE and send the configuration to the UE with instructions to execute the handover only if </w:t>
      </w:r>
      <w:r w:rsidR="00116574">
        <w:t xml:space="preserve">the </w:t>
      </w:r>
      <w:r w:rsidR="007E5EFB">
        <w:t xml:space="preserve">measurement get worse. That is, a delayed conditional handover execution that is triggered by </w:t>
      </w:r>
      <w:r w:rsidR="00C37A3B">
        <w:t xml:space="preserve">RSSI or </w:t>
      </w:r>
      <w:r w:rsidR="007E5EFB">
        <w:t>channel occupancy</w:t>
      </w:r>
      <w:r w:rsidR="00FE0339">
        <w:t xml:space="preserve"> </w:t>
      </w:r>
      <w:r w:rsidR="00B13868">
        <w:t>is beneficial for NR-U</w:t>
      </w:r>
      <w:r w:rsidR="007E5EFB">
        <w:t xml:space="preserve">. </w:t>
      </w:r>
    </w:p>
    <w:p w14:paraId="4546A32F" w14:textId="0957F864" w:rsidR="00C82B32" w:rsidRPr="00CE0424" w:rsidRDefault="00DD2C21" w:rsidP="00C82B32">
      <w:pPr>
        <w:pStyle w:val="Observation"/>
      </w:pPr>
      <w:bookmarkStart w:id="55" w:name="_Toc1048804"/>
      <w:bookmarkStart w:id="56" w:name="_Toc1048832"/>
      <w:bookmarkStart w:id="57" w:name="_Toc1049753"/>
      <w:bookmarkStart w:id="58" w:name="_Toc1049766"/>
      <w:bookmarkStart w:id="59" w:name="_Toc1049839"/>
      <w:bookmarkStart w:id="60" w:name="_Toc1049886"/>
      <w:bookmarkStart w:id="61" w:name="_Toc1049891"/>
      <w:bookmarkStart w:id="62" w:name="_Toc1069026"/>
      <w:bookmarkStart w:id="63" w:name="_Toc1082801"/>
      <w:bookmarkStart w:id="64" w:name="_Toc1083175"/>
      <w:bookmarkStart w:id="65" w:name="_Toc1083245"/>
      <w:bookmarkStart w:id="66" w:name="_Toc4022588"/>
      <w:bookmarkStart w:id="67" w:name="_Toc4052547"/>
      <w:r>
        <w:t xml:space="preserve">Conditional </w:t>
      </w:r>
      <w:r w:rsidR="00D44CC1">
        <w:t xml:space="preserve">handover is </w:t>
      </w:r>
      <w:r>
        <w:t xml:space="preserve">especially </w:t>
      </w:r>
      <w:r w:rsidR="00D44CC1">
        <w:t xml:space="preserve">beneficial in NR-U to </w:t>
      </w:r>
      <w:r w:rsidR="00D73458">
        <w:t xml:space="preserve">decrease </w:t>
      </w:r>
      <w:r w:rsidR="00A07A7A">
        <w:t xml:space="preserve">the need for critical RRC </w:t>
      </w:r>
      <w:r w:rsidR="00D44CC1">
        <w:t xml:space="preserve">signalling </w:t>
      </w:r>
      <w:r w:rsidR="00A07A7A">
        <w:t>over a highly congested channel</w:t>
      </w:r>
      <w:r w:rsidR="00C82B32">
        <w:t>.</w:t>
      </w:r>
      <w:bookmarkEnd w:id="55"/>
      <w:bookmarkEnd w:id="56"/>
      <w:bookmarkEnd w:id="57"/>
      <w:bookmarkEnd w:id="58"/>
      <w:bookmarkEnd w:id="59"/>
      <w:bookmarkEnd w:id="60"/>
      <w:bookmarkEnd w:id="61"/>
      <w:bookmarkEnd w:id="62"/>
      <w:bookmarkEnd w:id="63"/>
      <w:bookmarkEnd w:id="64"/>
      <w:bookmarkEnd w:id="65"/>
      <w:bookmarkEnd w:id="66"/>
      <w:bookmarkEnd w:id="67"/>
      <w:r w:rsidR="00D73458">
        <w:t xml:space="preserve"> </w:t>
      </w:r>
    </w:p>
    <w:p w14:paraId="6B22E4F7" w14:textId="2D7347B7" w:rsidR="003D0F9B" w:rsidRPr="00A04F49" w:rsidRDefault="003D0F9B" w:rsidP="003D0F9B">
      <w:pPr>
        <w:pStyle w:val="Proposal"/>
      </w:pPr>
      <w:bookmarkStart w:id="68" w:name="_Toc399430"/>
      <w:bookmarkStart w:id="69" w:name="_Toc399448"/>
      <w:bookmarkStart w:id="70" w:name="_Toc399670"/>
      <w:bookmarkStart w:id="71" w:name="_Toc401823"/>
      <w:bookmarkStart w:id="72" w:name="_Toc402228"/>
      <w:bookmarkStart w:id="73" w:name="_Toc402366"/>
      <w:bookmarkStart w:id="74" w:name="_Toc1048808"/>
      <w:bookmarkStart w:id="75" w:name="_Toc1048835"/>
      <w:bookmarkStart w:id="76" w:name="_Toc1049756"/>
      <w:bookmarkStart w:id="77" w:name="_Toc1049769"/>
      <w:bookmarkStart w:id="78" w:name="_Toc1049842"/>
      <w:bookmarkStart w:id="79" w:name="_Toc1049889"/>
      <w:bookmarkStart w:id="80" w:name="_Toc1049894"/>
      <w:bookmarkStart w:id="81" w:name="_Toc1069029"/>
      <w:bookmarkStart w:id="82" w:name="_Toc1082804"/>
      <w:bookmarkStart w:id="83" w:name="_Toc1083179"/>
      <w:bookmarkStart w:id="84" w:name="_Toc1083249"/>
      <w:bookmarkStart w:id="85" w:name="_Toc4022596"/>
      <w:bookmarkStart w:id="86" w:name="_Toc4052554"/>
      <w:r>
        <w:t xml:space="preserve">RSSI and channel occupancy </w:t>
      </w:r>
      <w:r w:rsidR="004220D8">
        <w:t xml:space="preserve">can be used as </w:t>
      </w:r>
      <w:r w:rsidR="00237AEB">
        <w:t>trigger</w:t>
      </w:r>
      <w:r w:rsidR="004220D8">
        <w:t>s for</w:t>
      </w:r>
      <w:r w:rsidR="00237AEB">
        <w:t xml:space="preserve"> </w:t>
      </w:r>
      <w:r>
        <w:t>conditional handover</w:t>
      </w:r>
      <w:r w:rsidRPr="00A04F49">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xml:space="preserve"> </w:t>
      </w:r>
    </w:p>
    <w:p w14:paraId="6E2FF3F7" w14:textId="5735576D" w:rsidR="001609D8" w:rsidRDefault="001609D8" w:rsidP="00E8458E">
      <w:pPr>
        <w:pStyle w:val="Heading2"/>
      </w:pPr>
      <w:r>
        <w:t>Idle and Inactive mode mobility</w:t>
      </w:r>
    </w:p>
    <w:p w14:paraId="31DB998F" w14:textId="7C259DE8" w:rsidR="001609D8" w:rsidRDefault="001609D8" w:rsidP="001609D8">
      <w:pPr>
        <w:pStyle w:val="BodyText"/>
      </w:pPr>
      <w:r>
        <w:t xml:space="preserve">The idle and inactive mode mobility is supported on the licensed carriers for non-standalone Scenario A, B and E. </w:t>
      </w:r>
    </w:p>
    <w:p w14:paraId="61F768D2" w14:textId="514947D0" w:rsidR="00C944D4" w:rsidRDefault="00CC1E93" w:rsidP="001609D8">
      <w:pPr>
        <w:pStyle w:val="BodyText"/>
      </w:pPr>
      <w:r>
        <w:t>Thus</w:t>
      </w:r>
      <w:r w:rsidR="00C944D4">
        <w:t>,</w:t>
      </w:r>
      <w:r>
        <w:t xml:space="preserve"> here we only consider the</w:t>
      </w:r>
      <w:r w:rsidR="001609D8">
        <w:t xml:space="preserve"> standalone scenarios C and D</w:t>
      </w:r>
      <w:r w:rsidR="00C944D4">
        <w:t xml:space="preserve"> where</w:t>
      </w:r>
      <w:r w:rsidR="001609D8">
        <w:t xml:space="preserve"> the UE will camp on an NR-U cell</w:t>
      </w:r>
      <w:r w:rsidR="00C944D4">
        <w:t xml:space="preserve">. </w:t>
      </w:r>
    </w:p>
    <w:p w14:paraId="6CB55188" w14:textId="747721C2" w:rsidR="00984180" w:rsidRDefault="002967A4" w:rsidP="001609D8">
      <w:pPr>
        <w:pStyle w:val="BodyText"/>
      </w:pPr>
      <w:r>
        <w:t>The UEs must be provided with configuration</w:t>
      </w:r>
      <w:r w:rsidR="00A65497">
        <w:t xml:space="preserve"> of the</w:t>
      </w:r>
      <w:r w:rsidR="00213AB9">
        <w:t xml:space="preserve"> signals to measure on</w:t>
      </w:r>
      <w:r w:rsidR="00BC7306">
        <w:t xml:space="preserve">, </w:t>
      </w:r>
      <w:r w:rsidR="004B73D9">
        <w:t xml:space="preserve">and </w:t>
      </w:r>
      <w:r w:rsidR="00BC7306">
        <w:t xml:space="preserve">as RAN1 </w:t>
      </w:r>
      <w:r w:rsidR="004B73D9">
        <w:t xml:space="preserve">have not decided </w:t>
      </w:r>
      <w:r w:rsidR="00984180">
        <w:t>on some DRS signal, we must wait for their progress on this</w:t>
      </w:r>
      <w:r w:rsidR="00952872">
        <w:t xml:space="preserve"> as noted in proposal 1 above</w:t>
      </w:r>
      <w:r w:rsidR="00984180">
        <w:t>. The same is tru</w:t>
      </w:r>
      <w:r w:rsidR="00645149">
        <w:t>e for the cell quality derivation</w:t>
      </w:r>
      <w:r w:rsidR="00927944">
        <w:t xml:space="preserve"> and </w:t>
      </w:r>
      <w:r w:rsidR="00645149">
        <w:t xml:space="preserve">ranking </w:t>
      </w:r>
      <w:r w:rsidR="00927944">
        <w:t xml:space="preserve">as well as for cell (re)selection criteria. </w:t>
      </w:r>
      <w:r w:rsidR="004E6A10">
        <w:t xml:space="preserve">This was briefly discussed at RAN2#105 </w:t>
      </w:r>
      <w:r w:rsidR="004E6A10">
        <w:fldChar w:fldCharType="begin"/>
      </w:r>
      <w:r w:rsidR="004E6A10">
        <w:instrText xml:space="preserve"> REF _Ref4022913 \n \h </w:instrText>
      </w:r>
      <w:r w:rsidR="004E6A10">
        <w:fldChar w:fldCharType="separate"/>
      </w:r>
      <w:r w:rsidR="00B6445B">
        <w:t>[5]</w:t>
      </w:r>
      <w:r w:rsidR="004E6A10">
        <w:fldChar w:fldCharType="end"/>
      </w:r>
      <w:r w:rsidR="004E6A10">
        <w:t>.</w:t>
      </w:r>
    </w:p>
    <w:p w14:paraId="09C9B656" w14:textId="440E7E6B" w:rsidR="00D44CA3" w:rsidRDefault="00EC29CD" w:rsidP="00942C7F">
      <w:pPr>
        <w:pStyle w:val="Observation"/>
      </w:pPr>
      <w:bookmarkStart w:id="87" w:name="_Toc4022589"/>
      <w:bookmarkStart w:id="88" w:name="_Toc4052548"/>
      <w:r>
        <w:t xml:space="preserve">Reachability, power consumption and delay </w:t>
      </w:r>
      <w:r w:rsidR="00911A8F">
        <w:t>of accessing the system are critical areas for the cell (re)selection in NR-U</w:t>
      </w:r>
      <w:r w:rsidR="00A920D0">
        <w:t xml:space="preserve"> where cells might belong to </w:t>
      </w:r>
      <w:r w:rsidR="00D148B5">
        <w:t>different non-allowed PLMNs</w:t>
      </w:r>
      <w:r w:rsidR="00911A8F">
        <w:t>.</w:t>
      </w:r>
      <w:bookmarkEnd w:id="87"/>
      <w:bookmarkEnd w:id="88"/>
      <w:r w:rsidR="00D44CA3">
        <w:t xml:space="preserve"> </w:t>
      </w:r>
    </w:p>
    <w:p w14:paraId="29B5CDDA" w14:textId="2268D1ED" w:rsidR="00942C7F" w:rsidRPr="00CE0424" w:rsidRDefault="002A3B1B" w:rsidP="00942C7F">
      <w:pPr>
        <w:pStyle w:val="Observation"/>
      </w:pPr>
      <w:bookmarkStart w:id="89" w:name="_Toc4022590"/>
      <w:bookmarkStart w:id="90" w:name="_Toc4052549"/>
      <w:r>
        <w:t>Barring of all cells on a carrier</w:t>
      </w:r>
      <w:r w:rsidR="00F1431E">
        <w:t xml:space="preserve"> might exclude good </w:t>
      </w:r>
      <w:r w:rsidR="00A920D0">
        <w:t xml:space="preserve">enough </w:t>
      </w:r>
      <w:r w:rsidR="00F1431E">
        <w:t xml:space="preserve">cells </w:t>
      </w:r>
      <w:r w:rsidR="00A920D0">
        <w:t xml:space="preserve">with </w:t>
      </w:r>
      <w:r w:rsidR="00D148B5">
        <w:t>an allowed</w:t>
      </w:r>
      <w:r w:rsidR="007D3E72">
        <w:t xml:space="preserve"> </w:t>
      </w:r>
      <w:r w:rsidR="00A920D0">
        <w:t>PLMN</w:t>
      </w:r>
      <w:r w:rsidR="007D3E72">
        <w:t xml:space="preserve"> in NR-U</w:t>
      </w:r>
      <w:r w:rsidR="00A920D0">
        <w:t>.</w:t>
      </w:r>
      <w:bookmarkEnd w:id="89"/>
      <w:bookmarkEnd w:id="90"/>
      <w:r w:rsidR="00942C7F">
        <w:t xml:space="preserve"> </w:t>
      </w:r>
    </w:p>
    <w:p w14:paraId="3379B34D" w14:textId="63CEDC5E" w:rsidR="00461EFE" w:rsidRDefault="00461EFE" w:rsidP="001609D8">
      <w:pPr>
        <w:pStyle w:val="BodyText"/>
      </w:pPr>
      <w:r>
        <w:t>These areas need further studies.</w:t>
      </w:r>
    </w:p>
    <w:p w14:paraId="1F02D092" w14:textId="7AC07239" w:rsidR="00461EFE" w:rsidRDefault="007839C6" w:rsidP="00461EFE">
      <w:pPr>
        <w:pStyle w:val="Proposal"/>
      </w:pPr>
      <w:bookmarkStart w:id="91" w:name="_Toc1049757"/>
      <w:bookmarkStart w:id="92" w:name="_Toc1049770"/>
      <w:bookmarkStart w:id="93" w:name="_Toc1049843"/>
      <w:bookmarkStart w:id="94" w:name="_Toc1049890"/>
      <w:bookmarkStart w:id="95" w:name="_Toc1049895"/>
      <w:bookmarkStart w:id="96" w:name="_Toc1069030"/>
      <w:bookmarkStart w:id="97" w:name="_Toc1082805"/>
      <w:bookmarkStart w:id="98" w:name="_Toc1083180"/>
      <w:bookmarkStart w:id="99" w:name="_Toc1083250"/>
      <w:bookmarkStart w:id="100" w:name="_Toc4022597"/>
      <w:bookmarkStart w:id="101" w:name="_Toc4052555"/>
      <w:r>
        <w:t xml:space="preserve">RAN2 to study </w:t>
      </w:r>
      <w:r w:rsidR="00952872">
        <w:t xml:space="preserve">if </w:t>
      </w:r>
      <w:r>
        <w:t xml:space="preserve">changes </w:t>
      </w:r>
      <w:r w:rsidR="00952872">
        <w:t xml:space="preserve">are </w:t>
      </w:r>
      <w:r>
        <w:t xml:space="preserve">need for cell quality </w:t>
      </w:r>
      <w:r w:rsidR="00952872">
        <w:t>derivation</w:t>
      </w:r>
      <w:r w:rsidR="00C365D5">
        <w:t xml:space="preserve">, cell quality </w:t>
      </w:r>
      <w:r w:rsidR="00952872">
        <w:t xml:space="preserve">ranking </w:t>
      </w:r>
      <w:r w:rsidR="00C365D5">
        <w:t>and cell (re)selection criteria</w:t>
      </w:r>
      <w:r w:rsidR="00461EFE" w:rsidRPr="00A04F49">
        <w:t>.</w:t>
      </w:r>
      <w:bookmarkEnd w:id="91"/>
      <w:bookmarkEnd w:id="92"/>
      <w:bookmarkEnd w:id="93"/>
      <w:bookmarkEnd w:id="94"/>
      <w:bookmarkEnd w:id="95"/>
      <w:bookmarkEnd w:id="96"/>
      <w:bookmarkEnd w:id="97"/>
      <w:bookmarkEnd w:id="98"/>
      <w:bookmarkEnd w:id="99"/>
      <w:bookmarkEnd w:id="100"/>
      <w:bookmarkEnd w:id="101"/>
      <w:r>
        <w:t xml:space="preserve"> </w:t>
      </w:r>
    </w:p>
    <w:p w14:paraId="43EADC7C" w14:textId="07CB4C49" w:rsidR="00F66192" w:rsidRPr="00A04F49" w:rsidRDefault="00F66192" w:rsidP="00461EFE">
      <w:pPr>
        <w:pStyle w:val="Proposal"/>
      </w:pPr>
      <w:bookmarkStart w:id="102" w:name="_Toc4022598"/>
      <w:bookmarkStart w:id="103" w:name="_Toc4052556"/>
      <w:r>
        <w:t xml:space="preserve">RAN2 to study </w:t>
      </w:r>
      <w:r w:rsidR="00A43312">
        <w:t xml:space="preserve">cell barring, cell black listing and white listing and adapt </w:t>
      </w:r>
      <w:r w:rsidR="00D60693">
        <w:t>Rel 15 to NR-U requirements.</w:t>
      </w:r>
      <w:bookmarkEnd w:id="102"/>
      <w:bookmarkEnd w:id="103"/>
      <w:r w:rsidR="00D60693">
        <w:t xml:space="preserve"> </w:t>
      </w:r>
    </w:p>
    <w:p w14:paraId="33546AE2" w14:textId="77777777" w:rsidR="00C01F33" w:rsidRPr="00CE0424" w:rsidRDefault="00C01F33" w:rsidP="00CE0424">
      <w:pPr>
        <w:pStyle w:val="Heading1"/>
      </w:pPr>
      <w:r w:rsidRPr="00CE0424">
        <w:t>Conclusion</w:t>
      </w:r>
    </w:p>
    <w:p w14:paraId="7940BB9C" w14:textId="38F37B23" w:rsidR="006F1E1C"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445B">
        <w:t>2</w:t>
      </w:r>
      <w:r w:rsidRPr="00CE0424">
        <w:rPr>
          <w:highlight w:val="cyan"/>
        </w:rPr>
        <w:fldChar w:fldCharType="end"/>
      </w:r>
      <w:r w:rsidRPr="00CE0424">
        <w:t xml:space="preserve"> we </w:t>
      </w:r>
      <w:r>
        <w:t>made the following observations</w:t>
      </w:r>
      <w:r w:rsidRPr="00CE0424">
        <w:t>:</w:t>
      </w:r>
    </w:p>
    <w:p w14:paraId="61A47237" w14:textId="77777777" w:rsidR="00B6445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6445B">
        <w:t>Observation 1</w:t>
      </w:r>
      <w:r w:rsidR="00B6445B">
        <w:rPr>
          <w:rFonts w:asciiTheme="minorHAnsi" w:eastAsiaTheme="minorEastAsia" w:hAnsiTheme="minorHAnsi" w:cstheme="minorBidi"/>
          <w:b w:val="0"/>
          <w:sz w:val="22"/>
          <w:lang w:eastAsia="en-US"/>
        </w:rPr>
        <w:tab/>
      </w:r>
      <w:r w:rsidR="00B6445B">
        <w:t>UE measurements of LBT will be beneficial for gNB resource management.</w:t>
      </w:r>
    </w:p>
    <w:p w14:paraId="7CBE94B3" w14:textId="77777777" w:rsidR="00B6445B" w:rsidRDefault="00B6445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Conditional handover is especially beneficial in NR-U to decrease the need for critical RRC signalling over a highly congested channel.</w:t>
      </w:r>
    </w:p>
    <w:p w14:paraId="365B865F" w14:textId="77777777" w:rsidR="00B6445B" w:rsidRDefault="00B6445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Reachability, power consumption and delay of accessing the system are critical areas for the cell (re)selection in NR-U where cells might belong to different non-allowed PLMNs.</w:t>
      </w:r>
    </w:p>
    <w:p w14:paraId="703EC15A" w14:textId="77777777" w:rsidR="00B6445B" w:rsidRDefault="00B6445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Barring of all cells on a carrier might exclude good enough cells with an allowed PLMN in NR-U.</w:t>
      </w:r>
    </w:p>
    <w:p w14:paraId="57CED8B9" w14:textId="6CFA83F0" w:rsidR="008E065E" w:rsidRDefault="008E065E" w:rsidP="008E065E">
      <w:pPr>
        <w:pStyle w:val="BodyText"/>
        <w:rPr>
          <w:b/>
          <w:bCs/>
        </w:rPr>
      </w:pPr>
      <w:r>
        <w:rPr>
          <w:b/>
          <w:bCs/>
        </w:rPr>
        <w:fldChar w:fldCharType="end"/>
      </w:r>
    </w:p>
    <w:p w14:paraId="53198F33" w14:textId="54389E0F" w:rsidR="0008793E"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445B">
        <w:t>2</w:t>
      </w:r>
      <w:r w:rsidRPr="00CE0424">
        <w:rPr>
          <w:highlight w:val="cyan"/>
        </w:rPr>
        <w:fldChar w:fldCharType="end"/>
      </w:r>
      <w:r w:rsidRPr="00CE0424">
        <w:t xml:space="preserve"> we propose the following:</w:t>
      </w:r>
    </w:p>
    <w:p w14:paraId="7F9393CA" w14:textId="77777777" w:rsidR="00B6445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6445B">
        <w:t>Proposal 1</w:t>
      </w:r>
      <w:r w:rsidR="00B6445B">
        <w:rPr>
          <w:rFonts w:asciiTheme="minorHAnsi" w:eastAsiaTheme="minorEastAsia" w:hAnsiTheme="minorHAnsi" w:cstheme="minorBidi"/>
          <w:b w:val="0"/>
          <w:sz w:val="22"/>
          <w:lang w:eastAsia="en-US"/>
        </w:rPr>
        <w:tab/>
      </w:r>
      <w:r w:rsidR="00B6445B">
        <w:t>Wait for further RAN1 progress on the NR-U DRS before deciding on additional measures to handle missing reference signals due to failed LBT.</w:t>
      </w:r>
    </w:p>
    <w:p w14:paraId="5B99B979" w14:textId="77777777" w:rsidR="00B6445B" w:rsidRDefault="00B6445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Configuration and reporting of RSSI reuse the configuration and reporting from LTE LAA.</w:t>
      </w:r>
    </w:p>
    <w:p w14:paraId="336D31FF" w14:textId="77777777" w:rsidR="00B6445B" w:rsidRDefault="00B6445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configuration and reporting of channel occupancy or medium contention measurements, if defined in RAN1, use a similar configuration and reporting as the channel occupancy in LTE LAA.</w:t>
      </w:r>
    </w:p>
    <w:p w14:paraId="7F23D1B5" w14:textId="77777777" w:rsidR="00B6445B" w:rsidRDefault="00B6445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UL LBT failure statistics shall be reported to gNB, on demand or periodic.</w:t>
      </w:r>
    </w:p>
    <w:p w14:paraId="1C31174D" w14:textId="77777777" w:rsidR="00B6445B" w:rsidRDefault="00B6445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RSSI and channel occupancy can be used as triggers for conditional handover.</w:t>
      </w:r>
    </w:p>
    <w:p w14:paraId="225792E8" w14:textId="77777777" w:rsidR="00B6445B" w:rsidRDefault="00B6445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RAN2 to study if changes are need for cell quality derivation, cell quality ranking and cell (re)selection criteria.</w:t>
      </w:r>
    </w:p>
    <w:p w14:paraId="14AB8F06" w14:textId="77777777" w:rsidR="00B6445B" w:rsidRDefault="00B6445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RAN2 to study cell barring, cell black listing and white listing and adapt Rel 15 to NR-U requirements.</w:t>
      </w:r>
    </w:p>
    <w:p w14:paraId="7CE335BE" w14:textId="27F510D5" w:rsidR="008E065E" w:rsidRPr="00CE0424" w:rsidRDefault="008E065E" w:rsidP="008E065E">
      <w:pPr>
        <w:rPr>
          <w:b/>
          <w:bCs/>
        </w:rPr>
      </w:pPr>
      <w:r>
        <w:rPr>
          <w:b/>
          <w:bCs/>
        </w:rPr>
        <w:fldChar w:fldCharType="end"/>
      </w:r>
    </w:p>
    <w:p w14:paraId="13761BE8" w14:textId="77777777" w:rsidR="00F507D1" w:rsidRPr="00CE0424" w:rsidRDefault="00F507D1" w:rsidP="00CE0424">
      <w:pPr>
        <w:pStyle w:val="Heading1"/>
      </w:pPr>
      <w:bookmarkStart w:id="104" w:name="_In-sequence_SDU_delivery"/>
      <w:bookmarkEnd w:id="104"/>
      <w:r w:rsidRPr="00CE0424">
        <w:t>References</w:t>
      </w:r>
    </w:p>
    <w:p w14:paraId="35196089" w14:textId="1F3A8C1D" w:rsidR="005F3025" w:rsidRPr="00CE0424" w:rsidRDefault="00E047D3" w:rsidP="00311702">
      <w:pPr>
        <w:pStyle w:val="Reference"/>
      </w:pPr>
      <w:bookmarkStart w:id="105" w:name="_Ref359373"/>
      <w:bookmarkStart w:id="106" w:name="_Ref174151459"/>
      <w:bookmarkStart w:id="107" w:name="_Ref189809556"/>
      <w:r w:rsidRPr="00E047D3">
        <w:t xml:space="preserve">RP-182878, </w:t>
      </w:r>
      <w:r>
        <w:t>“</w:t>
      </w:r>
      <w:r w:rsidRPr="00E047D3">
        <w:t>New WID on NR-based Access to Unlicensed Spectrum</w:t>
      </w:r>
      <w:r>
        <w:t>”</w:t>
      </w:r>
      <w:r w:rsidRPr="00E047D3">
        <w:t>, Qualcomm Inc</w:t>
      </w:r>
      <w:r>
        <w:t>,</w:t>
      </w:r>
      <w:r w:rsidR="00CB2B28">
        <w:t xml:space="preserve"> RAN</w:t>
      </w:r>
      <w:r w:rsidR="00A25E4A">
        <w:t>#</w:t>
      </w:r>
      <w:r w:rsidR="00CB2B28">
        <w:t>82, 2018 12 10</w:t>
      </w:r>
      <w:bookmarkEnd w:id="105"/>
    </w:p>
    <w:p w14:paraId="299925A9" w14:textId="6C019C8D" w:rsidR="005F3025" w:rsidRDefault="00DB6398" w:rsidP="00311702">
      <w:pPr>
        <w:pStyle w:val="Reference"/>
      </w:pPr>
      <w:bookmarkStart w:id="108" w:name="_Ref376881"/>
      <w:r>
        <w:t>TR 38.889, “</w:t>
      </w:r>
      <w:r w:rsidRPr="00DB6398">
        <w:t>Study on NR-based access to unlicensed spectrum</w:t>
      </w:r>
      <w:r>
        <w:t>”, RAN1, v16.0.0, 2018-12</w:t>
      </w:r>
      <w:bookmarkEnd w:id="108"/>
    </w:p>
    <w:p w14:paraId="573821C5" w14:textId="77777777" w:rsidR="00767459" w:rsidRDefault="00767459" w:rsidP="00767459">
      <w:pPr>
        <w:pStyle w:val="Reference"/>
      </w:pPr>
      <w:bookmarkStart w:id="109" w:name="_Ref396730"/>
      <w:bookmarkStart w:id="110" w:name="_Ref400664"/>
      <w:r w:rsidRPr="001B6FA8">
        <w:t>R1-1901347</w:t>
      </w:r>
      <w:r>
        <w:t>,</w:t>
      </w:r>
      <w:r w:rsidRPr="001B6FA8">
        <w:t xml:space="preserve"> </w:t>
      </w:r>
      <w:r>
        <w:t>“</w:t>
      </w:r>
      <w:r w:rsidRPr="001B6FA8">
        <w:t>Feature lead summary #1 of Enhancements to initial access procedure</w:t>
      </w:r>
      <w:r>
        <w:t>”, RAN1, RAN1 Ad-Hoc 1901, 2019 01 21</w:t>
      </w:r>
      <w:bookmarkEnd w:id="109"/>
    </w:p>
    <w:p w14:paraId="1F74573D" w14:textId="7AF2C993" w:rsidR="00767459" w:rsidRDefault="00767459" w:rsidP="00767459">
      <w:pPr>
        <w:pStyle w:val="Reference"/>
      </w:pPr>
      <w:bookmarkStart w:id="111" w:name="_Ref396733"/>
      <w:r>
        <w:t>“</w:t>
      </w:r>
      <w:r w:rsidRPr="001B6FA8">
        <w:t>RAN1 Chairman’s Notes</w:t>
      </w:r>
      <w:r>
        <w:t>”, RAN1, RAN1 Ad-Hoc 1901, 2019-01</w:t>
      </w:r>
      <w:bookmarkEnd w:id="111"/>
    </w:p>
    <w:p w14:paraId="4F2BFE71" w14:textId="666A5E58" w:rsidR="004F4605" w:rsidRPr="00CE0424" w:rsidRDefault="00DE7744" w:rsidP="00767459">
      <w:pPr>
        <w:pStyle w:val="Reference"/>
      </w:pPr>
      <w:bookmarkStart w:id="112" w:name="_Ref4022913"/>
      <w:r w:rsidRPr="00DE7744">
        <w:t>R2-1902232</w:t>
      </w:r>
      <w:r>
        <w:t>, “</w:t>
      </w:r>
      <w:r w:rsidR="00EC5A6A" w:rsidRPr="00EC5A6A">
        <w:t>Report from session on NR UP, IAB WI, NR-U WI, NR IIoT SI</w:t>
      </w:r>
      <w:r>
        <w:t>”</w:t>
      </w:r>
      <w:r w:rsidR="00EC5A6A">
        <w:t>, Mediatek, RAN2#105</w:t>
      </w:r>
      <w:r w:rsidR="00BC4193">
        <w:t>, 2019-</w:t>
      </w:r>
      <w:r w:rsidR="007D0C52">
        <w:t>03-01</w:t>
      </w:r>
      <w:bookmarkEnd w:id="112"/>
    </w:p>
    <w:bookmarkEnd w:id="106"/>
    <w:bookmarkEnd w:id="107"/>
    <w:bookmarkEnd w:id="110"/>
    <w:p w14:paraId="73469F9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69E9C" w14:textId="77777777" w:rsidR="00FC2522" w:rsidRDefault="00FC2522">
      <w:r>
        <w:separator/>
      </w:r>
    </w:p>
  </w:endnote>
  <w:endnote w:type="continuationSeparator" w:id="0">
    <w:p w14:paraId="4A90D8CE" w14:textId="77777777" w:rsidR="00FC2522" w:rsidRDefault="00FC2522">
      <w:r>
        <w:continuationSeparator/>
      </w:r>
    </w:p>
  </w:endnote>
  <w:endnote w:type="continuationNotice" w:id="1">
    <w:p w14:paraId="1D0851D0" w14:textId="77777777" w:rsidR="00FC2522" w:rsidRDefault="00FC2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76AE5"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33FDC" w14:textId="77777777" w:rsidR="00FC2522" w:rsidRDefault="00FC2522">
      <w:r>
        <w:separator/>
      </w:r>
    </w:p>
  </w:footnote>
  <w:footnote w:type="continuationSeparator" w:id="0">
    <w:p w14:paraId="59431455" w14:textId="77777777" w:rsidR="00FC2522" w:rsidRDefault="00FC2522">
      <w:r>
        <w:continuationSeparator/>
      </w:r>
    </w:p>
  </w:footnote>
  <w:footnote w:type="continuationNotice" w:id="1">
    <w:p w14:paraId="46210249" w14:textId="77777777" w:rsidR="00FC2522" w:rsidRDefault="00FC2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B7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7A"/>
    <w:rsid w:val="000006E1"/>
    <w:rsid w:val="00002A37"/>
    <w:rsid w:val="000039F4"/>
    <w:rsid w:val="000051D8"/>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A03"/>
    <w:rsid w:val="0005606A"/>
    <w:rsid w:val="00057117"/>
    <w:rsid w:val="00060FD5"/>
    <w:rsid w:val="000616E7"/>
    <w:rsid w:val="0006487E"/>
    <w:rsid w:val="00064A6C"/>
    <w:rsid w:val="00065E1A"/>
    <w:rsid w:val="00074C8C"/>
    <w:rsid w:val="00077E5F"/>
    <w:rsid w:val="0008036A"/>
    <w:rsid w:val="00081AE6"/>
    <w:rsid w:val="000855EB"/>
    <w:rsid w:val="00085B52"/>
    <w:rsid w:val="000866F2"/>
    <w:rsid w:val="0008793E"/>
    <w:rsid w:val="0009009F"/>
    <w:rsid w:val="00091557"/>
    <w:rsid w:val="000924C1"/>
    <w:rsid w:val="000924F0"/>
    <w:rsid w:val="00093474"/>
    <w:rsid w:val="00094988"/>
    <w:rsid w:val="0009510F"/>
    <w:rsid w:val="000A1B7B"/>
    <w:rsid w:val="000A56F2"/>
    <w:rsid w:val="000A5750"/>
    <w:rsid w:val="000B2719"/>
    <w:rsid w:val="000B3A8F"/>
    <w:rsid w:val="000B4AB9"/>
    <w:rsid w:val="000B58C3"/>
    <w:rsid w:val="000B61E9"/>
    <w:rsid w:val="000C165A"/>
    <w:rsid w:val="000C2195"/>
    <w:rsid w:val="000C2E19"/>
    <w:rsid w:val="000D0D07"/>
    <w:rsid w:val="000D4797"/>
    <w:rsid w:val="000E0527"/>
    <w:rsid w:val="000E1E92"/>
    <w:rsid w:val="000E4B35"/>
    <w:rsid w:val="000F06D6"/>
    <w:rsid w:val="000F0EB1"/>
    <w:rsid w:val="000F1106"/>
    <w:rsid w:val="000F3BE9"/>
    <w:rsid w:val="000F3F6C"/>
    <w:rsid w:val="000F6DF3"/>
    <w:rsid w:val="001005FF"/>
    <w:rsid w:val="001020C4"/>
    <w:rsid w:val="00103CA8"/>
    <w:rsid w:val="001062FB"/>
    <w:rsid w:val="001063E6"/>
    <w:rsid w:val="00113CF4"/>
    <w:rsid w:val="001153EA"/>
    <w:rsid w:val="00115643"/>
    <w:rsid w:val="00116574"/>
    <w:rsid w:val="00116765"/>
    <w:rsid w:val="001219F5"/>
    <w:rsid w:val="00121A20"/>
    <w:rsid w:val="0012377F"/>
    <w:rsid w:val="00124299"/>
    <w:rsid w:val="00124314"/>
    <w:rsid w:val="00126B4A"/>
    <w:rsid w:val="00132FD0"/>
    <w:rsid w:val="001344C0"/>
    <w:rsid w:val="001346FA"/>
    <w:rsid w:val="00135252"/>
    <w:rsid w:val="00137AB5"/>
    <w:rsid w:val="00137F0B"/>
    <w:rsid w:val="00151E23"/>
    <w:rsid w:val="001526E0"/>
    <w:rsid w:val="001551B5"/>
    <w:rsid w:val="001609D8"/>
    <w:rsid w:val="001659C1"/>
    <w:rsid w:val="00173A8E"/>
    <w:rsid w:val="00177795"/>
    <w:rsid w:val="0018143F"/>
    <w:rsid w:val="00187277"/>
    <w:rsid w:val="00190AC1"/>
    <w:rsid w:val="0019341A"/>
    <w:rsid w:val="0019418C"/>
    <w:rsid w:val="00197DF9"/>
    <w:rsid w:val="001A1987"/>
    <w:rsid w:val="001A2564"/>
    <w:rsid w:val="001A6173"/>
    <w:rsid w:val="001A6CBA"/>
    <w:rsid w:val="001B0D97"/>
    <w:rsid w:val="001B4D4C"/>
    <w:rsid w:val="001B5A5D"/>
    <w:rsid w:val="001C1CE5"/>
    <w:rsid w:val="001C3D2A"/>
    <w:rsid w:val="001C4916"/>
    <w:rsid w:val="001C7608"/>
    <w:rsid w:val="001D51BA"/>
    <w:rsid w:val="001D6342"/>
    <w:rsid w:val="001D6D53"/>
    <w:rsid w:val="001E2903"/>
    <w:rsid w:val="001E58E2"/>
    <w:rsid w:val="001E7AED"/>
    <w:rsid w:val="001F3916"/>
    <w:rsid w:val="001F54C5"/>
    <w:rsid w:val="001F662C"/>
    <w:rsid w:val="001F7074"/>
    <w:rsid w:val="00200490"/>
    <w:rsid w:val="00201F3A"/>
    <w:rsid w:val="00203F96"/>
    <w:rsid w:val="002069B2"/>
    <w:rsid w:val="00207FA3"/>
    <w:rsid w:val="00212571"/>
    <w:rsid w:val="00213AB9"/>
    <w:rsid w:val="00214DA8"/>
    <w:rsid w:val="00215423"/>
    <w:rsid w:val="002158FA"/>
    <w:rsid w:val="00220600"/>
    <w:rsid w:val="002224DB"/>
    <w:rsid w:val="00223FCB"/>
    <w:rsid w:val="002242B7"/>
    <w:rsid w:val="002252C3"/>
    <w:rsid w:val="00225C54"/>
    <w:rsid w:val="00230765"/>
    <w:rsid w:val="002319E4"/>
    <w:rsid w:val="00235632"/>
    <w:rsid w:val="00235872"/>
    <w:rsid w:val="00237AEB"/>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2C1"/>
    <w:rsid w:val="00292EB7"/>
    <w:rsid w:val="00296227"/>
    <w:rsid w:val="002967A4"/>
    <w:rsid w:val="00296F44"/>
    <w:rsid w:val="0029777D"/>
    <w:rsid w:val="002A055E"/>
    <w:rsid w:val="002A1D4E"/>
    <w:rsid w:val="002A2869"/>
    <w:rsid w:val="002A3B1B"/>
    <w:rsid w:val="002A4B24"/>
    <w:rsid w:val="002B24D6"/>
    <w:rsid w:val="002C41E6"/>
    <w:rsid w:val="002D071A"/>
    <w:rsid w:val="002D34B2"/>
    <w:rsid w:val="002D7637"/>
    <w:rsid w:val="002E17F2"/>
    <w:rsid w:val="002E7CAE"/>
    <w:rsid w:val="002F2771"/>
    <w:rsid w:val="002F37A9"/>
    <w:rsid w:val="00301CE6"/>
    <w:rsid w:val="00301FDD"/>
    <w:rsid w:val="0030256B"/>
    <w:rsid w:val="0030501F"/>
    <w:rsid w:val="00305DAA"/>
    <w:rsid w:val="00307220"/>
    <w:rsid w:val="00307BA1"/>
    <w:rsid w:val="00311702"/>
    <w:rsid w:val="00311E82"/>
    <w:rsid w:val="00313FD6"/>
    <w:rsid w:val="003143BD"/>
    <w:rsid w:val="003151DA"/>
    <w:rsid w:val="003203ED"/>
    <w:rsid w:val="00322B45"/>
    <w:rsid w:val="00322C9F"/>
    <w:rsid w:val="00324D23"/>
    <w:rsid w:val="00325453"/>
    <w:rsid w:val="00331751"/>
    <w:rsid w:val="00334579"/>
    <w:rsid w:val="00335858"/>
    <w:rsid w:val="00336BDA"/>
    <w:rsid w:val="00342BD7"/>
    <w:rsid w:val="00343A07"/>
    <w:rsid w:val="00346DB5"/>
    <w:rsid w:val="003477B1"/>
    <w:rsid w:val="0035491B"/>
    <w:rsid w:val="00357380"/>
    <w:rsid w:val="003602D9"/>
    <w:rsid w:val="003604CE"/>
    <w:rsid w:val="00367BBB"/>
    <w:rsid w:val="00370E47"/>
    <w:rsid w:val="003742AC"/>
    <w:rsid w:val="00377CE1"/>
    <w:rsid w:val="00385BF0"/>
    <w:rsid w:val="003939FF"/>
    <w:rsid w:val="003949D0"/>
    <w:rsid w:val="003A2223"/>
    <w:rsid w:val="003A2A0F"/>
    <w:rsid w:val="003A45A1"/>
    <w:rsid w:val="003A5B0A"/>
    <w:rsid w:val="003A6BAC"/>
    <w:rsid w:val="003A7EF3"/>
    <w:rsid w:val="003B159C"/>
    <w:rsid w:val="003B1AC6"/>
    <w:rsid w:val="003B369F"/>
    <w:rsid w:val="003B36A3"/>
    <w:rsid w:val="003B460B"/>
    <w:rsid w:val="003B7FE5"/>
    <w:rsid w:val="003C11C8"/>
    <w:rsid w:val="003C2702"/>
    <w:rsid w:val="003C7806"/>
    <w:rsid w:val="003D0F9B"/>
    <w:rsid w:val="003D109F"/>
    <w:rsid w:val="003D2478"/>
    <w:rsid w:val="003D321B"/>
    <w:rsid w:val="003D3C45"/>
    <w:rsid w:val="003D5B1F"/>
    <w:rsid w:val="003E147F"/>
    <w:rsid w:val="003E15FA"/>
    <w:rsid w:val="003E55E4"/>
    <w:rsid w:val="003E74E3"/>
    <w:rsid w:val="003F05C7"/>
    <w:rsid w:val="003F2CD4"/>
    <w:rsid w:val="003F4F1E"/>
    <w:rsid w:val="003F6BBE"/>
    <w:rsid w:val="004000E8"/>
    <w:rsid w:val="00402E2B"/>
    <w:rsid w:val="0040512B"/>
    <w:rsid w:val="00405CA5"/>
    <w:rsid w:val="00407CD3"/>
    <w:rsid w:val="00410134"/>
    <w:rsid w:val="00410B72"/>
    <w:rsid w:val="00410F18"/>
    <w:rsid w:val="0041263E"/>
    <w:rsid w:val="00413AAC"/>
    <w:rsid w:val="00421105"/>
    <w:rsid w:val="004220D8"/>
    <w:rsid w:val="004242F4"/>
    <w:rsid w:val="004262DE"/>
    <w:rsid w:val="00427248"/>
    <w:rsid w:val="00437447"/>
    <w:rsid w:val="00441A92"/>
    <w:rsid w:val="00444F56"/>
    <w:rsid w:val="00446488"/>
    <w:rsid w:val="004500F4"/>
    <w:rsid w:val="004517AA"/>
    <w:rsid w:val="00452CAC"/>
    <w:rsid w:val="004568BE"/>
    <w:rsid w:val="00457565"/>
    <w:rsid w:val="00457B71"/>
    <w:rsid w:val="00461EFE"/>
    <w:rsid w:val="004669E2"/>
    <w:rsid w:val="00470C31"/>
    <w:rsid w:val="004734D0"/>
    <w:rsid w:val="0047556B"/>
    <w:rsid w:val="00477768"/>
    <w:rsid w:val="00492BC5"/>
    <w:rsid w:val="004964F1"/>
    <w:rsid w:val="004A16BC"/>
    <w:rsid w:val="004A2B94"/>
    <w:rsid w:val="004B73D9"/>
    <w:rsid w:val="004B7C0C"/>
    <w:rsid w:val="004C1155"/>
    <w:rsid w:val="004C2DB9"/>
    <w:rsid w:val="004C3898"/>
    <w:rsid w:val="004D192F"/>
    <w:rsid w:val="004D286E"/>
    <w:rsid w:val="004D36B1"/>
    <w:rsid w:val="004D7EBD"/>
    <w:rsid w:val="004E2680"/>
    <w:rsid w:val="004E28F9"/>
    <w:rsid w:val="004E462E"/>
    <w:rsid w:val="004E56DC"/>
    <w:rsid w:val="004E6A10"/>
    <w:rsid w:val="004E76F4"/>
    <w:rsid w:val="004F0B4E"/>
    <w:rsid w:val="004F0B6C"/>
    <w:rsid w:val="004F2078"/>
    <w:rsid w:val="004F4605"/>
    <w:rsid w:val="004F460E"/>
    <w:rsid w:val="004F4DA3"/>
    <w:rsid w:val="00506557"/>
    <w:rsid w:val="0050677A"/>
    <w:rsid w:val="005108D8"/>
    <w:rsid w:val="005116F9"/>
    <w:rsid w:val="005153A7"/>
    <w:rsid w:val="005219CF"/>
    <w:rsid w:val="005242A9"/>
    <w:rsid w:val="00534B59"/>
    <w:rsid w:val="00536759"/>
    <w:rsid w:val="00537C62"/>
    <w:rsid w:val="0054252A"/>
    <w:rsid w:val="00546970"/>
    <w:rsid w:val="00554E19"/>
    <w:rsid w:val="0056121F"/>
    <w:rsid w:val="00572505"/>
    <w:rsid w:val="0057729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C7E92"/>
    <w:rsid w:val="005D1602"/>
    <w:rsid w:val="005E385F"/>
    <w:rsid w:val="005E5B81"/>
    <w:rsid w:val="005F2CB1"/>
    <w:rsid w:val="005F3025"/>
    <w:rsid w:val="005F3DBB"/>
    <w:rsid w:val="005F618C"/>
    <w:rsid w:val="005F70BD"/>
    <w:rsid w:val="0060283C"/>
    <w:rsid w:val="00604BD1"/>
    <w:rsid w:val="00604F14"/>
    <w:rsid w:val="00611B83"/>
    <w:rsid w:val="00613257"/>
    <w:rsid w:val="00620A71"/>
    <w:rsid w:val="00620D80"/>
    <w:rsid w:val="006234A6"/>
    <w:rsid w:val="006250C2"/>
    <w:rsid w:val="00630001"/>
    <w:rsid w:val="006311B3"/>
    <w:rsid w:val="00631CA0"/>
    <w:rsid w:val="0063284C"/>
    <w:rsid w:val="00636398"/>
    <w:rsid w:val="006368D3"/>
    <w:rsid w:val="006377EC"/>
    <w:rsid w:val="0064151F"/>
    <w:rsid w:val="00641533"/>
    <w:rsid w:val="0064208D"/>
    <w:rsid w:val="00643475"/>
    <w:rsid w:val="0064396A"/>
    <w:rsid w:val="006440CB"/>
    <w:rsid w:val="00645149"/>
    <w:rsid w:val="0064624E"/>
    <w:rsid w:val="00650AB9"/>
    <w:rsid w:val="00654F2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C8B"/>
    <w:rsid w:val="00681003"/>
    <w:rsid w:val="006817C9"/>
    <w:rsid w:val="00683ECE"/>
    <w:rsid w:val="00695FC2"/>
    <w:rsid w:val="00696949"/>
    <w:rsid w:val="00697052"/>
    <w:rsid w:val="006A3ADD"/>
    <w:rsid w:val="006A46FB"/>
    <w:rsid w:val="006A5E28"/>
    <w:rsid w:val="006A697B"/>
    <w:rsid w:val="006A6C14"/>
    <w:rsid w:val="006A7AFF"/>
    <w:rsid w:val="006B1816"/>
    <w:rsid w:val="006B2099"/>
    <w:rsid w:val="006B50CF"/>
    <w:rsid w:val="006C03B8"/>
    <w:rsid w:val="006C5EC9"/>
    <w:rsid w:val="006C6059"/>
    <w:rsid w:val="006C7522"/>
    <w:rsid w:val="006D5FC9"/>
    <w:rsid w:val="006D61C9"/>
    <w:rsid w:val="006D695D"/>
    <w:rsid w:val="006D6BD0"/>
    <w:rsid w:val="006D6F08"/>
    <w:rsid w:val="006E062C"/>
    <w:rsid w:val="006E28B7"/>
    <w:rsid w:val="006E3310"/>
    <w:rsid w:val="006E4E39"/>
    <w:rsid w:val="006E565E"/>
    <w:rsid w:val="006E673D"/>
    <w:rsid w:val="006E7D3B"/>
    <w:rsid w:val="006F1B70"/>
    <w:rsid w:val="006F1E1C"/>
    <w:rsid w:val="006F341D"/>
    <w:rsid w:val="006F3CDE"/>
    <w:rsid w:val="006F58D4"/>
    <w:rsid w:val="0070346E"/>
    <w:rsid w:val="00704EDB"/>
    <w:rsid w:val="00706101"/>
    <w:rsid w:val="007066C5"/>
    <w:rsid w:val="00707072"/>
    <w:rsid w:val="00707D61"/>
    <w:rsid w:val="00711B51"/>
    <w:rsid w:val="00712287"/>
    <w:rsid w:val="00712772"/>
    <w:rsid w:val="007148D3"/>
    <w:rsid w:val="00715B9A"/>
    <w:rsid w:val="00726EA6"/>
    <w:rsid w:val="00727208"/>
    <w:rsid w:val="00727680"/>
    <w:rsid w:val="007348B1"/>
    <w:rsid w:val="007362A6"/>
    <w:rsid w:val="00736D7D"/>
    <w:rsid w:val="00740E58"/>
    <w:rsid w:val="007445A0"/>
    <w:rsid w:val="0074512C"/>
    <w:rsid w:val="0074524B"/>
    <w:rsid w:val="00747D8B"/>
    <w:rsid w:val="00751228"/>
    <w:rsid w:val="007571E1"/>
    <w:rsid w:val="007604B2"/>
    <w:rsid w:val="00761E57"/>
    <w:rsid w:val="00765281"/>
    <w:rsid w:val="00766BAD"/>
    <w:rsid w:val="00767459"/>
    <w:rsid w:val="00770EA7"/>
    <w:rsid w:val="00771670"/>
    <w:rsid w:val="007730BD"/>
    <w:rsid w:val="007755F2"/>
    <w:rsid w:val="00776971"/>
    <w:rsid w:val="0078177E"/>
    <w:rsid w:val="0078304C"/>
    <w:rsid w:val="00783673"/>
    <w:rsid w:val="007839C6"/>
    <w:rsid w:val="00784244"/>
    <w:rsid w:val="00785490"/>
    <w:rsid w:val="007925EA"/>
    <w:rsid w:val="00793CD8"/>
    <w:rsid w:val="00795C92"/>
    <w:rsid w:val="00796231"/>
    <w:rsid w:val="00797D94"/>
    <w:rsid w:val="007A1CB3"/>
    <w:rsid w:val="007A306F"/>
    <w:rsid w:val="007A43A6"/>
    <w:rsid w:val="007A58A6"/>
    <w:rsid w:val="007B3D2D"/>
    <w:rsid w:val="007B3F5D"/>
    <w:rsid w:val="007B50AE"/>
    <w:rsid w:val="007B51DF"/>
    <w:rsid w:val="007B62AA"/>
    <w:rsid w:val="007C05DD"/>
    <w:rsid w:val="007C2842"/>
    <w:rsid w:val="007C3D18"/>
    <w:rsid w:val="007C60BF"/>
    <w:rsid w:val="007C6A07"/>
    <w:rsid w:val="007C75A1"/>
    <w:rsid w:val="007C77A5"/>
    <w:rsid w:val="007D04E5"/>
    <w:rsid w:val="007D0C52"/>
    <w:rsid w:val="007D3E72"/>
    <w:rsid w:val="007D5901"/>
    <w:rsid w:val="007D7526"/>
    <w:rsid w:val="007E4610"/>
    <w:rsid w:val="007E4715"/>
    <w:rsid w:val="007E4CD4"/>
    <w:rsid w:val="007E505B"/>
    <w:rsid w:val="007E506A"/>
    <w:rsid w:val="007E5EFB"/>
    <w:rsid w:val="007E7091"/>
    <w:rsid w:val="008036B9"/>
    <w:rsid w:val="00803FAE"/>
    <w:rsid w:val="0080605F"/>
    <w:rsid w:val="00807786"/>
    <w:rsid w:val="00811FCB"/>
    <w:rsid w:val="008126D6"/>
    <w:rsid w:val="008158D6"/>
    <w:rsid w:val="00817196"/>
    <w:rsid w:val="008235DB"/>
    <w:rsid w:val="00824AB4"/>
    <w:rsid w:val="0082531E"/>
    <w:rsid w:val="00825C42"/>
    <w:rsid w:val="00825D25"/>
    <w:rsid w:val="0082651A"/>
    <w:rsid w:val="00827D6F"/>
    <w:rsid w:val="008376AC"/>
    <w:rsid w:val="008444E8"/>
    <w:rsid w:val="00844E80"/>
    <w:rsid w:val="00846FE7"/>
    <w:rsid w:val="00854F97"/>
    <w:rsid w:val="00856911"/>
    <w:rsid w:val="00857B32"/>
    <w:rsid w:val="008677FD"/>
    <w:rsid w:val="008706D4"/>
    <w:rsid w:val="00870F8A"/>
    <w:rsid w:val="008719A4"/>
    <w:rsid w:val="00871D23"/>
    <w:rsid w:val="00873DB0"/>
    <w:rsid w:val="00874312"/>
    <w:rsid w:val="0087437C"/>
    <w:rsid w:val="00875CD7"/>
    <w:rsid w:val="00876B4D"/>
    <w:rsid w:val="00877F18"/>
    <w:rsid w:val="00892AEE"/>
    <w:rsid w:val="00893E02"/>
    <w:rsid w:val="00894A88"/>
    <w:rsid w:val="00895386"/>
    <w:rsid w:val="00895C9B"/>
    <w:rsid w:val="008A0064"/>
    <w:rsid w:val="008A21FF"/>
    <w:rsid w:val="008A2CE2"/>
    <w:rsid w:val="008A30AC"/>
    <w:rsid w:val="008A44B8"/>
    <w:rsid w:val="008A51A8"/>
    <w:rsid w:val="008A54C7"/>
    <w:rsid w:val="008A7207"/>
    <w:rsid w:val="008A77D8"/>
    <w:rsid w:val="008B0483"/>
    <w:rsid w:val="008B120C"/>
    <w:rsid w:val="008B51A0"/>
    <w:rsid w:val="008B592A"/>
    <w:rsid w:val="008B7B5C"/>
    <w:rsid w:val="008C0C73"/>
    <w:rsid w:val="008C0C99"/>
    <w:rsid w:val="008C2017"/>
    <w:rsid w:val="008C4958"/>
    <w:rsid w:val="008C4BAA"/>
    <w:rsid w:val="008C6AE8"/>
    <w:rsid w:val="008C7573"/>
    <w:rsid w:val="008D34F1"/>
    <w:rsid w:val="008D39D8"/>
    <w:rsid w:val="008D40B8"/>
    <w:rsid w:val="008D6D1A"/>
    <w:rsid w:val="008E065E"/>
    <w:rsid w:val="008E0927"/>
    <w:rsid w:val="008E1909"/>
    <w:rsid w:val="008F1EAB"/>
    <w:rsid w:val="008F33DC"/>
    <w:rsid w:val="008F477F"/>
    <w:rsid w:val="00902350"/>
    <w:rsid w:val="0090336B"/>
    <w:rsid w:val="009053AA"/>
    <w:rsid w:val="00906939"/>
    <w:rsid w:val="00910B7D"/>
    <w:rsid w:val="00911A8F"/>
    <w:rsid w:val="00911DFB"/>
    <w:rsid w:val="009139D9"/>
    <w:rsid w:val="00914AD8"/>
    <w:rsid w:val="00914DB8"/>
    <w:rsid w:val="00916079"/>
    <w:rsid w:val="00917CE9"/>
    <w:rsid w:val="00920BF2"/>
    <w:rsid w:val="00922010"/>
    <w:rsid w:val="00924493"/>
    <w:rsid w:val="00927944"/>
    <w:rsid w:val="00931BD9"/>
    <w:rsid w:val="009368F3"/>
    <w:rsid w:val="00941636"/>
    <w:rsid w:val="00942C7F"/>
    <w:rsid w:val="00943742"/>
    <w:rsid w:val="00945C05"/>
    <w:rsid w:val="00946945"/>
    <w:rsid w:val="00947713"/>
    <w:rsid w:val="00950DE7"/>
    <w:rsid w:val="00952872"/>
    <w:rsid w:val="00953920"/>
    <w:rsid w:val="00953B7F"/>
    <w:rsid w:val="00953D47"/>
    <w:rsid w:val="0095531F"/>
    <w:rsid w:val="0095681E"/>
    <w:rsid w:val="009572D4"/>
    <w:rsid w:val="00961921"/>
    <w:rsid w:val="0096430A"/>
    <w:rsid w:val="0096554B"/>
    <w:rsid w:val="0096584A"/>
    <w:rsid w:val="00970FCE"/>
    <w:rsid w:val="00971F08"/>
    <w:rsid w:val="0097603D"/>
    <w:rsid w:val="00976949"/>
    <w:rsid w:val="00980477"/>
    <w:rsid w:val="00984180"/>
    <w:rsid w:val="00985253"/>
    <w:rsid w:val="009853B3"/>
    <w:rsid w:val="00990630"/>
    <w:rsid w:val="00991761"/>
    <w:rsid w:val="00994DCA"/>
    <w:rsid w:val="009960EC"/>
    <w:rsid w:val="009970DD"/>
    <w:rsid w:val="009A0FBA"/>
    <w:rsid w:val="009A1601"/>
    <w:rsid w:val="009A462D"/>
    <w:rsid w:val="009A5CBA"/>
    <w:rsid w:val="009B12E5"/>
    <w:rsid w:val="009B1F30"/>
    <w:rsid w:val="009B3AC2"/>
    <w:rsid w:val="009B4DF4"/>
    <w:rsid w:val="009B564E"/>
    <w:rsid w:val="009B7E87"/>
    <w:rsid w:val="009C403E"/>
    <w:rsid w:val="009D4FF0"/>
    <w:rsid w:val="009D532B"/>
    <w:rsid w:val="009D703C"/>
    <w:rsid w:val="009D718F"/>
    <w:rsid w:val="009E068F"/>
    <w:rsid w:val="009E14E0"/>
    <w:rsid w:val="009E35DB"/>
    <w:rsid w:val="009E3CC2"/>
    <w:rsid w:val="009E47A3"/>
    <w:rsid w:val="009F08F3"/>
    <w:rsid w:val="009F344F"/>
    <w:rsid w:val="00A048A8"/>
    <w:rsid w:val="00A04B10"/>
    <w:rsid w:val="00A04F49"/>
    <w:rsid w:val="00A07A7A"/>
    <w:rsid w:val="00A116B6"/>
    <w:rsid w:val="00A13E54"/>
    <w:rsid w:val="00A17F63"/>
    <w:rsid w:val="00A2052C"/>
    <w:rsid w:val="00A2193B"/>
    <w:rsid w:val="00A2351A"/>
    <w:rsid w:val="00A25E4A"/>
    <w:rsid w:val="00A264A9"/>
    <w:rsid w:val="00A27785"/>
    <w:rsid w:val="00A30187"/>
    <w:rsid w:val="00A32156"/>
    <w:rsid w:val="00A3448A"/>
    <w:rsid w:val="00A36297"/>
    <w:rsid w:val="00A41E2B"/>
    <w:rsid w:val="00A43312"/>
    <w:rsid w:val="00A44777"/>
    <w:rsid w:val="00A45B74"/>
    <w:rsid w:val="00A51D86"/>
    <w:rsid w:val="00A52E1D"/>
    <w:rsid w:val="00A5326A"/>
    <w:rsid w:val="00A61499"/>
    <w:rsid w:val="00A62A77"/>
    <w:rsid w:val="00A63483"/>
    <w:rsid w:val="00A65497"/>
    <w:rsid w:val="00A657D7"/>
    <w:rsid w:val="00A660AC"/>
    <w:rsid w:val="00A66C10"/>
    <w:rsid w:val="00A66F55"/>
    <w:rsid w:val="00A67E6C"/>
    <w:rsid w:val="00A71B99"/>
    <w:rsid w:val="00A739D0"/>
    <w:rsid w:val="00A761D4"/>
    <w:rsid w:val="00A77EC4"/>
    <w:rsid w:val="00A920D0"/>
    <w:rsid w:val="00A92879"/>
    <w:rsid w:val="00A9442A"/>
    <w:rsid w:val="00AA016F"/>
    <w:rsid w:val="00AA1908"/>
    <w:rsid w:val="00AA1ED6"/>
    <w:rsid w:val="00AA51D6"/>
    <w:rsid w:val="00AA5DA4"/>
    <w:rsid w:val="00AB0BC8"/>
    <w:rsid w:val="00AB11CA"/>
    <w:rsid w:val="00AB14D9"/>
    <w:rsid w:val="00AB4AB8"/>
    <w:rsid w:val="00AB655E"/>
    <w:rsid w:val="00AC007F"/>
    <w:rsid w:val="00AC277A"/>
    <w:rsid w:val="00AC2ECD"/>
    <w:rsid w:val="00AC3119"/>
    <w:rsid w:val="00AC49FB"/>
    <w:rsid w:val="00AC5A10"/>
    <w:rsid w:val="00AD0AA3"/>
    <w:rsid w:val="00AD3F94"/>
    <w:rsid w:val="00AD4A5A"/>
    <w:rsid w:val="00AE27AC"/>
    <w:rsid w:val="00AE3743"/>
    <w:rsid w:val="00AE40E0"/>
    <w:rsid w:val="00AE4DBA"/>
    <w:rsid w:val="00AE4F07"/>
    <w:rsid w:val="00AF1C5D"/>
    <w:rsid w:val="00AF2B14"/>
    <w:rsid w:val="00AF3376"/>
    <w:rsid w:val="00AF42D7"/>
    <w:rsid w:val="00B006FE"/>
    <w:rsid w:val="00B007CB"/>
    <w:rsid w:val="00B02AA9"/>
    <w:rsid w:val="00B02FA3"/>
    <w:rsid w:val="00B05084"/>
    <w:rsid w:val="00B13868"/>
    <w:rsid w:val="00B157F9"/>
    <w:rsid w:val="00B16108"/>
    <w:rsid w:val="00B20256"/>
    <w:rsid w:val="00B20D09"/>
    <w:rsid w:val="00B2763F"/>
    <w:rsid w:val="00B27AAC"/>
    <w:rsid w:val="00B304D7"/>
    <w:rsid w:val="00B30929"/>
    <w:rsid w:val="00B33480"/>
    <w:rsid w:val="00B372AA"/>
    <w:rsid w:val="00B40445"/>
    <w:rsid w:val="00B41888"/>
    <w:rsid w:val="00B44DED"/>
    <w:rsid w:val="00B45A52"/>
    <w:rsid w:val="00B46175"/>
    <w:rsid w:val="00B50D88"/>
    <w:rsid w:val="00B5578B"/>
    <w:rsid w:val="00B6188F"/>
    <w:rsid w:val="00B6445B"/>
    <w:rsid w:val="00B6464F"/>
    <w:rsid w:val="00B64736"/>
    <w:rsid w:val="00B664C7"/>
    <w:rsid w:val="00B739F6"/>
    <w:rsid w:val="00B81A6C"/>
    <w:rsid w:val="00B8422D"/>
    <w:rsid w:val="00B85DE5"/>
    <w:rsid w:val="00B90F73"/>
    <w:rsid w:val="00B93B59"/>
    <w:rsid w:val="00B9406A"/>
    <w:rsid w:val="00B964A5"/>
    <w:rsid w:val="00BA2280"/>
    <w:rsid w:val="00BA2A08"/>
    <w:rsid w:val="00BA370D"/>
    <w:rsid w:val="00BA56D2"/>
    <w:rsid w:val="00BA76E0"/>
    <w:rsid w:val="00BB2A25"/>
    <w:rsid w:val="00BB51E9"/>
    <w:rsid w:val="00BC0FDC"/>
    <w:rsid w:val="00BC3053"/>
    <w:rsid w:val="00BC4193"/>
    <w:rsid w:val="00BC4D2E"/>
    <w:rsid w:val="00BC7306"/>
    <w:rsid w:val="00BD48AC"/>
    <w:rsid w:val="00BD5F1A"/>
    <w:rsid w:val="00BE00E9"/>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4EF4"/>
    <w:rsid w:val="00C154BB"/>
    <w:rsid w:val="00C24345"/>
    <w:rsid w:val="00C279B5"/>
    <w:rsid w:val="00C27C45"/>
    <w:rsid w:val="00C365D5"/>
    <w:rsid w:val="00C3719D"/>
    <w:rsid w:val="00C37A3B"/>
    <w:rsid w:val="00C54995"/>
    <w:rsid w:val="00C54D41"/>
    <w:rsid w:val="00C60783"/>
    <w:rsid w:val="00C64672"/>
    <w:rsid w:val="00C6468C"/>
    <w:rsid w:val="00C6634F"/>
    <w:rsid w:val="00C70697"/>
    <w:rsid w:val="00C72EF4"/>
    <w:rsid w:val="00C75D2F"/>
    <w:rsid w:val="00C767BE"/>
    <w:rsid w:val="00C76E3C"/>
    <w:rsid w:val="00C81568"/>
    <w:rsid w:val="00C82722"/>
    <w:rsid w:val="00C82B32"/>
    <w:rsid w:val="00C9027A"/>
    <w:rsid w:val="00C9068E"/>
    <w:rsid w:val="00C93C4B"/>
    <w:rsid w:val="00C944AB"/>
    <w:rsid w:val="00C944D4"/>
    <w:rsid w:val="00C95B40"/>
    <w:rsid w:val="00CA1ED8"/>
    <w:rsid w:val="00CA4DF3"/>
    <w:rsid w:val="00CB1F63"/>
    <w:rsid w:val="00CB2B28"/>
    <w:rsid w:val="00CB7170"/>
    <w:rsid w:val="00CC040E"/>
    <w:rsid w:val="00CC111F"/>
    <w:rsid w:val="00CC1E93"/>
    <w:rsid w:val="00CC2011"/>
    <w:rsid w:val="00CC3EA0"/>
    <w:rsid w:val="00CC7B45"/>
    <w:rsid w:val="00CD1188"/>
    <w:rsid w:val="00CD20A6"/>
    <w:rsid w:val="00CD2ED1"/>
    <w:rsid w:val="00CD337B"/>
    <w:rsid w:val="00CD3858"/>
    <w:rsid w:val="00CE0424"/>
    <w:rsid w:val="00CE7561"/>
    <w:rsid w:val="00CF1354"/>
    <w:rsid w:val="00CF3B1F"/>
    <w:rsid w:val="00CF3BF6"/>
    <w:rsid w:val="00CF625B"/>
    <w:rsid w:val="00CF687E"/>
    <w:rsid w:val="00CF77AD"/>
    <w:rsid w:val="00D0349B"/>
    <w:rsid w:val="00D10249"/>
    <w:rsid w:val="00D115C3"/>
    <w:rsid w:val="00D11897"/>
    <w:rsid w:val="00D13135"/>
    <w:rsid w:val="00D13E4E"/>
    <w:rsid w:val="00D148B5"/>
    <w:rsid w:val="00D239A7"/>
    <w:rsid w:val="00D23F47"/>
    <w:rsid w:val="00D35259"/>
    <w:rsid w:val="00D36E71"/>
    <w:rsid w:val="00D37D87"/>
    <w:rsid w:val="00D40B33"/>
    <w:rsid w:val="00D4318F"/>
    <w:rsid w:val="00D4350D"/>
    <w:rsid w:val="00D438BF"/>
    <w:rsid w:val="00D440F8"/>
    <w:rsid w:val="00D44CA3"/>
    <w:rsid w:val="00D44CC1"/>
    <w:rsid w:val="00D50F97"/>
    <w:rsid w:val="00D546FF"/>
    <w:rsid w:val="00D55AD5"/>
    <w:rsid w:val="00D576CA"/>
    <w:rsid w:val="00D60693"/>
    <w:rsid w:val="00D61AF5"/>
    <w:rsid w:val="00D652B5"/>
    <w:rsid w:val="00D66155"/>
    <w:rsid w:val="00D668CA"/>
    <w:rsid w:val="00D708B0"/>
    <w:rsid w:val="00D73458"/>
    <w:rsid w:val="00D74078"/>
    <w:rsid w:val="00D75F20"/>
    <w:rsid w:val="00D77B1D"/>
    <w:rsid w:val="00D8021F"/>
    <w:rsid w:val="00D80383"/>
    <w:rsid w:val="00D823C6"/>
    <w:rsid w:val="00D86CA3"/>
    <w:rsid w:val="00D871CE"/>
    <w:rsid w:val="00D9196D"/>
    <w:rsid w:val="00D92982"/>
    <w:rsid w:val="00DA305E"/>
    <w:rsid w:val="00DA5417"/>
    <w:rsid w:val="00DA56E8"/>
    <w:rsid w:val="00DB0A9F"/>
    <w:rsid w:val="00DB377D"/>
    <w:rsid w:val="00DB61C9"/>
    <w:rsid w:val="00DB6398"/>
    <w:rsid w:val="00DC2D36"/>
    <w:rsid w:val="00DC53EF"/>
    <w:rsid w:val="00DD0764"/>
    <w:rsid w:val="00DD2C21"/>
    <w:rsid w:val="00DD76FB"/>
    <w:rsid w:val="00DE5608"/>
    <w:rsid w:val="00DE5802"/>
    <w:rsid w:val="00DE58D0"/>
    <w:rsid w:val="00DE654F"/>
    <w:rsid w:val="00DE7744"/>
    <w:rsid w:val="00DF0B6E"/>
    <w:rsid w:val="00DF15E0"/>
    <w:rsid w:val="00DF342A"/>
    <w:rsid w:val="00DF37A0"/>
    <w:rsid w:val="00E047D3"/>
    <w:rsid w:val="00E110E7"/>
    <w:rsid w:val="00E11B20"/>
    <w:rsid w:val="00E1489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351"/>
    <w:rsid w:val="00E83AA9"/>
    <w:rsid w:val="00E8458E"/>
    <w:rsid w:val="00E85928"/>
    <w:rsid w:val="00E87822"/>
    <w:rsid w:val="00E90395"/>
    <w:rsid w:val="00E90E49"/>
    <w:rsid w:val="00E917F9"/>
    <w:rsid w:val="00E9291C"/>
    <w:rsid w:val="00E93FFE"/>
    <w:rsid w:val="00E94F8A"/>
    <w:rsid w:val="00EA7A41"/>
    <w:rsid w:val="00EB077B"/>
    <w:rsid w:val="00EB4B35"/>
    <w:rsid w:val="00EB4EA2"/>
    <w:rsid w:val="00EC27C6"/>
    <w:rsid w:val="00EC29CD"/>
    <w:rsid w:val="00EC4207"/>
    <w:rsid w:val="00EC5653"/>
    <w:rsid w:val="00EC5A6A"/>
    <w:rsid w:val="00EC71CE"/>
    <w:rsid w:val="00ED1006"/>
    <w:rsid w:val="00EE106C"/>
    <w:rsid w:val="00EF18FE"/>
    <w:rsid w:val="00EF411B"/>
    <w:rsid w:val="00EF5787"/>
    <w:rsid w:val="00EF60D0"/>
    <w:rsid w:val="00F0528D"/>
    <w:rsid w:val="00F05EBC"/>
    <w:rsid w:val="00F06C67"/>
    <w:rsid w:val="00F06DFD"/>
    <w:rsid w:val="00F071D1"/>
    <w:rsid w:val="00F07533"/>
    <w:rsid w:val="00F10629"/>
    <w:rsid w:val="00F1431E"/>
    <w:rsid w:val="00F15FA5"/>
    <w:rsid w:val="00F209B7"/>
    <w:rsid w:val="00F2376F"/>
    <w:rsid w:val="00F23831"/>
    <w:rsid w:val="00F243D8"/>
    <w:rsid w:val="00F30828"/>
    <w:rsid w:val="00F313D6"/>
    <w:rsid w:val="00F36C5E"/>
    <w:rsid w:val="00F40F0C"/>
    <w:rsid w:val="00F4766C"/>
    <w:rsid w:val="00F507D1"/>
    <w:rsid w:val="00F519CE"/>
    <w:rsid w:val="00F51ADA"/>
    <w:rsid w:val="00F607C5"/>
    <w:rsid w:val="00F60DEA"/>
    <w:rsid w:val="00F6302A"/>
    <w:rsid w:val="00F64C2B"/>
    <w:rsid w:val="00F651BE"/>
    <w:rsid w:val="00F66192"/>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CB1"/>
    <w:rsid w:val="00FA6929"/>
    <w:rsid w:val="00FB4C80"/>
    <w:rsid w:val="00FB6A6A"/>
    <w:rsid w:val="00FC2522"/>
    <w:rsid w:val="00FC69A2"/>
    <w:rsid w:val="00FC7429"/>
    <w:rsid w:val="00FD07F6"/>
    <w:rsid w:val="00FD1EC8"/>
    <w:rsid w:val="00FD47ED"/>
    <w:rsid w:val="00FD74DB"/>
    <w:rsid w:val="00FD7660"/>
    <w:rsid w:val="00FE0339"/>
    <w:rsid w:val="00FE0655"/>
    <w:rsid w:val="00FE2365"/>
    <w:rsid w:val="00FE4C7B"/>
    <w:rsid w:val="00FE7336"/>
    <w:rsid w:val="00FE787C"/>
    <w:rsid w:val="00FF3E7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1DBDA"/>
  <w15:chartTrackingRefBased/>
  <w15:docId w15:val="{221E653D-AA12-4B43-8C03-93013E266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477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447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4477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4477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44777"/>
    <w:pPr>
      <w:numPr>
        <w:ilvl w:val="3"/>
      </w:numPr>
      <w:outlineLvl w:val="3"/>
    </w:pPr>
    <w:rPr>
      <w:sz w:val="24"/>
      <w:szCs w:val="24"/>
    </w:rPr>
  </w:style>
  <w:style w:type="paragraph" w:styleId="Heading5">
    <w:name w:val="heading 5"/>
    <w:basedOn w:val="Heading4"/>
    <w:next w:val="Normal"/>
    <w:qFormat/>
    <w:rsid w:val="00A44777"/>
    <w:pPr>
      <w:numPr>
        <w:ilvl w:val="4"/>
      </w:numPr>
      <w:outlineLvl w:val="4"/>
    </w:pPr>
    <w:rPr>
      <w:sz w:val="22"/>
      <w:szCs w:val="22"/>
    </w:rPr>
  </w:style>
  <w:style w:type="paragraph" w:styleId="Heading6">
    <w:name w:val="heading 6"/>
    <w:basedOn w:val="Normal"/>
    <w:next w:val="Normal"/>
    <w:qFormat/>
    <w:rsid w:val="00A44777"/>
    <w:pPr>
      <w:keepNext/>
      <w:keepLines/>
      <w:numPr>
        <w:ilvl w:val="5"/>
        <w:numId w:val="1"/>
      </w:numPr>
      <w:spacing w:before="120"/>
      <w:outlineLvl w:val="5"/>
    </w:pPr>
    <w:rPr>
      <w:rFonts w:cs="Arial"/>
    </w:rPr>
  </w:style>
  <w:style w:type="paragraph" w:styleId="Heading7">
    <w:name w:val="heading 7"/>
    <w:basedOn w:val="Normal"/>
    <w:next w:val="Normal"/>
    <w:qFormat/>
    <w:rsid w:val="00A44777"/>
    <w:pPr>
      <w:keepNext/>
      <w:keepLines/>
      <w:numPr>
        <w:ilvl w:val="6"/>
        <w:numId w:val="1"/>
      </w:numPr>
      <w:spacing w:before="120"/>
      <w:outlineLvl w:val="6"/>
    </w:pPr>
    <w:rPr>
      <w:rFonts w:cs="Arial"/>
    </w:rPr>
  </w:style>
  <w:style w:type="paragraph" w:styleId="Heading8">
    <w:name w:val="heading 8"/>
    <w:basedOn w:val="Heading7"/>
    <w:next w:val="Normal"/>
    <w:qFormat/>
    <w:rsid w:val="00A44777"/>
    <w:pPr>
      <w:numPr>
        <w:ilvl w:val="7"/>
      </w:numPr>
      <w:outlineLvl w:val="7"/>
    </w:pPr>
  </w:style>
  <w:style w:type="paragraph" w:styleId="Heading9">
    <w:name w:val="heading 9"/>
    <w:basedOn w:val="Heading8"/>
    <w:next w:val="Normal"/>
    <w:qFormat/>
    <w:rsid w:val="00A44777"/>
    <w:pPr>
      <w:numPr>
        <w:ilvl w:val="8"/>
      </w:numPr>
      <w:outlineLvl w:val="8"/>
    </w:pPr>
  </w:style>
  <w:style w:type="character" w:default="1" w:styleId="DefaultParagraphFont">
    <w:name w:val="Default Paragraph Font"/>
    <w:uiPriority w:val="1"/>
    <w:semiHidden/>
    <w:unhideWhenUsed/>
    <w:rsid w:val="00A447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777"/>
  </w:style>
  <w:style w:type="paragraph" w:styleId="TOC8">
    <w:name w:val="toc 8"/>
    <w:basedOn w:val="TOC1"/>
    <w:semiHidden/>
    <w:rsid w:val="00A44777"/>
    <w:pPr>
      <w:spacing w:before="180"/>
      <w:ind w:left="2693" w:hanging="2693"/>
    </w:pPr>
    <w:rPr>
      <w:b w:val="0"/>
      <w:bCs/>
    </w:rPr>
  </w:style>
  <w:style w:type="paragraph" w:styleId="TOC1">
    <w:name w:val="toc 1"/>
    <w:aliases w:val="Observation TOC2"/>
    <w:uiPriority w:val="39"/>
    <w:rsid w:val="00A447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44777"/>
    <w:pPr>
      <w:keepNext/>
      <w:keepLines/>
      <w:spacing w:before="180"/>
      <w:jc w:val="center"/>
    </w:pPr>
  </w:style>
  <w:style w:type="paragraph" w:styleId="Caption">
    <w:name w:val="caption"/>
    <w:basedOn w:val="Normal"/>
    <w:next w:val="Normal"/>
    <w:qFormat/>
    <w:rsid w:val="00A44777"/>
    <w:pPr>
      <w:spacing w:after="240"/>
      <w:jc w:val="center"/>
    </w:pPr>
    <w:rPr>
      <w:b/>
      <w:bCs/>
    </w:rPr>
  </w:style>
  <w:style w:type="paragraph" w:styleId="TOC5">
    <w:name w:val="toc 5"/>
    <w:aliases w:val="Observation TOC"/>
    <w:basedOn w:val="TOC4"/>
    <w:semiHidden/>
    <w:rsid w:val="00A44777"/>
    <w:pPr>
      <w:tabs>
        <w:tab w:val="right" w:pos="1701"/>
      </w:tabs>
      <w:ind w:left="1701" w:hanging="1701"/>
    </w:pPr>
  </w:style>
  <w:style w:type="paragraph" w:styleId="TOC4">
    <w:name w:val="toc 4"/>
    <w:basedOn w:val="TOC3"/>
    <w:semiHidden/>
    <w:rsid w:val="00A44777"/>
    <w:pPr>
      <w:ind w:left="1418" w:hanging="1418"/>
    </w:pPr>
  </w:style>
  <w:style w:type="paragraph" w:styleId="TOC3">
    <w:name w:val="toc 3"/>
    <w:basedOn w:val="TOC2"/>
    <w:semiHidden/>
    <w:rsid w:val="00A44777"/>
    <w:pPr>
      <w:ind w:left="1134" w:hanging="1134"/>
    </w:pPr>
  </w:style>
  <w:style w:type="paragraph" w:styleId="TOC2">
    <w:name w:val="toc 2"/>
    <w:basedOn w:val="TOC1"/>
    <w:semiHidden/>
    <w:rsid w:val="00A44777"/>
    <w:pPr>
      <w:keepNext w:val="0"/>
      <w:spacing w:before="0"/>
      <w:ind w:left="851" w:hanging="851"/>
    </w:pPr>
    <w:rPr>
      <w:szCs w:val="20"/>
    </w:rPr>
  </w:style>
  <w:style w:type="paragraph" w:styleId="Index2">
    <w:name w:val="index 2"/>
    <w:basedOn w:val="Index1"/>
    <w:semiHidden/>
    <w:rsid w:val="00A44777"/>
    <w:pPr>
      <w:ind w:left="284"/>
    </w:pPr>
  </w:style>
  <w:style w:type="paragraph" w:styleId="Index1">
    <w:name w:val="index 1"/>
    <w:basedOn w:val="Normal"/>
    <w:semiHidden/>
    <w:rsid w:val="00A44777"/>
    <w:pPr>
      <w:keepLines/>
      <w:spacing w:after="0"/>
    </w:pPr>
  </w:style>
  <w:style w:type="paragraph" w:styleId="DocumentMap">
    <w:name w:val="Document Map"/>
    <w:basedOn w:val="Normal"/>
    <w:semiHidden/>
    <w:rsid w:val="00A44777"/>
    <w:pPr>
      <w:shd w:val="clear" w:color="auto" w:fill="000080"/>
    </w:pPr>
    <w:rPr>
      <w:rFonts w:ascii="Tahoma" w:hAnsi="Tahoma" w:cs="Tahoma"/>
    </w:rPr>
  </w:style>
  <w:style w:type="paragraph" w:styleId="ListNumber2">
    <w:name w:val="List Number 2"/>
    <w:basedOn w:val="ListNumber"/>
    <w:rsid w:val="00A44777"/>
    <w:pPr>
      <w:ind w:left="851"/>
    </w:pPr>
  </w:style>
  <w:style w:type="paragraph" w:styleId="ListNumber">
    <w:name w:val="List Number"/>
    <w:basedOn w:val="List"/>
    <w:rsid w:val="00A44777"/>
  </w:style>
  <w:style w:type="paragraph" w:styleId="List">
    <w:name w:val="List"/>
    <w:basedOn w:val="Normal"/>
    <w:rsid w:val="00A44777"/>
    <w:pPr>
      <w:ind w:left="568" w:hanging="284"/>
    </w:pPr>
  </w:style>
  <w:style w:type="paragraph" w:styleId="Header">
    <w:name w:val="header"/>
    <w:rsid w:val="00A4477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4777"/>
    <w:rPr>
      <w:b/>
      <w:bCs/>
      <w:position w:val="6"/>
      <w:sz w:val="16"/>
      <w:szCs w:val="16"/>
    </w:rPr>
  </w:style>
  <w:style w:type="paragraph" w:styleId="FootnoteText">
    <w:name w:val="footnote text"/>
    <w:basedOn w:val="Normal"/>
    <w:semiHidden/>
    <w:rsid w:val="00A44777"/>
    <w:pPr>
      <w:keepLines/>
      <w:spacing w:after="0"/>
      <w:ind w:left="454" w:hanging="454"/>
    </w:pPr>
    <w:rPr>
      <w:sz w:val="16"/>
      <w:szCs w:val="16"/>
    </w:rPr>
  </w:style>
  <w:style w:type="paragraph" w:customStyle="1" w:styleId="3GPPHeader">
    <w:name w:val="3GPP_Header"/>
    <w:basedOn w:val="Normal"/>
    <w:rsid w:val="00A44777"/>
    <w:pPr>
      <w:tabs>
        <w:tab w:val="left" w:pos="1701"/>
        <w:tab w:val="right" w:pos="9639"/>
      </w:tabs>
      <w:spacing w:after="240"/>
    </w:pPr>
    <w:rPr>
      <w:b/>
      <w:sz w:val="24"/>
    </w:rPr>
  </w:style>
  <w:style w:type="paragraph" w:styleId="TOC9">
    <w:name w:val="toc 9"/>
    <w:basedOn w:val="TOC8"/>
    <w:semiHidden/>
    <w:rsid w:val="00A44777"/>
    <w:pPr>
      <w:ind w:left="1418" w:hanging="1418"/>
    </w:pPr>
  </w:style>
  <w:style w:type="paragraph" w:styleId="TOC6">
    <w:name w:val="toc 6"/>
    <w:basedOn w:val="TOC5"/>
    <w:next w:val="Normal"/>
    <w:semiHidden/>
    <w:rsid w:val="00A44777"/>
    <w:pPr>
      <w:ind w:left="1985" w:hanging="1985"/>
    </w:pPr>
  </w:style>
  <w:style w:type="paragraph" w:styleId="TOC7">
    <w:name w:val="toc 7"/>
    <w:basedOn w:val="TOC6"/>
    <w:next w:val="Normal"/>
    <w:semiHidden/>
    <w:rsid w:val="00A44777"/>
    <w:pPr>
      <w:ind w:left="2268" w:hanging="2268"/>
    </w:pPr>
  </w:style>
  <w:style w:type="paragraph" w:styleId="ListBullet2">
    <w:name w:val="List Bullet 2"/>
    <w:basedOn w:val="ListBullet"/>
    <w:rsid w:val="00A44777"/>
    <w:pPr>
      <w:numPr>
        <w:numId w:val="6"/>
      </w:numPr>
    </w:pPr>
  </w:style>
  <w:style w:type="paragraph" w:styleId="ListBullet">
    <w:name w:val="List Bullet"/>
    <w:basedOn w:val="BodyText"/>
    <w:rsid w:val="00A44777"/>
    <w:pPr>
      <w:numPr>
        <w:numId w:val="5"/>
      </w:numPr>
    </w:pPr>
  </w:style>
  <w:style w:type="paragraph" w:styleId="ListBullet3">
    <w:name w:val="List Bullet 3"/>
    <w:basedOn w:val="ListBullet2"/>
    <w:rsid w:val="00A44777"/>
    <w:pPr>
      <w:numPr>
        <w:numId w:val="7"/>
      </w:numPr>
    </w:pPr>
  </w:style>
  <w:style w:type="paragraph" w:customStyle="1" w:styleId="EQ">
    <w:name w:val="EQ"/>
    <w:basedOn w:val="Normal"/>
    <w:next w:val="Normal"/>
    <w:rsid w:val="00A44777"/>
    <w:pPr>
      <w:keepLines/>
      <w:tabs>
        <w:tab w:val="center" w:pos="4536"/>
        <w:tab w:val="right" w:pos="9072"/>
      </w:tabs>
      <w:spacing w:after="180"/>
      <w:jc w:val="left"/>
    </w:pPr>
    <w:rPr>
      <w:noProof/>
      <w:lang w:eastAsia="en-US"/>
    </w:rPr>
  </w:style>
  <w:style w:type="paragraph" w:styleId="List2">
    <w:name w:val="List 2"/>
    <w:basedOn w:val="List"/>
    <w:rsid w:val="00A44777"/>
    <w:pPr>
      <w:ind w:left="851"/>
    </w:pPr>
  </w:style>
  <w:style w:type="paragraph" w:styleId="List3">
    <w:name w:val="List 3"/>
    <w:basedOn w:val="List2"/>
    <w:rsid w:val="00A44777"/>
    <w:pPr>
      <w:ind w:left="1135"/>
    </w:pPr>
  </w:style>
  <w:style w:type="paragraph" w:styleId="List4">
    <w:name w:val="List 4"/>
    <w:basedOn w:val="List3"/>
    <w:rsid w:val="00A44777"/>
    <w:pPr>
      <w:ind w:left="1418"/>
    </w:pPr>
  </w:style>
  <w:style w:type="paragraph" w:styleId="List5">
    <w:name w:val="List 5"/>
    <w:basedOn w:val="List4"/>
    <w:rsid w:val="00A44777"/>
    <w:pPr>
      <w:ind w:left="1702"/>
    </w:pPr>
  </w:style>
  <w:style w:type="paragraph" w:customStyle="1" w:styleId="EditorsNote">
    <w:name w:val="Editor's Note"/>
    <w:basedOn w:val="Normal"/>
    <w:rsid w:val="00A44777"/>
    <w:pPr>
      <w:keepLines/>
      <w:spacing w:after="180"/>
      <w:ind w:left="1135" w:hanging="851"/>
      <w:jc w:val="left"/>
    </w:pPr>
    <w:rPr>
      <w:color w:val="FF0000"/>
      <w:lang w:eastAsia="en-US"/>
    </w:rPr>
  </w:style>
  <w:style w:type="paragraph" w:styleId="ListBullet4">
    <w:name w:val="List Bullet 4"/>
    <w:basedOn w:val="ListBullet3"/>
    <w:rsid w:val="00A44777"/>
    <w:pPr>
      <w:numPr>
        <w:numId w:val="8"/>
      </w:numPr>
    </w:pPr>
  </w:style>
  <w:style w:type="paragraph" w:styleId="ListBullet5">
    <w:name w:val="List Bullet 5"/>
    <w:basedOn w:val="ListBullet4"/>
    <w:rsid w:val="00A44777"/>
    <w:pPr>
      <w:numPr>
        <w:numId w:val="4"/>
      </w:numPr>
    </w:pPr>
  </w:style>
  <w:style w:type="paragraph" w:styleId="Footer">
    <w:name w:val="footer"/>
    <w:basedOn w:val="Header"/>
    <w:semiHidden/>
    <w:rsid w:val="00A44777"/>
    <w:pPr>
      <w:jc w:val="center"/>
    </w:pPr>
    <w:rPr>
      <w:i/>
      <w:iCs/>
    </w:rPr>
  </w:style>
  <w:style w:type="paragraph" w:customStyle="1" w:styleId="Reference">
    <w:name w:val="Reference"/>
    <w:basedOn w:val="Normal"/>
    <w:rsid w:val="00A44777"/>
    <w:pPr>
      <w:numPr>
        <w:numId w:val="2"/>
      </w:numPr>
    </w:pPr>
  </w:style>
  <w:style w:type="paragraph" w:styleId="BalloonText">
    <w:name w:val="Balloon Text"/>
    <w:basedOn w:val="Normal"/>
    <w:semiHidden/>
    <w:rsid w:val="00A44777"/>
    <w:rPr>
      <w:rFonts w:ascii="Tahoma" w:hAnsi="Tahoma" w:cs="Tahoma"/>
      <w:sz w:val="16"/>
      <w:szCs w:val="16"/>
    </w:rPr>
  </w:style>
  <w:style w:type="character" w:styleId="PageNumber">
    <w:name w:val="page number"/>
    <w:basedOn w:val="DefaultParagraphFont"/>
    <w:semiHidden/>
    <w:rsid w:val="00A44777"/>
  </w:style>
  <w:style w:type="paragraph" w:styleId="BodyText">
    <w:name w:val="Body Text"/>
    <w:basedOn w:val="Normal"/>
    <w:link w:val="BodyTextChar"/>
    <w:rsid w:val="00A44777"/>
  </w:style>
  <w:style w:type="character" w:styleId="Hyperlink">
    <w:name w:val="Hyperlink"/>
    <w:uiPriority w:val="99"/>
    <w:rsid w:val="00A44777"/>
    <w:rPr>
      <w:color w:val="0000FF"/>
      <w:u w:val="single"/>
      <w:lang w:val="en-GB"/>
    </w:rPr>
  </w:style>
  <w:style w:type="character" w:styleId="FollowedHyperlink">
    <w:name w:val="FollowedHyperlink"/>
    <w:semiHidden/>
    <w:rsid w:val="00A44777"/>
    <w:rPr>
      <w:color w:val="FF0000"/>
      <w:u w:val="single"/>
    </w:rPr>
  </w:style>
  <w:style w:type="character" w:styleId="CommentReference">
    <w:name w:val="annotation reference"/>
    <w:semiHidden/>
    <w:rsid w:val="00A44777"/>
    <w:rPr>
      <w:sz w:val="16"/>
      <w:szCs w:val="16"/>
    </w:rPr>
  </w:style>
  <w:style w:type="paragraph" w:styleId="CommentText">
    <w:name w:val="annotation text"/>
    <w:basedOn w:val="Normal"/>
    <w:semiHidden/>
    <w:rsid w:val="00A44777"/>
  </w:style>
  <w:style w:type="paragraph" w:styleId="CommentSubject">
    <w:name w:val="annotation subject"/>
    <w:basedOn w:val="CommentText"/>
    <w:next w:val="CommentText"/>
    <w:semiHidden/>
    <w:rsid w:val="00A4477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44777"/>
    <w:rPr>
      <w:rFonts w:ascii="Arial" w:hAnsi="Arial" w:cs="Arial"/>
      <w:sz w:val="36"/>
      <w:szCs w:val="36"/>
      <w:lang w:val="en-GB" w:eastAsia="zh-CN"/>
    </w:rPr>
  </w:style>
  <w:style w:type="paragraph" w:customStyle="1" w:styleId="B1">
    <w:name w:val="B1"/>
    <w:basedOn w:val="List"/>
    <w:link w:val="B1Char"/>
    <w:rsid w:val="00A44777"/>
    <w:pPr>
      <w:spacing w:after="180"/>
      <w:jc w:val="left"/>
    </w:pPr>
    <w:rPr>
      <w:lang w:eastAsia="en-US"/>
    </w:rPr>
  </w:style>
  <w:style w:type="paragraph" w:customStyle="1" w:styleId="B2">
    <w:name w:val="B2"/>
    <w:basedOn w:val="List2"/>
    <w:rsid w:val="00A44777"/>
    <w:pPr>
      <w:spacing w:after="180"/>
      <w:jc w:val="left"/>
    </w:pPr>
    <w:rPr>
      <w:lang w:eastAsia="en-US"/>
    </w:rPr>
  </w:style>
  <w:style w:type="paragraph" w:customStyle="1" w:styleId="B3">
    <w:name w:val="B3"/>
    <w:basedOn w:val="List3"/>
    <w:rsid w:val="00A44777"/>
    <w:pPr>
      <w:spacing w:after="180"/>
      <w:jc w:val="left"/>
    </w:pPr>
    <w:rPr>
      <w:lang w:eastAsia="en-US"/>
    </w:rPr>
  </w:style>
  <w:style w:type="paragraph" w:customStyle="1" w:styleId="B4">
    <w:name w:val="B4"/>
    <w:basedOn w:val="List4"/>
    <w:rsid w:val="00A44777"/>
    <w:pPr>
      <w:spacing w:after="180"/>
      <w:jc w:val="left"/>
    </w:pPr>
    <w:rPr>
      <w:lang w:eastAsia="en-US"/>
    </w:rPr>
  </w:style>
  <w:style w:type="paragraph" w:customStyle="1" w:styleId="Proposal">
    <w:name w:val="Proposal"/>
    <w:basedOn w:val="Normal"/>
    <w:rsid w:val="00A44777"/>
    <w:pPr>
      <w:numPr>
        <w:numId w:val="3"/>
      </w:numPr>
      <w:tabs>
        <w:tab w:val="clear" w:pos="1304"/>
        <w:tab w:val="left" w:pos="1701"/>
      </w:tabs>
      <w:ind w:left="1701" w:hanging="1701"/>
    </w:pPr>
    <w:rPr>
      <w:b/>
      <w:bCs/>
    </w:rPr>
  </w:style>
  <w:style w:type="character" w:customStyle="1" w:styleId="BodyTextChar">
    <w:name w:val="Body Text Char"/>
    <w:link w:val="BodyText"/>
    <w:rsid w:val="00A44777"/>
    <w:rPr>
      <w:rFonts w:ascii="Arial" w:hAnsi="Arial"/>
      <w:lang w:val="en-GB" w:eastAsia="zh-CN"/>
    </w:rPr>
  </w:style>
  <w:style w:type="paragraph" w:customStyle="1" w:styleId="B5">
    <w:name w:val="B5"/>
    <w:basedOn w:val="List5"/>
    <w:rsid w:val="00A44777"/>
    <w:pPr>
      <w:spacing w:after="180"/>
      <w:jc w:val="left"/>
    </w:pPr>
    <w:rPr>
      <w:lang w:eastAsia="en-US"/>
    </w:rPr>
  </w:style>
  <w:style w:type="paragraph" w:customStyle="1" w:styleId="EX">
    <w:name w:val="EX"/>
    <w:basedOn w:val="Normal"/>
    <w:rsid w:val="00A44777"/>
    <w:pPr>
      <w:keepLines/>
      <w:spacing w:after="180"/>
      <w:ind w:left="1702" w:hanging="1418"/>
      <w:jc w:val="left"/>
    </w:pPr>
    <w:rPr>
      <w:lang w:eastAsia="en-US"/>
    </w:rPr>
  </w:style>
  <w:style w:type="paragraph" w:customStyle="1" w:styleId="EW">
    <w:name w:val="EW"/>
    <w:basedOn w:val="EX"/>
    <w:rsid w:val="00A44777"/>
    <w:pPr>
      <w:spacing w:after="0"/>
    </w:pPr>
  </w:style>
  <w:style w:type="paragraph" w:customStyle="1" w:styleId="TAL">
    <w:name w:val="TAL"/>
    <w:basedOn w:val="Normal"/>
    <w:rsid w:val="00A44777"/>
    <w:pPr>
      <w:keepNext/>
      <w:keepLines/>
      <w:spacing w:after="0"/>
      <w:jc w:val="left"/>
    </w:pPr>
    <w:rPr>
      <w:sz w:val="18"/>
      <w:lang w:eastAsia="en-US"/>
    </w:rPr>
  </w:style>
  <w:style w:type="paragraph" w:customStyle="1" w:styleId="TAC">
    <w:name w:val="TAC"/>
    <w:basedOn w:val="TAL"/>
    <w:rsid w:val="00A44777"/>
    <w:pPr>
      <w:jc w:val="center"/>
    </w:pPr>
  </w:style>
  <w:style w:type="paragraph" w:customStyle="1" w:styleId="TAH">
    <w:name w:val="TAH"/>
    <w:basedOn w:val="TAC"/>
    <w:rsid w:val="00A44777"/>
    <w:rPr>
      <w:b/>
    </w:rPr>
  </w:style>
  <w:style w:type="paragraph" w:customStyle="1" w:styleId="TAN">
    <w:name w:val="TAN"/>
    <w:basedOn w:val="TAL"/>
    <w:rsid w:val="00A44777"/>
    <w:pPr>
      <w:ind w:left="851" w:hanging="851"/>
    </w:pPr>
  </w:style>
  <w:style w:type="paragraph" w:customStyle="1" w:styleId="TAR">
    <w:name w:val="TAR"/>
    <w:basedOn w:val="TAL"/>
    <w:rsid w:val="00A44777"/>
    <w:pPr>
      <w:jc w:val="right"/>
    </w:pPr>
  </w:style>
  <w:style w:type="paragraph" w:customStyle="1" w:styleId="TH">
    <w:name w:val="TH"/>
    <w:basedOn w:val="Normal"/>
    <w:rsid w:val="00A44777"/>
    <w:pPr>
      <w:keepNext/>
      <w:keepLines/>
      <w:spacing w:before="60" w:after="180"/>
      <w:jc w:val="center"/>
    </w:pPr>
    <w:rPr>
      <w:b/>
      <w:lang w:eastAsia="en-US"/>
    </w:rPr>
  </w:style>
  <w:style w:type="paragraph" w:customStyle="1" w:styleId="TF">
    <w:name w:val="TF"/>
    <w:basedOn w:val="TH"/>
    <w:rsid w:val="00A44777"/>
    <w:pPr>
      <w:keepNext w:val="0"/>
      <w:spacing w:before="0" w:after="240"/>
    </w:pPr>
  </w:style>
  <w:style w:type="paragraph" w:customStyle="1" w:styleId="TT">
    <w:name w:val="TT"/>
    <w:basedOn w:val="Heading1"/>
    <w:next w:val="Normal"/>
    <w:rsid w:val="00A44777"/>
    <w:pPr>
      <w:numPr>
        <w:numId w:val="0"/>
      </w:numPr>
      <w:ind w:left="1134" w:hanging="1134"/>
      <w:outlineLvl w:val="9"/>
    </w:pPr>
    <w:rPr>
      <w:rFonts w:cs="Times New Roman"/>
      <w:szCs w:val="20"/>
      <w:lang w:eastAsia="en-US"/>
    </w:rPr>
  </w:style>
  <w:style w:type="paragraph" w:customStyle="1" w:styleId="ZA">
    <w:name w:val="ZA"/>
    <w:rsid w:val="00A44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47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47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4777"/>
  </w:style>
  <w:style w:type="paragraph" w:customStyle="1" w:styleId="ZH">
    <w:name w:val="ZH"/>
    <w:rsid w:val="00A447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47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4777"/>
    <w:pPr>
      <w:framePr w:hRule="auto" w:wrap="notBeside" w:y="852"/>
    </w:pPr>
    <w:rPr>
      <w:i w:val="0"/>
      <w:sz w:val="40"/>
    </w:rPr>
  </w:style>
  <w:style w:type="paragraph" w:customStyle="1" w:styleId="ZU">
    <w:name w:val="ZU"/>
    <w:rsid w:val="00A44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4777"/>
    <w:pPr>
      <w:framePr w:wrap="notBeside" w:y="16161"/>
    </w:pPr>
  </w:style>
  <w:style w:type="paragraph" w:customStyle="1" w:styleId="FP">
    <w:name w:val="FP"/>
    <w:basedOn w:val="Normal"/>
    <w:rsid w:val="00A44777"/>
    <w:pPr>
      <w:spacing w:after="0"/>
      <w:jc w:val="left"/>
    </w:pPr>
    <w:rPr>
      <w:lang w:eastAsia="en-US"/>
    </w:rPr>
  </w:style>
  <w:style w:type="paragraph" w:customStyle="1" w:styleId="Observation">
    <w:name w:val="Observation"/>
    <w:basedOn w:val="Proposal"/>
    <w:qFormat/>
    <w:rsid w:val="00A44777"/>
    <w:pPr>
      <w:numPr>
        <w:numId w:val="13"/>
      </w:numPr>
      <w:ind w:left="1701" w:hanging="1701"/>
    </w:pPr>
  </w:style>
  <w:style w:type="paragraph" w:styleId="TableofFigures">
    <w:name w:val="table of figures"/>
    <w:basedOn w:val="Normal"/>
    <w:next w:val="Normal"/>
    <w:uiPriority w:val="99"/>
    <w:rsid w:val="00A44777"/>
    <w:pPr>
      <w:ind w:left="1418" w:hanging="1418"/>
      <w:jc w:val="left"/>
    </w:pPr>
    <w:rPr>
      <w:b/>
    </w:rPr>
  </w:style>
  <w:style w:type="paragraph" w:customStyle="1" w:styleId="Doc-text2">
    <w:name w:val="Doc-text2"/>
    <w:basedOn w:val="Normal"/>
    <w:link w:val="Doc-text2Char"/>
    <w:qFormat/>
    <w:rsid w:val="00A4477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4777"/>
    <w:rPr>
      <w:rFonts w:ascii="Arial" w:eastAsia="MS Mincho" w:hAnsi="Arial"/>
      <w:szCs w:val="24"/>
      <w:lang w:val="en-GB" w:eastAsia="en-GB"/>
    </w:rPr>
  </w:style>
  <w:style w:type="paragraph" w:styleId="ListParagraph">
    <w:name w:val="List Paragraph"/>
    <w:basedOn w:val="Normal"/>
    <w:uiPriority w:val="34"/>
    <w:qFormat/>
    <w:rsid w:val="004568BE"/>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eastAsia="en-US"/>
    </w:rPr>
  </w:style>
  <w:style w:type="character" w:customStyle="1" w:styleId="B1Char">
    <w:name w:val="B1 Char"/>
    <w:link w:val="B1"/>
    <w:rsid w:val="005242A9"/>
    <w:rPr>
      <w:rFonts w:ascii="Arial" w:hAnsi="Arial"/>
      <w:lang w:val="en-GB"/>
    </w:rPr>
  </w:style>
  <w:style w:type="paragraph" w:styleId="ListNumber4">
    <w:name w:val="List Number 4"/>
    <w:basedOn w:val="Normal"/>
    <w:rsid w:val="005242A9"/>
    <w:pPr>
      <w:numPr>
        <w:numId w:val="19"/>
      </w:numPr>
      <w:tabs>
        <w:tab w:val="left" w:pos="720"/>
        <w:tab w:val="left" w:pos="1209"/>
      </w:tabs>
      <w:spacing w:after="180"/>
      <w:ind w:left="1209"/>
      <w:jc w:val="left"/>
    </w:pPr>
    <w:rPr>
      <w:rFonts w:ascii="Times New Roman" w:eastAsia="MS Mincho" w:hAnsi="Times New Roman"/>
      <w:lang w:eastAsia="en-GB"/>
    </w:rPr>
  </w:style>
  <w:style w:type="paragraph" w:styleId="Revision">
    <w:name w:val="Revision"/>
    <w:hidden/>
    <w:uiPriority w:val="99"/>
    <w:semiHidden/>
    <w:rsid w:val="004220D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779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6947834">
      <w:bodyDiv w:val="1"/>
      <w:marLeft w:val="0"/>
      <w:marRight w:val="0"/>
      <w:marTop w:val="0"/>
      <w:marBottom w:val="0"/>
      <w:divBdr>
        <w:top w:val="none" w:sz="0" w:space="0" w:color="auto"/>
        <w:left w:val="none" w:sz="0" w:space="0" w:color="auto"/>
        <w:bottom w:val="none" w:sz="0" w:space="0" w:color="auto"/>
        <w:right w:val="none" w:sz="0" w:space="0" w:color="auto"/>
      </w:divBdr>
    </w:div>
    <w:div w:id="781220348">
      <w:bodyDiv w:val="1"/>
      <w:marLeft w:val="0"/>
      <w:marRight w:val="0"/>
      <w:marTop w:val="0"/>
      <w:marBottom w:val="0"/>
      <w:divBdr>
        <w:top w:val="none" w:sz="0" w:space="0" w:color="auto"/>
        <w:left w:val="none" w:sz="0" w:space="0" w:color="auto"/>
        <w:bottom w:val="none" w:sz="0" w:space="0" w:color="auto"/>
        <w:right w:val="none" w:sz="0" w:space="0" w:color="auto"/>
      </w:divBdr>
    </w:div>
    <w:div w:id="83480410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5NUHHDQN7SK2-1476151046-43810</_dlc_DocId>
    <_dlc_DocIdUrl xmlns="f166a696-7b5b-4ccd-9f0c-ffde0cceec81">
      <Url>https://ericsson.sharepoint.com/sites/star/_layouts/15/DocIdRedir.aspx?ID=5NUHHDQN7SK2-1476151046-43810</Url>
      <Description>5NUHHDQN7SK2-1476151046-43810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0871FD68-110C-4775-8087-27D5A4AC5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A29EFFE-0BD4-43E5-8377-57D539F8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666</TotalTime>
  <Pages>3</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Robert S Karlsson</dc:creator>
  <cp:keywords>TDoc; Ericsson; 3GPP</cp:keywords>
  <cp:lastModifiedBy>Robert Karlsson S</cp:lastModifiedBy>
  <cp:revision>148</cp:revision>
  <cp:lastPrinted>2008-01-31T16:09:00Z</cp:lastPrinted>
  <dcterms:created xsi:type="dcterms:W3CDTF">2019-02-05T15:37:00Z</dcterms:created>
  <dcterms:modified xsi:type="dcterms:W3CDTF">2019-03-29T01:02:00Z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63702273-6ca0-48e9-a15a-b9b8fb31c4fc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270</vt:lpwstr>
  </property>
  <property fmtid="{D5CDD505-2E9C-101B-9397-08002B2CF9AE}" pid="19" name="AuthorIds_UIVersion_3584">
    <vt:lpwstr>270</vt:lpwstr>
  </property>
  <property fmtid="{D5CDD505-2E9C-101B-9397-08002B2CF9AE}" pid="20" name="AuthorIds_UIVersion_2048">
    <vt:lpwstr>270</vt:lpwstr>
  </property>
</Properties>
</file>