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EC7AE8" w14:textId="1EADA93E" w:rsidR="008A2AF6" w:rsidRPr="00EE6198" w:rsidRDefault="008A2AF6" w:rsidP="008A2AF6">
      <w:pPr>
        <w:pStyle w:val="Header"/>
        <w:tabs>
          <w:tab w:val="right" w:pos="9639"/>
        </w:tabs>
        <w:rPr>
          <w:sz w:val="24"/>
          <w:lang w:val="en-GB" w:eastAsia="zh-CN"/>
        </w:rPr>
      </w:pPr>
      <w:r w:rsidRPr="00EE6198">
        <w:rPr>
          <w:sz w:val="24"/>
          <w:lang w:val="en-GB" w:eastAsia="zh-CN"/>
        </w:rPr>
        <w:t xml:space="preserve">3GPP TSG-RAN WG2 </w:t>
      </w:r>
      <w:r>
        <w:rPr>
          <w:sz w:val="24"/>
          <w:lang w:val="en-GB" w:eastAsia="zh-CN"/>
        </w:rPr>
        <w:t>Meeting</w:t>
      </w:r>
      <w:r w:rsidR="00AB6267">
        <w:rPr>
          <w:sz w:val="24"/>
          <w:lang w:val="en-GB" w:eastAsia="zh-CN"/>
        </w:rPr>
        <w:t>#</w:t>
      </w:r>
      <w:r>
        <w:rPr>
          <w:sz w:val="24"/>
          <w:lang w:val="en-GB" w:eastAsia="zh-CN"/>
        </w:rPr>
        <w:t>10</w:t>
      </w:r>
      <w:r w:rsidR="002A50DF">
        <w:rPr>
          <w:sz w:val="24"/>
          <w:lang w:val="en-GB" w:eastAsia="zh-CN"/>
        </w:rPr>
        <w:t>5</w:t>
      </w:r>
      <w:r w:rsidR="009E37A0">
        <w:rPr>
          <w:sz w:val="24"/>
          <w:lang w:val="en-GB" w:eastAsia="zh-CN"/>
        </w:rPr>
        <w:t>bis</w:t>
      </w:r>
      <w:r w:rsidRPr="00EE6198">
        <w:rPr>
          <w:sz w:val="24"/>
          <w:lang w:val="en-GB" w:eastAsia="zh-CN"/>
        </w:rPr>
        <w:tab/>
      </w:r>
      <w:r>
        <w:rPr>
          <w:sz w:val="24"/>
          <w:lang w:val="en-GB" w:eastAsia="zh-CN"/>
        </w:rPr>
        <w:t>R2-</w:t>
      </w:r>
      <w:r w:rsidR="001F7AF1">
        <w:rPr>
          <w:sz w:val="24"/>
          <w:lang w:val="en-GB" w:eastAsia="zh-CN"/>
        </w:rPr>
        <w:t>1904502</w:t>
      </w:r>
    </w:p>
    <w:p w14:paraId="6F2E7F47" w14:textId="77777777" w:rsidR="00A1143D" w:rsidRDefault="00A1143D" w:rsidP="00A1143D">
      <w:pPr>
        <w:pStyle w:val="Header"/>
        <w:rPr>
          <w:sz w:val="24"/>
          <w:lang w:val="en-GB" w:eastAsia="zh-CN"/>
        </w:rPr>
      </w:pPr>
      <w:r>
        <w:rPr>
          <w:sz w:val="24"/>
          <w:lang w:val="en-GB" w:eastAsia="zh-CN"/>
        </w:rPr>
        <w:t>Xi'an, China, 8</w:t>
      </w:r>
      <w:r>
        <w:rPr>
          <w:sz w:val="24"/>
          <w:vertAlign w:val="superscript"/>
          <w:lang w:val="en-GB" w:eastAsia="zh-CN"/>
        </w:rPr>
        <w:t>th</w:t>
      </w:r>
      <w:r>
        <w:rPr>
          <w:sz w:val="24"/>
          <w:lang w:val="en-GB" w:eastAsia="zh-CN"/>
        </w:rPr>
        <w:t xml:space="preserve"> – 12</w:t>
      </w:r>
      <w:r>
        <w:rPr>
          <w:sz w:val="24"/>
          <w:vertAlign w:val="superscript"/>
          <w:lang w:val="en-GB" w:eastAsia="zh-CN"/>
        </w:rPr>
        <w:t>th</w:t>
      </w:r>
      <w:r>
        <w:rPr>
          <w:sz w:val="24"/>
          <w:lang w:val="en-GB" w:eastAsia="zh-CN"/>
        </w:rPr>
        <w:t xml:space="preserve"> April 2019</w:t>
      </w:r>
    </w:p>
    <w:p w14:paraId="1DCB2151" w14:textId="1BB3F668" w:rsidR="008A2AF6" w:rsidRPr="009D56B1" w:rsidRDefault="008A2AF6" w:rsidP="003215EB">
      <w:pPr>
        <w:pStyle w:val="Header"/>
        <w:tabs>
          <w:tab w:val="right" w:pos="9639"/>
        </w:tabs>
        <w:rPr>
          <w:bCs/>
          <w:noProof w:val="0"/>
          <w:sz w:val="24"/>
          <w:lang w:eastAsia="ja-JP"/>
        </w:rPr>
      </w:pPr>
      <w:r w:rsidRPr="009D56B1">
        <w:rPr>
          <w:noProof w:val="0"/>
          <w:sz w:val="24"/>
          <w:lang w:eastAsia="zh-CN"/>
        </w:rPr>
        <w:tab/>
      </w:r>
    </w:p>
    <w:p w14:paraId="14C9E85C" w14:textId="17565F1F" w:rsidR="008A2AF6" w:rsidRPr="009D56B1" w:rsidRDefault="008A2AF6" w:rsidP="008A2AF6">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BF6BBA">
        <w:rPr>
          <w:rFonts w:eastAsia="SimSun" w:cs="Arial"/>
          <w:b/>
          <w:bCs/>
          <w:sz w:val="24"/>
          <w:lang w:val="en-US"/>
        </w:rPr>
        <w:t>11.4.</w:t>
      </w:r>
      <w:r w:rsidR="000C2550">
        <w:rPr>
          <w:rFonts w:eastAsia="SimSun" w:cs="Arial"/>
          <w:b/>
          <w:bCs/>
          <w:sz w:val="24"/>
          <w:lang w:val="en-US"/>
        </w:rPr>
        <w:t>6a</w:t>
      </w:r>
    </w:p>
    <w:p w14:paraId="20E3D349" w14:textId="77777777" w:rsidR="008A2AF6" w:rsidRPr="009D56B1" w:rsidRDefault="008A2AF6" w:rsidP="008A2AF6">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F2D6465" w14:textId="55851D89" w:rsidR="008A2AF6" w:rsidRPr="009D56B1" w:rsidRDefault="008A2AF6" w:rsidP="008A2AF6">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9E37A0">
        <w:rPr>
          <w:rFonts w:ascii="Arial" w:hAnsi="Arial" w:cs="Arial"/>
          <w:b/>
          <w:bCs/>
          <w:sz w:val="24"/>
        </w:rPr>
        <w:t>S</w:t>
      </w:r>
      <w:r w:rsidR="00BF6BBA" w:rsidRPr="00BF6BBA">
        <w:rPr>
          <w:rFonts w:ascii="Arial" w:hAnsi="Arial" w:cs="Arial"/>
          <w:b/>
          <w:bCs/>
          <w:sz w:val="24"/>
        </w:rPr>
        <w:t>witching</w:t>
      </w:r>
      <w:r w:rsidR="009E37A0">
        <w:rPr>
          <w:rFonts w:ascii="Arial" w:hAnsi="Arial" w:cs="Arial"/>
          <w:b/>
          <w:bCs/>
          <w:sz w:val="24"/>
        </w:rPr>
        <w:t xml:space="preserve"> between mode1 and mode2 for NR V2X</w:t>
      </w:r>
    </w:p>
    <w:p w14:paraId="6B715E77" w14:textId="77777777" w:rsidR="008A2AF6" w:rsidRPr="009D56B1" w:rsidRDefault="008A2AF6" w:rsidP="008A2AF6">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7741EB05" w14:textId="77777777" w:rsidR="008A2AF6" w:rsidRPr="00E0063E" w:rsidRDefault="008A2AF6" w:rsidP="003215EB">
      <w:pPr>
        <w:pStyle w:val="Tdoc"/>
        <w:ind w:hanging="630"/>
      </w:pPr>
      <w:r w:rsidRPr="00E0063E">
        <w:t>Introduction</w:t>
      </w:r>
      <w:r w:rsidRPr="00E0063E">
        <w:rPr>
          <w:lang w:val="en-GB"/>
        </w:rPr>
        <w:t xml:space="preserve">  </w:t>
      </w:r>
    </w:p>
    <w:p w14:paraId="3EEE3070" w14:textId="73DADEA8" w:rsidR="00294DD7" w:rsidRDefault="00BF6BBA" w:rsidP="008A2AF6">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In </w:t>
      </w:r>
      <w:r w:rsidR="005B2277">
        <w:rPr>
          <w:rFonts w:ascii="Times New Roman" w:hAnsi="Times New Roman"/>
          <w:sz w:val="20"/>
          <w:szCs w:val="20"/>
          <w:lang w:eastAsia="ja-JP"/>
        </w:rPr>
        <w:t xml:space="preserve">the </w:t>
      </w:r>
      <w:r>
        <w:rPr>
          <w:rFonts w:ascii="Times New Roman" w:hAnsi="Times New Roman"/>
          <w:sz w:val="20"/>
          <w:szCs w:val="20"/>
          <w:lang w:eastAsia="ja-JP"/>
        </w:rPr>
        <w:t>email dis</w:t>
      </w:r>
      <w:r w:rsidR="009F19A9">
        <w:rPr>
          <w:rFonts w:ascii="Times New Roman" w:hAnsi="Times New Roman"/>
          <w:sz w:val="20"/>
          <w:szCs w:val="20"/>
          <w:lang w:eastAsia="ja-JP"/>
        </w:rPr>
        <w:t>cuss</w:t>
      </w:r>
      <w:r w:rsidR="00A1143D">
        <w:rPr>
          <w:rFonts w:ascii="Times New Roman" w:hAnsi="Times New Roman"/>
          <w:sz w:val="20"/>
          <w:szCs w:val="20"/>
          <w:lang w:eastAsia="ja-JP"/>
        </w:rPr>
        <w:t>ion on resource allocation RAN2#</w:t>
      </w:r>
      <w:r w:rsidR="009F19A9">
        <w:rPr>
          <w:rFonts w:ascii="Times New Roman" w:hAnsi="Times New Roman"/>
          <w:sz w:val="20"/>
          <w:szCs w:val="20"/>
          <w:lang w:eastAsia="ja-JP"/>
        </w:rPr>
        <w:t>104#60</w:t>
      </w:r>
      <w:r w:rsidR="00DF5A46">
        <w:rPr>
          <w:rFonts w:ascii="Times New Roman" w:hAnsi="Times New Roman"/>
          <w:sz w:val="20"/>
          <w:szCs w:val="20"/>
          <w:lang w:eastAsia="ja-JP"/>
        </w:rPr>
        <w:t xml:space="preserve">, </w:t>
      </w:r>
      <w:r>
        <w:rPr>
          <w:rFonts w:ascii="Times New Roman" w:hAnsi="Times New Roman"/>
          <w:sz w:val="20"/>
          <w:szCs w:val="20"/>
          <w:lang w:eastAsia="ja-JP"/>
        </w:rPr>
        <w:t>simultaneous support of mode 1 and mode 2 operation at the UE was briefly discussed</w:t>
      </w:r>
      <w:r w:rsidR="00294DD7">
        <w:rPr>
          <w:rFonts w:ascii="Times New Roman" w:hAnsi="Times New Roman"/>
          <w:sz w:val="20"/>
          <w:szCs w:val="20"/>
          <w:lang w:eastAsia="ja-JP"/>
        </w:rPr>
        <w:t xml:space="preserve"> and many companies suggested that for better QoS, it is necessary to support both modes for a given UE</w:t>
      </w:r>
      <w:r w:rsidR="00DF5A46">
        <w:rPr>
          <w:rFonts w:ascii="Times New Roman" w:hAnsi="Times New Roman"/>
          <w:sz w:val="20"/>
          <w:szCs w:val="20"/>
          <w:lang w:eastAsia="ja-JP"/>
        </w:rPr>
        <w:t xml:space="preserve">. </w:t>
      </w:r>
      <w:r w:rsidR="00294DD7">
        <w:rPr>
          <w:rFonts w:ascii="Times New Roman" w:hAnsi="Times New Roman"/>
          <w:sz w:val="20"/>
          <w:szCs w:val="20"/>
          <w:lang w:eastAsia="ja-JP"/>
        </w:rPr>
        <w:t>During RAN2#105</w:t>
      </w:r>
      <w:r w:rsidR="00795B17">
        <w:rPr>
          <w:rFonts w:ascii="Times New Roman" w:hAnsi="Times New Roman"/>
          <w:sz w:val="20"/>
          <w:szCs w:val="20"/>
          <w:lang w:eastAsia="ja-JP"/>
        </w:rPr>
        <w:t xml:space="preserve"> [1]</w:t>
      </w:r>
      <w:r w:rsidR="00294DD7">
        <w:rPr>
          <w:rFonts w:ascii="Times New Roman" w:hAnsi="Times New Roman"/>
          <w:sz w:val="20"/>
          <w:szCs w:val="20"/>
          <w:lang w:eastAsia="ja-JP"/>
        </w:rPr>
        <w:t>, the following agreement was made:</w:t>
      </w:r>
    </w:p>
    <w:p w14:paraId="63811558" w14:textId="77777777" w:rsidR="00294DD7" w:rsidRPr="005F1AFD" w:rsidRDefault="00294DD7" w:rsidP="00632275">
      <w:pPr>
        <w:pBdr>
          <w:top w:val="single" w:sz="4" w:space="1" w:color="auto"/>
          <w:left w:val="single" w:sz="4" w:space="4" w:color="auto"/>
          <w:bottom w:val="single" w:sz="4" w:space="1" w:color="auto"/>
          <w:right w:val="single" w:sz="4" w:space="4" w:color="auto"/>
        </w:pBdr>
        <w:tabs>
          <w:tab w:val="left" w:pos="720"/>
        </w:tabs>
        <w:ind w:left="720"/>
      </w:pPr>
      <w:r>
        <w:rPr>
          <w:noProof/>
        </w:rPr>
        <w:t>1-12: Confirm that UE may be configured to perform both network controlled sidelink transmission and UE autonomous sidelink transmission.</w:t>
      </w:r>
    </w:p>
    <w:p w14:paraId="1AB589D2" w14:textId="1BCE3C4A" w:rsidR="008A2AF6" w:rsidRPr="00C11F0A" w:rsidRDefault="00DF5A46" w:rsidP="008A2AF6">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In this contribution</w:t>
      </w:r>
      <w:r w:rsidR="00BF6BBA">
        <w:rPr>
          <w:rFonts w:ascii="Times New Roman" w:hAnsi="Times New Roman"/>
          <w:sz w:val="20"/>
          <w:szCs w:val="20"/>
          <w:lang w:eastAsia="ja-JP"/>
        </w:rPr>
        <w:t>,</w:t>
      </w:r>
      <w:r w:rsidR="005B2277">
        <w:rPr>
          <w:rFonts w:ascii="Times New Roman" w:hAnsi="Times New Roman"/>
          <w:sz w:val="20"/>
          <w:szCs w:val="20"/>
          <w:lang w:eastAsia="ja-JP"/>
        </w:rPr>
        <w:t xml:space="preserve"> we aim to lay out</w:t>
      </w:r>
      <w:r>
        <w:rPr>
          <w:rFonts w:ascii="Times New Roman" w:hAnsi="Times New Roman"/>
          <w:sz w:val="20"/>
          <w:szCs w:val="20"/>
          <w:lang w:eastAsia="ja-JP"/>
        </w:rPr>
        <w:t xml:space="preserve"> </w:t>
      </w:r>
      <w:r w:rsidR="00294DD7">
        <w:rPr>
          <w:rFonts w:ascii="Times New Roman" w:hAnsi="Times New Roman"/>
          <w:sz w:val="20"/>
          <w:szCs w:val="20"/>
          <w:lang w:eastAsia="ja-JP"/>
        </w:rPr>
        <w:t>some considerations</w:t>
      </w:r>
      <w:r w:rsidR="005B2277">
        <w:rPr>
          <w:rFonts w:ascii="Times New Roman" w:hAnsi="Times New Roman"/>
          <w:sz w:val="20"/>
          <w:szCs w:val="20"/>
          <w:lang w:eastAsia="ja-JP"/>
        </w:rPr>
        <w:t xml:space="preserve"> to support</w:t>
      </w:r>
      <w:r w:rsidR="00294DD7">
        <w:rPr>
          <w:rFonts w:ascii="Times New Roman" w:hAnsi="Times New Roman"/>
          <w:sz w:val="20"/>
          <w:szCs w:val="20"/>
          <w:lang w:eastAsia="ja-JP"/>
        </w:rPr>
        <w:t xml:space="preserve"> switching between the two modes in NR V2X</w:t>
      </w:r>
      <w:r>
        <w:rPr>
          <w:rFonts w:ascii="Times New Roman" w:hAnsi="Times New Roman"/>
          <w:sz w:val="20"/>
          <w:szCs w:val="20"/>
          <w:lang w:eastAsia="ja-JP"/>
        </w:rPr>
        <w:t>.</w:t>
      </w:r>
    </w:p>
    <w:p w14:paraId="4174F363" w14:textId="77777777" w:rsidR="008A2AF6" w:rsidRPr="001C137C" w:rsidRDefault="008A2AF6" w:rsidP="00C94AE1">
      <w:pPr>
        <w:pStyle w:val="Tdoc"/>
        <w:ind w:hanging="630"/>
      </w:pPr>
      <w:r>
        <w:t>Discussion</w:t>
      </w:r>
    </w:p>
    <w:p w14:paraId="00BE0F2B" w14:textId="591FABB1" w:rsidR="003C0DA3" w:rsidRDefault="0080328B" w:rsidP="008A2AF6">
      <w:pPr>
        <w:pStyle w:val="ListParagraph"/>
        <w:widowControl w:val="0"/>
        <w:numPr>
          <w:ilvl w:val="1"/>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 xml:space="preserve">Simultaneous mode support </w:t>
      </w:r>
    </w:p>
    <w:p w14:paraId="4B206397" w14:textId="6FAF1AD4" w:rsidR="00F905B1" w:rsidRDefault="00F905B1" w:rsidP="00294DD7">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In LTE, only one mode could be supported at a given time by the UE</w:t>
      </w:r>
      <w:r w:rsidR="00294DD7">
        <w:rPr>
          <w:rFonts w:ascii="Times New Roman" w:eastAsia="MS Mincho" w:hAnsi="Times New Roman"/>
          <w:bCs/>
          <w:sz w:val="20"/>
          <w:szCs w:val="26"/>
          <w:lang w:val="en-GB" w:eastAsia="en-GB"/>
        </w:rPr>
        <w:t xml:space="preserve"> whereas in NR V2X, support of both NW-scheduled and UE-autonomous resource configuration modes simultaneously has been agreed</w:t>
      </w:r>
      <w:r>
        <w:rPr>
          <w:rFonts w:ascii="Times New Roman" w:eastAsia="MS Mincho" w:hAnsi="Times New Roman"/>
          <w:bCs/>
          <w:sz w:val="20"/>
          <w:szCs w:val="26"/>
          <w:lang w:val="en-GB" w:eastAsia="en-GB"/>
        </w:rPr>
        <w:t>. Supporting different services with different QoS requirements</w:t>
      </w:r>
      <w:r w:rsidR="00D16B0F">
        <w:rPr>
          <w:rFonts w:ascii="Times New Roman" w:eastAsia="MS Mincho" w:hAnsi="Times New Roman"/>
          <w:bCs/>
          <w:sz w:val="20"/>
          <w:szCs w:val="26"/>
          <w:lang w:val="en-GB" w:eastAsia="en-GB"/>
        </w:rPr>
        <w:t xml:space="preserve"> (e.g. 3ms or 100ms) </w:t>
      </w:r>
      <w:r>
        <w:rPr>
          <w:rFonts w:ascii="Times New Roman" w:eastAsia="MS Mincho" w:hAnsi="Times New Roman"/>
          <w:bCs/>
          <w:sz w:val="20"/>
          <w:szCs w:val="26"/>
          <w:lang w:val="en-GB" w:eastAsia="en-GB"/>
        </w:rPr>
        <w:t xml:space="preserve">seems to be the motivation </w:t>
      </w:r>
      <w:r w:rsidR="008E1F3B">
        <w:rPr>
          <w:rFonts w:ascii="Times New Roman" w:eastAsia="MS Mincho" w:hAnsi="Times New Roman"/>
          <w:bCs/>
          <w:sz w:val="20"/>
          <w:szCs w:val="26"/>
          <w:lang w:val="en-GB" w:eastAsia="en-GB"/>
        </w:rPr>
        <w:t xml:space="preserve">among </w:t>
      </w:r>
      <w:r>
        <w:rPr>
          <w:rFonts w:ascii="Times New Roman" w:eastAsia="MS Mincho" w:hAnsi="Times New Roman"/>
          <w:bCs/>
          <w:sz w:val="20"/>
          <w:szCs w:val="26"/>
          <w:lang w:val="en-GB" w:eastAsia="en-GB"/>
        </w:rPr>
        <w:t xml:space="preserve">different companies to introduce this type of configuration for NR V2X. </w:t>
      </w:r>
      <w:r w:rsidR="00D16B0F" w:rsidRPr="00D16B0F">
        <w:rPr>
          <w:rFonts w:ascii="Times New Roman" w:eastAsia="MS Mincho" w:hAnsi="Times New Roman"/>
          <w:bCs/>
          <w:sz w:val="20"/>
          <w:szCs w:val="26"/>
          <w:lang w:val="en-GB" w:eastAsia="en-GB"/>
        </w:rPr>
        <w:t xml:space="preserve">In LTE V2X, for both NW scheduled and autonomous cases, the transmission was broadcast based, i.e. no dedicated connection was assumed by the UE when sending the packet over sidelink. With NR V2X and the possibility of supporting both unicast and broadcast based communication, there is an added dimension of complexity to </w:t>
      </w:r>
      <w:r w:rsidR="00473F99">
        <w:rPr>
          <w:rFonts w:ascii="Times New Roman" w:eastAsia="MS Mincho" w:hAnsi="Times New Roman"/>
          <w:bCs/>
          <w:sz w:val="20"/>
          <w:szCs w:val="26"/>
          <w:lang w:val="en-GB" w:eastAsia="en-GB"/>
        </w:rPr>
        <w:t>study</w:t>
      </w:r>
      <w:r w:rsidR="00D16B0F" w:rsidRPr="00D16B0F">
        <w:rPr>
          <w:rFonts w:ascii="Times New Roman" w:eastAsia="MS Mincho" w:hAnsi="Times New Roman"/>
          <w:bCs/>
          <w:sz w:val="20"/>
          <w:szCs w:val="26"/>
          <w:lang w:val="en-GB" w:eastAsia="en-GB"/>
        </w:rPr>
        <w:t xml:space="preserve"> when considering resource config</w:t>
      </w:r>
      <w:r w:rsidR="00D16B0F">
        <w:rPr>
          <w:rFonts w:ascii="Times New Roman" w:eastAsia="MS Mincho" w:hAnsi="Times New Roman"/>
          <w:bCs/>
          <w:sz w:val="20"/>
          <w:szCs w:val="26"/>
          <w:lang w:val="en-GB" w:eastAsia="en-GB"/>
        </w:rPr>
        <w:t>uration design a</w:t>
      </w:r>
      <w:r w:rsidR="00473F99">
        <w:rPr>
          <w:rFonts w:ascii="Times New Roman" w:eastAsia="MS Mincho" w:hAnsi="Times New Roman"/>
          <w:bCs/>
          <w:sz w:val="20"/>
          <w:szCs w:val="26"/>
          <w:lang w:val="en-GB" w:eastAsia="en-GB"/>
        </w:rPr>
        <w:t>nd procedures e.g</w:t>
      </w:r>
      <w:r w:rsidR="00D16B0F">
        <w:rPr>
          <w:rFonts w:ascii="Times New Roman" w:eastAsia="MS Mincho" w:hAnsi="Times New Roman"/>
          <w:bCs/>
          <w:sz w:val="20"/>
          <w:szCs w:val="26"/>
          <w:lang w:val="en-GB" w:eastAsia="en-GB"/>
        </w:rPr>
        <w:t>. in case when both</w:t>
      </w:r>
      <w:r w:rsidR="00D16B0F" w:rsidRPr="00D16B0F">
        <w:rPr>
          <w:rFonts w:ascii="Times New Roman" w:eastAsia="MS Mincho" w:hAnsi="Times New Roman"/>
          <w:bCs/>
          <w:sz w:val="20"/>
          <w:szCs w:val="26"/>
          <w:lang w:val="en-GB" w:eastAsia="en-GB"/>
        </w:rPr>
        <w:t xml:space="preserve"> the NW scheduled and </w:t>
      </w:r>
      <w:r w:rsidR="00D16B0F">
        <w:rPr>
          <w:rFonts w:ascii="Times New Roman" w:eastAsia="MS Mincho" w:hAnsi="Times New Roman"/>
          <w:bCs/>
          <w:sz w:val="20"/>
          <w:szCs w:val="26"/>
          <w:lang w:val="en-GB" w:eastAsia="en-GB"/>
        </w:rPr>
        <w:t xml:space="preserve">UE </w:t>
      </w:r>
      <w:r w:rsidR="00D16B0F" w:rsidRPr="00D16B0F">
        <w:rPr>
          <w:rFonts w:ascii="Times New Roman" w:eastAsia="MS Mincho" w:hAnsi="Times New Roman"/>
          <w:bCs/>
          <w:sz w:val="20"/>
          <w:szCs w:val="26"/>
          <w:lang w:val="en-GB" w:eastAsia="en-GB"/>
        </w:rPr>
        <w:t>autonomous modes are supported simultaneously</w:t>
      </w:r>
      <w:r w:rsidR="00D16B0F">
        <w:rPr>
          <w:rFonts w:ascii="Times New Roman" w:eastAsia="MS Mincho" w:hAnsi="Times New Roman"/>
          <w:bCs/>
          <w:sz w:val="20"/>
          <w:szCs w:val="26"/>
          <w:lang w:val="en-GB" w:eastAsia="en-GB"/>
        </w:rPr>
        <w:t>.</w:t>
      </w:r>
      <w:r w:rsidR="00294DD7">
        <w:rPr>
          <w:rFonts w:ascii="Times New Roman" w:eastAsia="MS Mincho" w:hAnsi="Times New Roman"/>
          <w:bCs/>
          <w:sz w:val="20"/>
          <w:szCs w:val="26"/>
          <w:lang w:val="en-GB" w:eastAsia="en-GB"/>
        </w:rPr>
        <w:t xml:space="preserve"> In order to avoid complexity, </w:t>
      </w:r>
      <w:r w:rsidR="00294DD7" w:rsidRPr="00D16B0F">
        <w:rPr>
          <w:rFonts w:ascii="Times New Roman" w:eastAsia="MS Mincho" w:hAnsi="Times New Roman"/>
          <w:bCs/>
          <w:sz w:val="20"/>
          <w:szCs w:val="26"/>
          <w:lang w:val="en-GB" w:eastAsia="en-GB"/>
        </w:rPr>
        <w:t xml:space="preserve">the </w:t>
      </w:r>
      <w:r w:rsidR="00294DD7">
        <w:rPr>
          <w:rFonts w:ascii="Times New Roman" w:eastAsia="MS Mincho" w:hAnsi="Times New Roman"/>
          <w:bCs/>
          <w:sz w:val="20"/>
          <w:szCs w:val="26"/>
          <w:lang w:val="en-GB" w:eastAsia="en-GB"/>
        </w:rPr>
        <w:t xml:space="preserve">V2X </w:t>
      </w:r>
      <w:r w:rsidR="00294DD7" w:rsidRPr="00D16B0F">
        <w:rPr>
          <w:rFonts w:ascii="Times New Roman" w:eastAsia="MS Mincho" w:hAnsi="Times New Roman"/>
          <w:bCs/>
          <w:sz w:val="20"/>
          <w:szCs w:val="26"/>
          <w:lang w:val="en-GB" w:eastAsia="en-GB"/>
        </w:rPr>
        <w:t xml:space="preserve">UE </w:t>
      </w:r>
      <w:r w:rsidR="00294DD7">
        <w:rPr>
          <w:rFonts w:ascii="Times New Roman" w:eastAsia="MS Mincho" w:hAnsi="Times New Roman"/>
          <w:bCs/>
          <w:sz w:val="20"/>
          <w:szCs w:val="26"/>
          <w:lang w:val="en-GB" w:eastAsia="en-GB"/>
        </w:rPr>
        <w:t xml:space="preserve">can be assumed to be in RRC_CONNECTED state to support both network scheduled and UE autonomous resource allocation modes simultaneously, and if a UE is in-coverage and has the ability to support mode-1, it would be practical to initiate a switch from idle/inactive to connected so the required QoS can be met as necessary. Furthermore, when the UE is out-of-coverage it only has the ability to </w:t>
      </w:r>
      <w:r w:rsidR="007E44B9">
        <w:rPr>
          <w:rFonts w:ascii="Times New Roman" w:eastAsia="MS Mincho" w:hAnsi="Times New Roman"/>
          <w:bCs/>
          <w:sz w:val="20"/>
          <w:szCs w:val="26"/>
          <w:lang w:val="en-GB" w:eastAsia="en-GB"/>
        </w:rPr>
        <w:t>use mode-2 (UE autonomous mode). I</w:t>
      </w:r>
      <w:r w:rsidR="00294DD7">
        <w:rPr>
          <w:rFonts w:ascii="Times New Roman" w:eastAsia="MS Mincho" w:hAnsi="Times New Roman"/>
          <w:bCs/>
          <w:sz w:val="20"/>
          <w:szCs w:val="26"/>
          <w:lang w:val="en-GB" w:eastAsia="en-GB"/>
        </w:rPr>
        <w:t>f the QoS requirement for the use case indicates that mode-1 could be used, the UE should try to switch to mode-1 as soon as it is in-coverage.</w:t>
      </w:r>
    </w:p>
    <w:p w14:paraId="12EE4587" w14:textId="1645AE2F" w:rsidR="00064677" w:rsidRDefault="006C65E9" w:rsidP="006C65E9">
      <w:pPr>
        <w:widowControl w:val="0"/>
        <w:tabs>
          <w:tab w:val="left" w:pos="907"/>
        </w:tabs>
        <w:spacing w:before="240" w:after="60" w:line="240" w:lineRule="auto"/>
        <w:ind w:left="1440" w:hanging="1440"/>
        <w:outlineLvl w:val="2"/>
        <w:rPr>
          <w:rFonts w:ascii="Arial" w:eastAsia="MS Mincho" w:hAnsi="Arial" w:cs="Arial"/>
          <w:bCs/>
          <w:sz w:val="26"/>
          <w:szCs w:val="26"/>
          <w:lang w:val="en-GB" w:eastAsia="en-GB"/>
        </w:rPr>
      </w:pPr>
      <w:r>
        <w:rPr>
          <w:rFonts w:ascii="Times New Roman" w:eastAsia="Malgun Gothic" w:hAnsi="Times New Roman"/>
          <w:b/>
          <w:sz w:val="20"/>
          <w:szCs w:val="20"/>
          <w:lang w:val="en-GB" w:eastAsia="zh-CN"/>
        </w:rPr>
        <w:t>Observation 1</w:t>
      </w:r>
      <w:r w:rsidRPr="008B10E6">
        <w:rPr>
          <w:rFonts w:ascii="Times New Roman" w:eastAsia="Malgun Gothic" w:hAnsi="Times New Roman"/>
          <w:b/>
          <w:sz w:val="20"/>
          <w:szCs w:val="20"/>
          <w:lang w:val="en-GB" w:eastAsia="zh-CN"/>
        </w:rPr>
        <w:t>:</w:t>
      </w:r>
      <w:r>
        <w:rPr>
          <w:rFonts w:ascii="Times New Roman" w:eastAsia="Malgun Gothic" w:hAnsi="Times New Roman"/>
          <w:b/>
          <w:sz w:val="20"/>
          <w:szCs w:val="20"/>
          <w:lang w:val="en-GB" w:eastAsia="zh-CN"/>
        </w:rPr>
        <w:t xml:space="preserve"> </w:t>
      </w:r>
      <w:r>
        <w:rPr>
          <w:rFonts w:ascii="Times New Roman" w:eastAsia="Malgun Gothic" w:hAnsi="Times New Roman"/>
          <w:b/>
          <w:sz w:val="20"/>
          <w:szCs w:val="20"/>
          <w:lang w:val="en-GB" w:eastAsia="zh-CN"/>
        </w:rPr>
        <w:tab/>
      </w:r>
      <w:r w:rsidRPr="00896764">
        <w:rPr>
          <w:rFonts w:ascii="Times New Roman" w:eastAsia="MS Mincho" w:hAnsi="Times New Roman"/>
          <w:bCs/>
          <w:i/>
          <w:sz w:val="20"/>
          <w:szCs w:val="26"/>
          <w:lang w:val="en-GB" w:eastAsia="en-GB"/>
        </w:rPr>
        <w:t>For NR V2X advanced use case support, the</w:t>
      </w:r>
      <w:r w:rsidRPr="007E44B9">
        <w:rPr>
          <w:rFonts w:ascii="Times New Roman" w:eastAsia="MS Mincho" w:hAnsi="Times New Roman"/>
          <w:bCs/>
          <w:i/>
          <w:sz w:val="20"/>
          <w:szCs w:val="26"/>
          <w:lang w:val="en-GB" w:eastAsia="en-GB"/>
        </w:rPr>
        <w:t xml:space="preserve"> underlying consideration is that mode1 provides better QoS than mode2 due to scheduled nature of the resources and reduced collision probability and </w:t>
      </w:r>
      <w:r>
        <w:rPr>
          <w:rFonts w:ascii="Times New Roman" w:eastAsia="MS Mincho" w:hAnsi="Times New Roman"/>
          <w:bCs/>
          <w:i/>
          <w:sz w:val="20"/>
          <w:szCs w:val="26"/>
          <w:lang w:val="en-GB" w:eastAsia="en-GB"/>
        </w:rPr>
        <w:t xml:space="preserve">thereby </w:t>
      </w:r>
      <w:r w:rsidRPr="007E44B9">
        <w:rPr>
          <w:rFonts w:ascii="Times New Roman" w:eastAsia="MS Mincho" w:hAnsi="Times New Roman"/>
          <w:bCs/>
          <w:i/>
          <w:sz w:val="20"/>
          <w:szCs w:val="26"/>
          <w:lang w:val="en-GB" w:eastAsia="en-GB"/>
        </w:rPr>
        <w:t>increased reliability</w:t>
      </w:r>
      <w:r>
        <w:rPr>
          <w:rFonts w:ascii="Times New Roman" w:eastAsia="MS Mincho" w:hAnsi="Times New Roman"/>
          <w:bCs/>
          <w:i/>
          <w:sz w:val="20"/>
          <w:szCs w:val="26"/>
          <w:lang w:val="en-GB" w:eastAsia="en-GB"/>
        </w:rPr>
        <w:t>.</w:t>
      </w:r>
    </w:p>
    <w:p w14:paraId="2F0A9A0A" w14:textId="02D5BC4C" w:rsidR="0080328B" w:rsidRDefault="00847EBF" w:rsidP="008A2AF6">
      <w:pPr>
        <w:pStyle w:val="ListParagraph"/>
        <w:widowControl w:val="0"/>
        <w:numPr>
          <w:ilvl w:val="1"/>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S</w:t>
      </w:r>
      <w:r w:rsidR="0080328B">
        <w:rPr>
          <w:rFonts w:ascii="Arial" w:eastAsia="MS Mincho" w:hAnsi="Arial" w:cs="Arial"/>
          <w:bCs/>
          <w:sz w:val="26"/>
          <w:szCs w:val="26"/>
          <w:lang w:val="en-GB" w:eastAsia="en-GB"/>
        </w:rPr>
        <w:t>witching</w:t>
      </w:r>
      <w:r>
        <w:rPr>
          <w:rFonts w:ascii="Arial" w:eastAsia="MS Mincho" w:hAnsi="Arial" w:cs="Arial"/>
          <w:bCs/>
          <w:sz w:val="26"/>
          <w:szCs w:val="26"/>
          <w:lang w:val="en-GB" w:eastAsia="en-GB"/>
        </w:rPr>
        <w:t xml:space="preserve"> modes</w:t>
      </w:r>
    </w:p>
    <w:p w14:paraId="45CF0571" w14:textId="31F5D5DF" w:rsidR="005E09DE" w:rsidRDefault="00980867" w:rsidP="009F19A9">
      <w:pPr>
        <w:pStyle w:val="ListParagraph"/>
        <w:ind w:left="0" w:firstLine="180"/>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When simultaneous </w:t>
      </w:r>
      <w:r w:rsidR="00246D21">
        <w:rPr>
          <w:rFonts w:ascii="Times New Roman" w:eastAsia="MS Mincho" w:hAnsi="Times New Roman"/>
          <w:bCs/>
          <w:sz w:val="20"/>
          <w:szCs w:val="26"/>
          <w:lang w:val="en-GB" w:eastAsia="en-GB"/>
        </w:rPr>
        <w:t xml:space="preserve">resource allocation </w:t>
      </w:r>
      <w:r>
        <w:rPr>
          <w:rFonts w:ascii="Times New Roman" w:eastAsia="MS Mincho" w:hAnsi="Times New Roman"/>
          <w:bCs/>
          <w:sz w:val="20"/>
          <w:szCs w:val="26"/>
          <w:lang w:val="en-GB" w:eastAsia="en-GB"/>
        </w:rPr>
        <w:t>mode is supported, it needs to be discussed about which layer</w:t>
      </w:r>
      <w:r w:rsidR="00246D21">
        <w:rPr>
          <w:rFonts w:ascii="Times New Roman" w:eastAsia="MS Mincho" w:hAnsi="Times New Roman"/>
          <w:bCs/>
          <w:sz w:val="20"/>
          <w:szCs w:val="26"/>
          <w:lang w:val="en-GB" w:eastAsia="en-GB"/>
        </w:rPr>
        <w:t xml:space="preserve"> or </w:t>
      </w:r>
      <w:r w:rsidR="0023687E">
        <w:rPr>
          <w:rFonts w:ascii="Times New Roman" w:eastAsia="MS Mincho" w:hAnsi="Times New Roman"/>
          <w:bCs/>
          <w:sz w:val="20"/>
          <w:szCs w:val="26"/>
          <w:lang w:val="en-GB" w:eastAsia="en-GB"/>
        </w:rPr>
        <w:t>entity</w:t>
      </w:r>
      <w:r>
        <w:rPr>
          <w:rFonts w:ascii="Times New Roman" w:eastAsia="MS Mincho" w:hAnsi="Times New Roman"/>
          <w:bCs/>
          <w:sz w:val="20"/>
          <w:szCs w:val="26"/>
          <w:lang w:val="en-GB" w:eastAsia="en-GB"/>
        </w:rPr>
        <w:t xml:space="preserve"> is responsible for deciding the specific resource </w:t>
      </w:r>
      <w:r w:rsidR="0023687E">
        <w:rPr>
          <w:rFonts w:ascii="Times New Roman" w:eastAsia="MS Mincho" w:hAnsi="Times New Roman"/>
          <w:bCs/>
          <w:sz w:val="20"/>
          <w:szCs w:val="26"/>
          <w:lang w:val="en-GB" w:eastAsia="en-GB"/>
        </w:rPr>
        <w:t xml:space="preserve">allocation </w:t>
      </w:r>
      <w:r>
        <w:rPr>
          <w:rFonts w:ascii="Times New Roman" w:eastAsia="MS Mincho" w:hAnsi="Times New Roman"/>
          <w:bCs/>
          <w:sz w:val="20"/>
          <w:szCs w:val="26"/>
          <w:lang w:val="en-GB" w:eastAsia="en-GB"/>
        </w:rPr>
        <w:t xml:space="preserve">mode </w:t>
      </w:r>
      <w:r w:rsidR="00AC5834">
        <w:rPr>
          <w:rFonts w:ascii="Times New Roman" w:eastAsia="MS Mincho" w:hAnsi="Times New Roman"/>
          <w:bCs/>
          <w:sz w:val="20"/>
          <w:szCs w:val="26"/>
          <w:lang w:val="en-GB" w:eastAsia="en-GB"/>
        </w:rPr>
        <w:t xml:space="preserve">to be used </w:t>
      </w:r>
      <w:r w:rsidR="0023687E">
        <w:rPr>
          <w:rFonts w:ascii="Times New Roman" w:eastAsia="MS Mincho" w:hAnsi="Times New Roman"/>
          <w:bCs/>
          <w:sz w:val="20"/>
          <w:szCs w:val="26"/>
          <w:lang w:val="en-GB" w:eastAsia="en-GB"/>
        </w:rPr>
        <w:t xml:space="preserve">for a given service. </w:t>
      </w:r>
      <w:r w:rsidR="005E09DE">
        <w:rPr>
          <w:rFonts w:ascii="Times New Roman" w:eastAsia="MS Mincho" w:hAnsi="Times New Roman"/>
          <w:bCs/>
          <w:sz w:val="20"/>
          <w:szCs w:val="26"/>
          <w:lang w:val="en-GB" w:eastAsia="en-GB"/>
        </w:rPr>
        <w:t xml:space="preserve">This can be suggested by the network </w:t>
      </w:r>
      <w:r w:rsidR="00246D21">
        <w:rPr>
          <w:rFonts w:ascii="Times New Roman" w:eastAsia="MS Mincho" w:hAnsi="Times New Roman"/>
          <w:bCs/>
          <w:sz w:val="20"/>
          <w:szCs w:val="26"/>
          <w:lang w:val="en-GB" w:eastAsia="en-GB"/>
        </w:rPr>
        <w:t xml:space="preserve">in a deterministic way </w:t>
      </w:r>
      <w:r w:rsidR="005E09DE">
        <w:rPr>
          <w:rFonts w:ascii="Times New Roman" w:eastAsia="MS Mincho" w:hAnsi="Times New Roman"/>
          <w:bCs/>
          <w:sz w:val="20"/>
          <w:szCs w:val="26"/>
          <w:lang w:val="en-GB" w:eastAsia="en-GB"/>
        </w:rPr>
        <w:t xml:space="preserve">or </w:t>
      </w:r>
      <w:r w:rsidR="00294DD7">
        <w:rPr>
          <w:rFonts w:ascii="Times New Roman" w:eastAsia="MS Mincho" w:hAnsi="Times New Roman"/>
          <w:bCs/>
          <w:sz w:val="20"/>
          <w:szCs w:val="26"/>
          <w:lang w:val="en-GB" w:eastAsia="en-GB"/>
        </w:rPr>
        <w:t xml:space="preserve">it can be </w:t>
      </w:r>
      <w:r w:rsidR="005E09DE">
        <w:rPr>
          <w:rFonts w:ascii="Times New Roman" w:eastAsia="MS Mincho" w:hAnsi="Times New Roman"/>
          <w:bCs/>
          <w:sz w:val="20"/>
          <w:szCs w:val="26"/>
          <w:lang w:val="en-GB" w:eastAsia="en-GB"/>
        </w:rPr>
        <w:t>pre-configured or potentially hinted by the upper layers</w:t>
      </w:r>
      <w:r w:rsidR="00246D21">
        <w:rPr>
          <w:rFonts w:ascii="Times New Roman" w:eastAsia="MS Mincho" w:hAnsi="Times New Roman"/>
          <w:bCs/>
          <w:sz w:val="20"/>
          <w:szCs w:val="26"/>
          <w:lang w:val="en-GB" w:eastAsia="en-GB"/>
        </w:rPr>
        <w:t xml:space="preserve"> dynamically</w:t>
      </w:r>
      <w:r w:rsidR="005E09DE">
        <w:rPr>
          <w:rFonts w:ascii="Times New Roman" w:eastAsia="MS Mincho" w:hAnsi="Times New Roman"/>
          <w:bCs/>
          <w:sz w:val="20"/>
          <w:szCs w:val="26"/>
          <w:lang w:val="en-GB" w:eastAsia="en-GB"/>
        </w:rPr>
        <w:t xml:space="preserve">. The classification </w:t>
      </w:r>
      <w:r w:rsidR="00246D21">
        <w:rPr>
          <w:rFonts w:ascii="Times New Roman" w:eastAsia="MS Mincho" w:hAnsi="Times New Roman"/>
          <w:bCs/>
          <w:sz w:val="20"/>
          <w:szCs w:val="26"/>
          <w:lang w:val="en-GB" w:eastAsia="en-GB"/>
        </w:rPr>
        <w:t xml:space="preserve">of whether </w:t>
      </w:r>
      <w:r w:rsidR="005E09DE">
        <w:rPr>
          <w:rFonts w:ascii="Times New Roman" w:eastAsia="MS Mincho" w:hAnsi="Times New Roman"/>
          <w:bCs/>
          <w:sz w:val="20"/>
          <w:szCs w:val="26"/>
          <w:lang w:val="en-GB" w:eastAsia="en-GB"/>
        </w:rPr>
        <w:t xml:space="preserve">the </w:t>
      </w:r>
      <w:r w:rsidR="00294DD7">
        <w:rPr>
          <w:rFonts w:ascii="Times New Roman" w:eastAsia="MS Mincho" w:hAnsi="Times New Roman"/>
          <w:bCs/>
          <w:sz w:val="20"/>
          <w:szCs w:val="26"/>
          <w:lang w:val="en-GB" w:eastAsia="en-GB"/>
        </w:rPr>
        <w:t xml:space="preserve">incoming </w:t>
      </w:r>
      <w:r w:rsidR="005E09DE">
        <w:rPr>
          <w:rFonts w:ascii="Times New Roman" w:eastAsia="MS Mincho" w:hAnsi="Times New Roman"/>
          <w:bCs/>
          <w:sz w:val="20"/>
          <w:szCs w:val="26"/>
          <w:lang w:val="en-GB" w:eastAsia="en-GB"/>
        </w:rPr>
        <w:t xml:space="preserve">data </w:t>
      </w:r>
      <w:r w:rsidR="00246D21">
        <w:rPr>
          <w:rFonts w:ascii="Times New Roman" w:eastAsia="MS Mincho" w:hAnsi="Times New Roman"/>
          <w:bCs/>
          <w:sz w:val="20"/>
          <w:szCs w:val="26"/>
          <w:lang w:val="en-GB" w:eastAsia="en-GB"/>
        </w:rPr>
        <w:t xml:space="preserve">can use </w:t>
      </w:r>
      <w:r w:rsidR="005E09DE">
        <w:rPr>
          <w:rFonts w:ascii="Times New Roman" w:eastAsia="MS Mincho" w:hAnsi="Times New Roman"/>
          <w:bCs/>
          <w:sz w:val="20"/>
          <w:szCs w:val="26"/>
          <w:lang w:val="en-GB" w:eastAsia="en-GB"/>
        </w:rPr>
        <w:t>mode-1 only or mode-2 only or both modes can be done on per-packet or per-flow or per-service basis</w:t>
      </w:r>
      <w:r w:rsidR="00246D21">
        <w:rPr>
          <w:rFonts w:ascii="Times New Roman" w:eastAsia="MS Mincho" w:hAnsi="Times New Roman"/>
          <w:bCs/>
          <w:sz w:val="20"/>
          <w:szCs w:val="26"/>
          <w:lang w:val="en-GB" w:eastAsia="en-GB"/>
        </w:rPr>
        <w:t xml:space="preserve"> although if done on a per-packet basis, it might incur a lot of overhead e.g. BSR updates and processing. </w:t>
      </w:r>
      <w:r w:rsidR="005E09DE">
        <w:rPr>
          <w:rFonts w:ascii="Times New Roman" w:eastAsia="MS Mincho" w:hAnsi="Times New Roman"/>
          <w:bCs/>
          <w:sz w:val="20"/>
          <w:szCs w:val="26"/>
          <w:lang w:val="en-GB" w:eastAsia="en-GB"/>
        </w:rPr>
        <w:t xml:space="preserve">If the data is classified to be supportive of either modes, it may be up to the network </w:t>
      </w:r>
      <w:r w:rsidR="00896764">
        <w:rPr>
          <w:rFonts w:ascii="Times New Roman" w:eastAsia="MS Mincho" w:hAnsi="Times New Roman"/>
          <w:bCs/>
          <w:sz w:val="20"/>
          <w:szCs w:val="26"/>
          <w:lang w:val="en-GB" w:eastAsia="en-GB"/>
        </w:rPr>
        <w:t xml:space="preserve">configuration </w:t>
      </w:r>
      <w:r w:rsidR="005E09DE">
        <w:rPr>
          <w:rFonts w:ascii="Times New Roman" w:eastAsia="MS Mincho" w:hAnsi="Times New Roman"/>
          <w:bCs/>
          <w:sz w:val="20"/>
          <w:szCs w:val="26"/>
          <w:lang w:val="en-GB" w:eastAsia="en-GB"/>
        </w:rPr>
        <w:t>or UE implementation to switch the mode.</w:t>
      </w:r>
      <w:r w:rsidR="006E3885">
        <w:rPr>
          <w:rFonts w:ascii="Times New Roman" w:eastAsia="MS Mincho" w:hAnsi="Times New Roman"/>
          <w:bCs/>
          <w:sz w:val="20"/>
          <w:szCs w:val="26"/>
          <w:lang w:val="en-GB" w:eastAsia="en-GB"/>
        </w:rPr>
        <w:t xml:space="preserve"> This can be treated as configuration </w:t>
      </w:r>
      <w:r w:rsidR="006E3885">
        <w:rPr>
          <w:rFonts w:ascii="Times New Roman" w:eastAsia="MS Mincho" w:hAnsi="Times New Roman"/>
          <w:bCs/>
          <w:sz w:val="20"/>
          <w:szCs w:val="26"/>
          <w:lang w:val="en-GB" w:eastAsia="en-GB"/>
        </w:rPr>
        <w:lastRenderedPageBreak/>
        <w:t>information similar to SL RB configuration and thereby NW-controlled when in-coverage and connected mode;</w:t>
      </w:r>
      <w:r w:rsidR="005D2226">
        <w:rPr>
          <w:rFonts w:ascii="Times New Roman" w:eastAsia="MS Mincho" w:hAnsi="Times New Roman"/>
          <w:bCs/>
          <w:sz w:val="20"/>
          <w:szCs w:val="26"/>
          <w:lang w:val="en-GB" w:eastAsia="en-GB"/>
        </w:rPr>
        <w:t xml:space="preserve"> and</w:t>
      </w:r>
      <w:r w:rsidR="006E3885">
        <w:rPr>
          <w:rFonts w:ascii="Times New Roman" w:eastAsia="MS Mincho" w:hAnsi="Times New Roman"/>
          <w:bCs/>
          <w:sz w:val="20"/>
          <w:szCs w:val="26"/>
          <w:lang w:val="en-GB" w:eastAsia="en-GB"/>
        </w:rPr>
        <w:t xml:space="preserve"> UE-initiated when in-coverag</w:t>
      </w:r>
      <w:r w:rsidR="005D2226">
        <w:rPr>
          <w:rFonts w:ascii="Times New Roman" w:eastAsia="MS Mincho" w:hAnsi="Times New Roman"/>
          <w:bCs/>
          <w:sz w:val="20"/>
          <w:szCs w:val="26"/>
          <w:lang w:val="en-GB" w:eastAsia="en-GB"/>
        </w:rPr>
        <w:t>e but in idle or inactive mode</w:t>
      </w:r>
      <w:r w:rsidR="006E3885">
        <w:rPr>
          <w:rFonts w:ascii="Times New Roman" w:eastAsia="MS Mincho" w:hAnsi="Times New Roman"/>
          <w:bCs/>
          <w:sz w:val="20"/>
          <w:szCs w:val="26"/>
          <w:lang w:val="en-GB" w:eastAsia="en-GB"/>
        </w:rPr>
        <w:t xml:space="preserve">. </w:t>
      </w:r>
    </w:p>
    <w:p w14:paraId="3BA82353" w14:textId="5211C9D5" w:rsidR="00896764" w:rsidRPr="00896764" w:rsidRDefault="006C65E9" w:rsidP="006C65E9">
      <w:pPr>
        <w:ind w:left="1440" w:hanging="1440"/>
        <w:rPr>
          <w:rFonts w:ascii="Times New Roman" w:eastAsia="MS Mincho" w:hAnsi="Times New Roman"/>
          <w:bCs/>
          <w:sz w:val="20"/>
          <w:szCs w:val="26"/>
          <w:lang w:val="en-GB" w:eastAsia="en-GB"/>
        </w:rPr>
      </w:pPr>
      <w:r>
        <w:rPr>
          <w:rFonts w:ascii="Times New Roman" w:eastAsia="Malgun Gothic" w:hAnsi="Times New Roman"/>
          <w:b/>
          <w:sz w:val="20"/>
          <w:szCs w:val="20"/>
          <w:lang w:val="en-GB" w:eastAsia="zh-CN"/>
        </w:rPr>
        <w:t>Proposal 1</w:t>
      </w:r>
      <w:r w:rsidRPr="008B10E6">
        <w:rPr>
          <w:rFonts w:ascii="Times New Roman" w:eastAsia="Malgun Gothic" w:hAnsi="Times New Roman"/>
          <w:b/>
          <w:sz w:val="20"/>
          <w:szCs w:val="20"/>
          <w:lang w:val="en-GB" w:eastAsia="zh-CN"/>
        </w:rPr>
        <w:t>:</w:t>
      </w:r>
      <w:r>
        <w:rPr>
          <w:rFonts w:ascii="Times New Roman" w:eastAsia="Malgun Gothic" w:hAnsi="Times New Roman"/>
          <w:b/>
          <w:sz w:val="20"/>
          <w:szCs w:val="20"/>
          <w:lang w:val="en-GB" w:eastAsia="zh-CN"/>
        </w:rPr>
        <w:t xml:space="preserve"> </w:t>
      </w:r>
      <w:r>
        <w:rPr>
          <w:rFonts w:ascii="Times New Roman" w:eastAsia="Malgun Gothic" w:hAnsi="Times New Roman"/>
          <w:b/>
          <w:sz w:val="20"/>
          <w:szCs w:val="20"/>
          <w:lang w:val="en-GB" w:eastAsia="zh-CN"/>
        </w:rPr>
        <w:tab/>
      </w:r>
      <w:r>
        <w:rPr>
          <w:rFonts w:ascii="Times New Roman" w:eastAsia="Malgun Gothic" w:hAnsi="Times New Roman"/>
          <w:i/>
          <w:sz w:val="20"/>
          <w:szCs w:val="20"/>
          <w:lang w:val="en-GB" w:eastAsia="zh-CN"/>
        </w:rPr>
        <w:t>RAN2 to discuss and decide between the following options for specifying preferred mode to the AS layer</w:t>
      </w:r>
      <w:r w:rsidR="00795B17">
        <w:rPr>
          <w:rFonts w:ascii="Times New Roman" w:eastAsia="Malgun Gothic" w:hAnsi="Times New Roman"/>
          <w:i/>
          <w:sz w:val="20"/>
          <w:szCs w:val="20"/>
          <w:lang w:val="en-GB" w:eastAsia="zh-CN"/>
        </w:rPr>
        <w:t xml:space="preserve"> while in-coverage</w:t>
      </w:r>
      <w:r>
        <w:rPr>
          <w:rFonts w:ascii="Times New Roman" w:eastAsia="Malgun Gothic" w:hAnsi="Times New Roman"/>
          <w:i/>
          <w:sz w:val="20"/>
          <w:szCs w:val="20"/>
          <w:lang w:val="en-GB" w:eastAsia="zh-CN"/>
        </w:rPr>
        <w:t>: a) Upper layer provides the information on a per-packet or per-flow or per-service basis b) gNB provides the information on a per-flow or per-service basis</w:t>
      </w:r>
      <w:r w:rsidR="0083271F">
        <w:rPr>
          <w:rFonts w:ascii="Times New Roman" w:eastAsia="Malgun Gothic" w:hAnsi="Times New Roman"/>
          <w:i/>
          <w:sz w:val="20"/>
          <w:szCs w:val="20"/>
          <w:lang w:val="en-GB" w:eastAsia="zh-CN"/>
        </w:rPr>
        <w:t>.</w:t>
      </w:r>
    </w:p>
    <w:p w14:paraId="4791F110" w14:textId="7120FC57" w:rsidR="00B71CD3" w:rsidRPr="00B71CD3" w:rsidRDefault="0023687E" w:rsidP="00632275">
      <w:pPr>
        <w:pStyle w:val="ListParagraph"/>
        <w:ind w:left="0"/>
        <w:rPr>
          <w:rFonts w:ascii="Arial" w:eastAsia="MS Mincho" w:hAnsi="Arial" w:cs="Arial"/>
          <w:bCs/>
          <w:sz w:val="26"/>
          <w:szCs w:val="26"/>
          <w:lang w:val="en-GB" w:eastAsia="en-GB"/>
        </w:rPr>
      </w:pPr>
      <w:r>
        <w:rPr>
          <w:rFonts w:ascii="Times New Roman" w:eastAsia="MS Mincho" w:hAnsi="Times New Roman"/>
          <w:bCs/>
          <w:sz w:val="20"/>
          <w:szCs w:val="26"/>
          <w:lang w:val="en-GB" w:eastAsia="en-GB"/>
        </w:rPr>
        <w:t xml:space="preserve">The easiest methodology is to always use mode-1 when in-coverage and mode-2 when out-of-coverage. However, this is not always the best approach due to the support of services with varying QoS requirements (e.g. stringent delay with relaxed reliability or relaxed delay with stringent delay and data rate). It is sometimes more effective to use mode-2 even while in-coverage as there </w:t>
      </w:r>
      <w:r w:rsidR="00473F99">
        <w:rPr>
          <w:rFonts w:ascii="Times New Roman" w:eastAsia="MS Mincho" w:hAnsi="Times New Roman"/>
          <w:bCs/>
          <w:sz w:val="20"/>
          <w:szCs w:val="26"/>
          <w:lang w:val="en-GB" w:eastAsia="en-GB"/>
        </w:rPr>
        <w:t>could be</w:t>
      </w:r>
      <w:r>
        <w:rPr>
          <w:rFonts w:ascii="Times New Roman" w:eastAsia="MS Mincho" w:hAnsi="Times New Roman"/>
          <w:bCs/>
          <w:sz w:val="20"/>
          <w:szCs w:val="26"/>
          <w:lang w:val="en-GB" w:eastAsia="en-GB"/>
        </w:rPr>
        <w:t xml:space="preserve"> minimal delay in obtaining resources and sending the data packet.</w:t>
      </w:r>
      <w:r w:rsidR="00AC5834">
        <w:rPr>
          <w:rFonts w:ascii="Times New Roman" w:eastAsia="MS Mincho" w:hAnsi="Times New Roman"/>
          <w:bCs/>
          <w:sz w:val="20"/>
          <w:szCs w:val="26"/>
          <w:lang w:val="en-GB" w:eastAsia="en-GB"/>
        </w:rPr>
        <w:t xml:space="preserve"> Some companies suggested that mode-1 can be used for licensed operations while mode-2 can be used for unlicensed operations wherein switching between modes is not needed but certain sidelink enhancements e.g. BSR updates are necessary</w:t>
      </w:r>
      <w:r w:rsidR="00473F99">
        <w:rPr>
          <w:rFonts w:ascii="Times New Roman" w:eastAsia="MS Mincho" w:hAnsi="Times New Roman"/>
          <w:bCs/>
          <w:sz w:val="20"/>
          <w:szCs w:val="26"/>
          <w:lang w:val="en-GB" w:eastAsia="en-GB"/>
        </w:rPr>
        <w:t xml:space="preserve"> to support the </w:t>
      </w:r>
      <w:r w:rsidR="00AC5834">
        <w:rPr>
          <w:rFonts w:ascii="Times New Roman" w:eastAsia="MS Mincho" w:hAnsi="Times New Roman"/>
          <w:bCs/>
          <w:sz w:val="20"/>
          <w:szCs w:val="26"/>
          <w:lang w:val="en-GB" w:eastAsia="en-GB"/>
        </w:rPr>
        <w:t xml:space="preserve">simultaneous operation. </w:t>
      </w:r>
      <w:r w:rsidR="005E09DE">
        <w:rPr>
          <w:rFonts w:ascii="Times New Roman" w:eastAsia="MS Mincho" w:hAnsi="Times New Roman"/>
          <w:bCs/>
          <w:sz w:val="20"/>
          <w:szCs w:val="26"/>
          <w:lang w:val="en-GB" w:eastAsia="en-GB"/>
        </w:rPr>
        <w:t>The network may maintain the mapping between the specific QoS and authorized services that are supported by the UE to determine UE’s request to use a specific mode</w:t>
      </w:r>
      <w:r w:rsidR="006E3885">
        <w:rPr>
          <w:rFonts w:ascii="Times New Roman" w:eastAsia="MS Mincho" w:hAnsi="Times New Roman"/>
          <w:bCs/>
          <w:sz w:val="20"/>
          <w:szCs w:val="26"/>
          <w:lang w:val="en-GB" w:eastAsia="en-GB"/>
        </w:rPr>
        <w:t xml:space="preserve"> and suggest a change in mode accordingly. </w:t>
      </w:r>
      <w:r w:rsidR="000C2550">
        <w:rPr>
          <w:rFonts w:ascii="Times New Roman" w:eastAsia="MS Mincho" w:hAnsi="Times New Roman"/>
          <w:bCs/>
          <w:sz w:val="20"/>
          <w:szCs w:val="26"/>
          <w:lang w:val="en-GB" w:eastAsia="en-GB"/>
        </w:rPr>
        <w:t>If this mapping between PQI/service type and preferred mode can be pre-configured in the UE or made available to AS as discussed in proposal 1, the UE can then use the information to determine when to switch while in-coverage but in idle or inactive state</w:t>
      </w:r>
      <w:r w:rsidR="005E09DE">
        <w:rPr>
          <w:rFonts w:ascii="Times New Roman" w:eastAsia="MS Mincho" w:hAnsi="Times New Roman"/>
          <w:bCs/>
          <w:sz w:val="20"/>
          <w:szCs w:val="26"/>
          <w:lang w:val="en-GB" w:eastAsia="en-GB"/>
        </w:rPr>
        <w:t xml:space="preserve"> </w:t>
      </w:r>
      <w:r w:rsidR="000C2550">
        <w:rPr>
          <w:rFonts w:ascii="Times New Roman" w:eastAsia="MS Mincho" w:hAnsi="Times New Roman"/>
          <w:bCs/>
          <w:sz w:val="20"/>
          <w:szCs w:val="26"/>
          <w:lang w:val="en-GB" w:eastAsia="en-GB"/>
        </w:rPr>
        <w:t xml:space="preserve">i.e. from mode 2 to mode 1 and initiate RRC connection. </w:t>
      </w:r>
    </w:p>
    <w:p w14:paraId="2B60C8D7" w14:textId="266C5186" w:rsidR="00DF5A46" w:rsidRPr="00F40488" w:rsidRDefault="00847EBF" w:rsidP="009F19A9">
      <w:pPr>
        <w:widowControl w:val="0"/>
        <w:tabs>
          <w:tab w:val="left" w:pos="907"/>
        </w:tabs>
        <w:spacing w:before="240" w:after="60" w:line="240" w:lineRule="auto"/>
        <w:ind w:left="1440" w:hanging="1440"/>
        <w:outlineLvl w:val="2"/>
        <w:rPr>
          <w:lang w:val="en-GB" w:eastAsia="en-GB"/>
        </w:rPr>
      </w:pPr>
      <w:r>
        <w:rPr>
          <w:rFonts w:ascii="Times New Roman" w:eastAsia="Malgun Gothic" w:hAnsi="Times New Roman"/>
          <w:b/>
          <w:sz w:val="20"/>
          <w:szCs w:val="20"/>
          <w:lang w:val="en-GB" w:eastAsia="zh-CN"/>
        </w:rPr>
        <w:t xml:space="preserve">Proposal </w:t>
      </w:r>
      <w:r w:rsidR="0083271F">
        <w:rPr>
          <w:rFonts w:ascii="Times New Roman" w:eastAsia="Malgun Gothic" w:hAnsi="Times New Roman"/>
          <w:b/>
          <w:sz w:val="20"/>
          <w:szCs w:val="20"/>
          <w:lang w:val="en-GB" w:eastAsia="zh-CN"/>
        </w:rPr>
        <w:t>2</w:t>
      </w:r>
      <w:r w:rsidRPr="008B10E6">
        <w:rPr>
          <w:rFonts w:ascii="Times New Roman" w:eastAsia="Malgun Gothic" w:hAnsi="Times New Roman"/>
          <w:b/>
          <w:sz w:val="20"/>
          <w:szCs w:val="20"/>
          <w:lang w:val="en-GB" w:eastAsia="zh-CN"/>
        </w:rPr>
        <w:t>:</w:t>
      </w:r>
      <w:r>
        <w:rPr>
          <w:rFonts w:ascii="Times New Roman" w:eastAsia="Malgun Gothic" w:hAnsi="Times New Roman"/>
          <w:b/>
          <w:sz w:val="20"/>
          <w:szCs w:val="20"/>
          <w:lang w:val="en-GB" w:eastAsia="zh-CN"/>
        </w:rPr>
        <w:t xml:space="preserve"> </w:t>
      </w:r>
      <w:r w:rsidR="00AB6267">
        <w:rPr>
          <w:rFonts w:ascii="Times New Roman" w:eastAsia="Malgun Gothic" w:hAnsi="Times New Roman"/>
          <w:b/>
          <w:sz w:val="20"/>
          <w:szCs w:val="20"/>
          <w:lang w:val="en-GB" w:eastAsia="zh-CN"/>
        </w:rPr>
        <w:tab/>
      </w:r>
      <w:r w:rsidRPr="009F19A9">
        <w:rPr>
          <w:rFonts w:ascii="Times New Roman" w:eastAsia="Malgun Gothic" w:hAnsi="Times New Roman"/>
          <w:i/>
          <w:sz w:val="20"/>
          <w:szCs w:val="20"/>
          <w:lang w:val="en-GB" w:eastAsia="zh-CN"/>
        </w:rPr>
        <w:t xml:space="preserve">RAN2 to consider network-controlled </w:t>
      </w:r>
      <w:r w:rsidR="005D2226">
        <w:rPr>
          <w:rFonts w:ascii="Times New Roman" w:eastAsia="Malgun Gothic" w:hAnsi="Times New Roman"/>
          <w:i/>
          <w:sz w:val="20"/>
          <w:szCs w:val="20"/>
          <w:lang w:val="en-GB" w:eastAsia="zh-CN"/>
        </w:rPr>
        <w:t xml:space="preserve">mode </w:t>
      </w:r>
      <w:r w:rsidRPr="009F19A9">
        <w:rPr>
          <w:rFonts w:ascii="Times New Roman" w:eastAsia="Malgun Gothic" w:hAnsi="Times New Roman"/>
          <w:i/>
          <w:sz w:val="20"/>
          <w:szCs w:val="20"/>
          <w:lang w:val="en-GB" w:eastAsia="zh-CN"/>
        </w:rPr>
        <w:t xml:space="preserve">switching when the V2X UE is in-coverage and </w:t>
      </w:r>
      <w:r w:rsidR="005D2226">
        <w:rPr>
          <w:rFonts w:ascii="Times New Roman" w:eastAsia="Malgun Gothic" w:hAnsi="Times New Roman"/>
          <w:i/>
          <w:sz w:val="20"/>
          <w:szCs w:val="20"/>
          <w:lang w:val="en-GB" w:eastAsia="zh-CN"/>
        </w:rPr>
        <w:t>RRC_CONNECTED</w:t>
      </w:r>
      <w:r w:rsidRPr="009F19A9">
        <w:rPr>
          <w:rFonts w:ascii="Times New Roman" w:eastAsia="Malgun Gothic" w:hAnsi="Times New Roman"/>
          <w:i/>
          <w:sz w:val="20"/>
          <w:szCs w:val="20"/>
          <w:lang w:val="en-GB" w:eastAsia="zh-CN"/>
        </w:rPr>
        <w:t xml:space="preserve"> and </w:t>
      </w:r>
      <w:r w:rsidR="005D2226" w:rsidRPr="009F19A9">
        <w:rPr>
          <w:rFonts w:ascii="Times New Roman" w:eastAsia="Malgun Gothic" w:hAnsi="Times New Roman"/>
          <w:i/>
          <w:sz w:val="20"/>
          <w:szCs w:val="20"/>
          <w:lang w:val="en-GB" w:eastAsia="zh-CN"/>
        </w:rPr>
        <w:t xml:space="preserve">UE-initiated </w:t>
      </w:r>
      <w:r w:rsidR="005D2226">
        <w:rPr>
          <w:rFonts w:ascii="Times New Roman" w:eastAsia="Malgun Gothic" w:hAnsi="Times New Roman"/>
          <w:i/>
          <w:sz w:val="20"/>
          <w:szCs w:val="20"/>
          <w:lang w:val="en-GB" w:eastAsia="zh-CN"/>
        </w:rPr>
        <w:t xml:space="preserve">mode </w:t>
      </w:r>
      <w:r w:rsidR="005D2226" w:rsidRPr="009F19A9">
        <w:rPr>
          <w:rFonts w:ascii="Times New Roman" w:eastAsia="Malgun Gothic" w:hAnsi="Times New Roman"/>
          <w:i/>
          <w:sz w:val="20"/>
          <w:szCs w:val="20"/>
          <w:lang w:val="en-GB" w:eastAsia="zh-CN"/>
        </w:rPr>
        <w:t>switching</w:t>
      </w:r>
      <w:r w:rsidR="005D2226">
        <w:rPr>
          <w:rFonts w:ascii="Times New Roman" w:eastAsia="Malgun Gothic" w:hAnsi="Times New Roman"/>
          <w:i/>
          <w:sz w:val="20"/>
          <w:szCs w:val="20"/>
          <w:lang w:val="en-GB" w:eastAsia="zh-CN"/>
        </w:rPr>
        <w:t xml:space="preserve"> </w:t>
      </w:r>
      <w:r w:rsidR="00795B17">
        <w:rPr>
          <w:rFonts w:ascii="Times New Roman" w:eastAsia="Malgun Gothic" w:hAnsi="Times New Roman"/>
          <w:i/>
          <w:sz w:val="20"/>
          <w:szCs w:val="20"/>
          <w:lang w:val="en-GB" w:eastAsia="zh-CN"/>
        </w:rPr>
        <w:t xml:space="preserve">using the available mapping information </w:t>
      </w:r>
      <w:r w:rsidR="005D2226" w:rsidRPr="009F19A9">
        <w:rPr>
          <w:rFonts w:ascii="Times New Roman" w:eastAsia="Malgun Gothic" w:hAnsi="Times New Roman"/>
          <w:i/>
          <w:sz w:val="20"/>
          <w:szCs w:val="20"/>
          <w:lang w:val="en-GB" w:eastAsia="zh-CN"/>
        </w:rPr>
        <w:t xml:space="preserve">when the V2X UE is in-coverage and </w:t>
      </w:r>
      <w:r w:rsidR="005D2226">
        <w:rPr>
          <w:rFonts w:ascii="Times New Roman" w:eastAsia="Malgun Gothic" w:hAnsi="Times New Roman"/>
          <w:i/>
          <w:sz w:val="20"/>
          <w:szCs w:val="20"/>
          <w:lang w:val="en-GB" w:eastAsia="zh-CN"/>
        </w:rPr>
        <w:t>RRC_IDLE or RRC_INACTIVE</w:t>
      </w:r>
      <w:r w:rsidRPr="009F19A9">
        <w:rPr>
          <w:rFonts w:ascii="Times New Roman" w:eastAsia="Malgun Gothic" w:hAnsi="Times New Roman"/>
          <w:i/>
          <w:sz w:val="20"/>
          <w:szCs w:val="20"/>
          <w:lang w:val="en-GB" w:eastAsia="zh-CN"/>
        </w:rPr>
        <w:t xml:space="preserve">. </w:t>
      </w:r>
    </w:p>
    <w:p w14:paraId="512C53DC" w14:textId="77777777" w:rsidR="008A2AF6" w:rsidRPr="00E0063E" w:rsidRDefault="008A2AF6" w:rsidP="00C94AE1">
      <w:pPr>
        <w:pStyle w:val="Tdoc"/>
        <w:ind w:left="360"/>
      </w:pPr>
      <w:r w:rsidRPr="00E0063E">
        <w:t>Conclusion</w:t>
      </w:r>
    </w:p>
    <w:p w14:paraId="2C9A0A72" w14:textId="2935D7B6" w:rsidR="00DF5A46" w:rsidRDefault="00815F0E" w:rsidP="00DF5A46">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In t</w:t>
      </w:r>
      <w:r w:rsidR="008A2AF6">
        <w:rPr>
          <w:rFonts w:ascii="Times New Roman" w:eastAsia="Times New Roman" w:hAnsi="Times New Roman"/>
          <w:bCs/>
          <w:sz w:val="20"/>
          <w:szCs w:val="20"/>
          <w:lang w:val="en-GB" w:eastAsia="zh-CN"/>
        </w:rPr>
        <w:t>his contribution</w:t>
      </w:r>
      <w:r>
        <w:rPr>
          <w:rFonts w:ascii="Times New Roman" w:eastAsia="Times New Roman" w:hAnsi="Times New Roman"/>
          <w:bCs/>
          <w:sz w:val="20"/>
          <w:szCs w:val="20"/>
          <w:lang w:val="en-GB" w:eastAsia="zh-CN"/>
        </w:rPr>
        <w:t>, we provide</w:t>
      </w:r>
      <w:r w:rsidR="00DF5A46">
        <w:rPr>
          <w:rFonts w:ascii="Times New Roman" w:eastAsia="Times New Roman" w:hAnsi="Times New Roman"/>
          <w:bCs/>
          <w:sz w:val="20"/>
          <w:szCs w:val="20"/>
          <w:lang w:val="en-GB" w:eastAsia="zh-CN"/>
        </w:rPr>
        <w:t xml:space="preserve"> considerations on </w:t>
      </w:r>
      <w:r w:rsidR="00294DD7">
        <w:rPr>
          <w:rFonts w:ascii="Times New Roman" w:eastAsia="Times New Roman" w:hAnsi="Times New Roman"/>
          <w:bCs/>
          <w:sz w:val="20"/>
          <w:szCs w:val="20"/>
          <w:lang w:val="en-GB" w:eastAsia="zh-CN"/>
        </w:rPr>
        <w:t xml:space="preserve">switching between mode1 and mode2 during </w:t>
      </w:r>
      <w:r w:rsidR="00064677">
        <w:rPr>
          <w:rFonts w:ascii="Times New Roman" w:eastAsia="Times New Roman" w:hAnsi="Times New Roman"/>
          <w:bCs/>
          <w:sz w:val="20"/>
          <w:szCs w:val="20"/>
          <w:lang w:val="en-GB" w:eastAsia="zh-CN"/>
        </w:rPr>
        <w:t>simultaneous resource allocation mode operation</w:t>
      </w:r>
      <w:r w:rsidR="00DF5A46">
        <w:rPr>
          <w:rFonts w:ascii="Times New Roman" w:eastAsia="Times New Roman" w:hAnsi="Times New Roman"/>
          <w:bCs/>
          <w:sz w:val="20"/>
          <w:szCs w:val="20"/>
          <w:lang w:val="en-GB" w:eastAsia="zh-CN"/>
        </w:rPr>
        <w:t xml:space="preserve"> for NR V2X sidelink </w:t>
      </w:r>
      <w:r w:rsidR="0054408E">
        <w:rPr>
          <w:rFonts w:ascii="Times New Roman" w:eastAsia="Times New Roman" w:hAnsi="Times New Roman"/>
          <w:bCs/>
          <w:sz w:val="20"/>
          <w:szCs w:val="20"/>
          <w:lang w:val="en-GB" w:eastAsia="zh-CN"/>
        </w:rPr>
        <w:t xml:space="preserve">and have the following </w:t>
      </w:r>
      <w:r w:rsidR="0083271F">
        <w:rPr>
          <w:rFonts w:ascii="Times New Roman" w:eastAsia="Times New Roman" w:hAnsi="Times New Roman"/>
          <w:bCs/>
          <w:sz w:val="20"/>
          <w:szCs w:val="20"/>
          <w:lang w:val="en-GB" w:eastAsia="zh-CN"/>
        </w:rPr>
        <w:t xml:space="preserve">observation and </w:t>
      </w:r>
      <w:r w:rsidR="0054408E">
        <w:rPr>
          <w:rFonts w:ascii="Times New Roman" w:eastAsia="Times New Roman" w:hAnsi="Times New Roman"/>
          <w:bCs/>
          <w:sz w:val="20"/>
          <w:szCs w:val="20"/>
          <w:lang w:val="en-GB" w:eastAsia="zh-CN"/>
        </w:rPr>
        <w:t>proposal</w:t>
      </w:r>
      <w:r w:rsidR="0083271F">
        <w:rPr>
          <w:rFonts w:ascii="Times New Roman" w:eastAsia="Times New Roman" w:hAnsi="Times New Roman"/>
          <w:bCs/>
          <w:sz w:val="20"/>
          <w:szCs w:val="20"/>
          <w:lang w:val="en-GB" w:eastAsia="zh-CN"/>
        </w:rPr>
        <w:t>s</w:t>
      </w:r>
      <w:r w:rsidR="00DF5A46">
        <w:rPr>
          <w:rFonts w:ascii="Times New Roman" w:eastAsia="Times New Roman" w:hAnsi="Times New Roman"/>
          <w:bCs/>
          <w:sz w:val="20"/>
          <w:szCs w:val="20"/>
          <w:lang w:val="en-GB" w:eastAsia="zh-CN"/>
        </w:rPr>
        <w:t>:</w:t>
      </w:r>
    </w:p>
    <w:p w14:paraId="4B532347" w14:textId="0DFFC714" w:rsidR="0083271F" w:rsidRDefault="0083271F" w:rsidP="0083271F">
      <w:pPr>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r>
        <w:rPr>
          <w:rFonts w:ascii="Times New Roman" w:eastAsia="Malgun Gothic" w:hAnsi="Times New Roman"/>
          <w:b/>
          <w:sz w:val="20"/>
          <w:szCs w:val="20"/>
          <w:lang w:val="en-GB" w:eastAsia="zh-CN"/>
        </w:rPr>
        <w:t>Observation 1</w:t>
      </w:r>
      <w:r w:rsidRPr="008B10E6">
        <w:rPr>
          <w:rFonts w:ascii="Times New Roman" w:eastAsia="Malgun Gothic" w:hAnsi="Times New Roman"/>
          <w:b/>
          <w:sz w:val="20"/>
          <w:szCs w:val="20"/>
          <w:lang w:val="en-GB" w:eastAsia="zh-CN"/>
        </w:rPr>
        <w:t>:</w:t>
      </w:r>
      <w:r>
        <w:rPr>
          <w:rFonts w:ascii="Times New Roman" w:eastAsia="Malgun Gothic" w:hAnsi="Times New Roman"/>
          <w:b/>
          <w:sz w:val="20"/>
          <w:szCs w:val="20"/>
          <w:lang w:val="en-GB" w:eastAsia="zh-CN"/>
        </w:rPr>
        <w:t xml:space="preserve"> </w:t>
      </w:r>
      <w:r>
        <w:rPr>
          <w:rFonts w:ascii="Times New Roman" w:eastAsia="Malgun Gothic" w:hAnsi="Times New Roman"/>
          <w:b/>
          <w:sz w:val="20"/>
          <w:szCs w:val="20"/>
          <w:lang w:val="en-GB" w:eastAsia="zh-CN"/>
        </w:rPr>
        <w:tab/>
      </w:r>
      <w:r w:rsidRPr="00896764">
        <w:rPr>
          <w:rFonts w:ascii="Times New Roman" w:eastAsia="MS Mincho" w:hAnsi="Times New Roman"/>
          <w:bCs/>
          <w:i/>
          <w:sz w:val="20"/>
          <w:szCs w:val="26"/>
          <w:lang w:val="en-GB" w:eastAsia="en-GB"/>
        </w:rPr>
        <w:t>For NR V2X advanced use case support, the</w:t>
      </w:r>
      <w:r w:rsidRPr="007E44B9">
        <w:rPr>
          <w:rFonts w:ascii="Times New Roman" w:eastAsia="MS Mincho" w:hAnsi="Times New Roman"/>
          <w:bCs/>
          <w:i/>
          <w:sz w:val="20"/>
          <w:szCs w:val="26"/>
          <w:lang w:val="en-GB" w:eastAsia="en-GB"/>
        </w:rPr>
        <w:t xml:space="preserve"> underlying consideration is that mode1 provides better QoS than mode2 due to scheduled nature of the resources and reduced collision probability and </w:t>
      </w:r>
      <w:r>
        <w:rPr>
          <w:rFonts w:ascii="Times New Roman" w:eastAsia="MS Mincho" w:hAnsi="Times New Roman"/>
          <w:bCs/>
          <w:i/>
          <w:sz w:val="20"/>
          <w:szCs w:val="26"/>
          <w:lang w:val="en-GB" w:eastAsia="en-GB"/>
        </w:rPr>
        <w:t xml:space="preserve">thereby </w:t>
      </w:r>
      <w:r w:rsidRPr="007E44B9">
        <w:rPr>
          <w:rFonts w:ascii="Times New Roman" w:eastAsia="MS Mincho" w:hAnsi="Times New Roman"/>
          <w:bCs/>
          <w:i/>
          <w:sz w:val="20"/>
          <w:szCs w:val="26"/>
          <w:lang w:val="en-GB" w:eastAsia="en-GB"/>
        </w:rPr>
        <w:t>increased reliability</w:t>
      </w:r>
      <w:r>
        <w:rPr>
          <w:rFonts w:ascii="Times New Roman" w:eastAsia="Malgun Gothic" w:hAnsi="Times New Roman"/>
          <w:i/>
          <w:sz w:val="20"/>
          <w:szCs w:val="20"/>
          <w:lang w:val="en-GB" w:eastAsia="zh-CN"/>
        </w:rPr>
        <w:t>.</w:t>
      </w:r>
    </w:p>
    <w:p w14:paraId="50D5177E" w14:textId="77777777" w:rsidR="00632275" w:rsidRDefault="001F7AF1" w:rsidP="00632275">
      <w:pPr>
        <w:ind w:left="1440" w:hanging="1440"/>
        <w:rPr>
          <w:rFonts w:ascii="Times New Roman" w:eastAsia="Malgun Gothic" w:hAnsi="Times New Roman"/>
          <w:i/>
          <w:sz w:val="20"/>
          <w:szCs w:val="20"/>
          <w:lang w:val="en-GB" w:eastAsia="zh-CN"/>
        </w:rPr>
      </w:pPr>
      <w:r>
        <w:rPr>
          <w:rFonts w:ascii="Times New Roman" w:eastAsia="Malgun Gothic" w:hAnsi="Times New Roman"/>
          <w:b/>
          <w:sz w:val="20"/>
          <w:szCs w:val="20"/>
          <w:lang w:val="en-GB" w:eastAsia="zh-CN"/>
        </w:rPr>
        <w:t>Proposal 1</w:t>
      </w:r>
      <w:r w:rsidRPr="008B10E6">
        <w:rPr>
          <w:rFonts w:ascii="Times New Roman" w:eastAsia="Malgun Gothic" w:hAnsi="Times New Roman"/>
          <w:b/>
          <w:sz w:val="20"/>
          <w:szCs w:val="20"/>
          <w:lang w:val="en-GB" w:eastAsia="zh-CN"/>
        </w:rPr>
        <w:t>:</w:t>
      </w:r>
      <w:r>
        <w:rPr>
          <w:rFonts w:ascii="Times New Roman" w:eastAsia="Malgun Gothic" w:hAnsi="Times New Roman"/>
          <w:b/>
          <w:sz w:val="20"/>
          <w:szCs w:val="20"/>
          <w:lang w:val="en-GB" w:eastAsia="zh-CN"/>
        </w:rPr>
        <w:t xml:space="preserve"> </w:t>
      </w:r>
      <w:r>
        <w:rPr>
          <w:rFonts w:ascii="Times New Roman" w:eastAsia="Malgun Gothic" w:hAnsi="Times New Roman"/>
          <w:b/>
          <w:sz w:val="20"/>
          <w:szCs w:val="20"/>
          <w:lang w:val="en-GB" w:eastAsia="zh-CN"/>
        </w:rPr>
        <w:tab/>
      </w:r>
      <w:r>
        <w:rPr>
          <w:rFonts w:ascii="Times New Roman" w:eastAsia="Malgun Gothic" w:hAnsi="Times New Roman"/>
          <w:i/>
          <w:sz w:val="20"/>
          <w:szCs w:val="20"/>
          <w:lang w:val="en-GB" w:eastAsia="zh-CN"/>
        </w:rPr>
        <w:t>RAN2 to discuss and decide between the following options for specifying preferred mode to the AS layer while in-coverage: a) Upper layer provides the information on a per-packet or per-flow or per-service basis b) gNB provides the information on a per-flow or per-service basis.</w:t>
      </w:r>
    </w:p>
    <w:p w14:paraId="59F20CD6" w14:textId="19F33017" w:rsidR="001F7AF1" w:rsidRPr="00F40488" w:rsidRDefault="001F7AF1" w:rsidP="00632275">
      <w:pPr>
        <w:spacing w:after="0"/>
        <w:ind w:left="1440" w:hanging="1440"/>
        <w:rPr>
          <w:lang w:val="en-GB" w:eastAsia="en-GB"/>
        </w:rPr>
      </w:pPr>
      <w:bookmarkStart w:id="0" w:name="_GoBack"/>
      <w:bookmarkEnd w:id="0"/>
      <w:r>
        <w:rPr>
          <w:rFonts w:ascii="Times New Roman" w:eastAsia="Malgun Gothic" w:hAnsi="Times New Roman"/>
          <w:b/>
          <w:sz w:val="20"/>
          <w:szCs w:val="20"/>
          <w:lang w:val="en-GB" w:eastAsia="zh-CN"/>
        </w:rPr>
        <w:t>Proposal 2</w:t>
      </w:r>
      <w:r w:rsidRPr="008B10E6">
        <w:rPr>
          <w:rFonts w:ascii="Times New Roman" w:eastAsia="Malgun Gothic" w:hAnsi="Times New Roman"/>
          <w:b/>
          <w:sz w:val="20"/>
          <w:szCs w:val="20"/>
          <w:lang w:val="en-GB" w:eastAsia="zh-CN"/>
        </w:rPr>
        <w:t>:</w:t>
      </w:r>
      <w:r>
        <w:rPr>
          <w:rFonts w:ascii="Times New Roman" w:eastAsia="Malgun Gothic" w:hAnsi="Times New Roman"/>
          <w:b/>
          <w:sz w:val="20"/>
          <w:szCs w:val="20"/>
          <w:lang w:val="en-GB" w:eastAsia="zh-CN"/>
        </w:rPr>
        <w:t xml:space="preserve"> </w:t>
      </w:r>
      <w:r>
        <w:rPr>
          <w:rFonts w:ascii="Times New Roman" w:eastAsia="Malgun Gothic" w:hAnsi="Times New Roman"/>
          <w:b/>
          <w:sz w:val="20"/>
          <w:szCs w:val="20"/>
          <w:lang w:val="en-GB" w:eastAsia="zh-CN"/>
        </w:rPr>
        <w:tab/>
      </w:r>
      <w:r w:rsidRPr="009F19A9">
        <w:rPr>
          <w:rFonts w:ascii="Times New Roman" w:eastAsia="Malgun Gothic" w:hAnsi="Times New Roman"/>
          <w:i/>
          <w:sz w:val="20"/>
          <w:szCs w:val="20"/>
          <w:lang w:val="en-GB" w:eastAsia="zh-CN"/>
        </w:rPr>
        <w:t xml:space="preserve">RAN2 to consider network-controlled </w:t>
      </w:r>
      <w:r>
        <w:rPr>
          <w:rFonts w:ascii="Times New Roman" w:eastAsia="Malgun Gothic" w:hAnsi="Times New Roman"/>
          <w:i/>
          <w:sz w:val="20"/>
          <w:szCs w:val="20"/>
          <w:lang w:val="en-GB" w:eastAsia="zh-CN"/>
        </w:rPr>
        <w:t xml:space="preserve">mode </w:t>
      </w:r>
      <w:r w:rsidRPr="009F19A9">
        <w:rPr>
          <w:rFonts w:ascii="Times New Roman" w:eastAsia="Malgun Gothic" w:hAnsi="Times New Roman"/>
          <w:i/>
          <w:sz w:val="20"/>
          <w:szCs w:val="20"/>
          <w:lang w:val="en-GB" w:eastAsia="zh-CN"/>
        </w:rPr>
        <w:t xml:space="preserve">switching when the V2X UE is in-coverage and </w:t>
      </w:r>
      <w:r>
        <w:rPr>
          <w:rFonts w:ascii="Times New Roman" w:eastAsia="Malgun Gothic" w:hAnsi="Times New Roman"/>
          <w:i/>
          <w:sz w:val="20"/>
          <w:szCs w:val="20"/>
          <w:lang w:val="en-GB" w:eastAsia="zh-CN"/>
        </w:rPr>
        <w:t>RRC_CONNECTED</w:t>
      </w:r>
      <w:r w:rsidRPr="009F19A9">
        <w:rPr>
          <w:rFonts w:ascii="Times New Roman" w:eastAsia="Malgun Gothic" w:hAnsi="Times New Roman"/>
          <w:i/>
          <w:sz w:val="20"/>
          <w:szCs w:val="20"/>
          <w:lang w:val="en-GB" w:eastAsia="zh-CN"/>
        </w:rPr>
        <w:t xml:space="preserve"> and UE-initiated </w:t>
      </w:r>
      <w:r>
        <w:rPr>
          <w:rFonts w:ascii="Times New Roman" w:eastAsia="Malgun Gothic" w:hAnsi="Times New Roman"/>
          <w:i/>
          <w:sz w:val="20"/>
          <w:szCs w:val="20"/>
          <w:lang w:val="en-GB" w:eastAsia="zh-CN"/>
        </w:rPr>
        <w:t xml:space="preserve">mode </w:t>
      </w:r>
      <w:r w:rsidRPr="009F19A9">
        <w:rPr>
          <w:rFonts w:ascii="Times New Roman" w:eastAsia="Malgun Gothic" w:hAnsi="Times New Roman"/>
          <w:i/>
          <w:sz w:val="20"/>
          <w:szCs w:val="20"/>
          <w:lang w:val="en-GB" w:eastAsia="zh-CN"/>
        </w:rPr>
        <w:t>switching</w:t>
      </w:r>
      <w:r>
        <w:rPr>
          <w:rFonts w:ascii="Times New Roman" w:eastAsia="Malgun Gothic" w:hAnsi="Times New Roman"/>
          <w:i/>
          <w:sz w:val="20"/>
          <w:szCs w:val="20"/>
          <w:lang w:val="en-GB" w:eastAsia="zh-CN"/>
        </w:rPr>
        <w:t xml:space="preserve"> using the available mapping information </w:t>
      </w:r>
      <w:r w:rsidRPr="009F19A9">
        <w:rPr>
          <w:rFonts w:ascii="Times New Roman" w:eastAsia="Malgun Gothic" w:hAnsi="Times New Roman"/>
          <w:i/>
          <w:sz w:val="20"/>
          <w:szCs w:val="20"/>
          <w:lang w:val="en-GB" w:eastAsia="zh-CN"/>
        </w:rPr>
        <w:t xml:space="preserve">when the V2X UE is in-coverage and </w:t>
      </w:r>
      <w:r>
        <w:rPr>
          <w:rFonts w:ascii="Times New Roman" w:eastAsia="Malgun Gothic" w:hAnsi="Times New Roman"/>
          <w:i/>
          <w:sz w:val="20"/>
          <w:szCs w:val="20"/>
          <w:lang w:val="en-GB" w:eastAsia="zh-CN"/>
        </w:rPr>
        <w:t>RRC_IDLE or RRC_INACTIVE</w:t>
      </w:r>
      <w:r w:rsidRPr="009F19A9">
        <w:rPr>
          <w:rFonts w:ascii="Times New Roman" w:eastAsia="Malgun Gothic" w:hAnsi="Times New Roman"/>
          <w:i/>
          <w:sz w:val="20"/>
          <w:szCs w:val="20"/>
          <w:lang w:val="en-GB" w:eastAsia="zh-CN"/>
        </w:rPr>
        <w:t xml:space="preserve">. </w:t>
      </w:r>
    </w:p>
    <w:p w14:paraId="7396BA6D" w14:textId="77777777" w:rsidR="00847EBF" w:rsidRDefault="00847EBF" w:rsidP="00DF5A46">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p w14:paraId="18C7732E" w14:textId="77777777" w:rsidR="00110513" w:rsidRPr="00C94AE1" w:rsidRDefault="00110513" w:rsidP="00C94AE1">
      <w:pPr>
        <w:pStyle w:val="Tdoc"/>
        <w:ind w:left="360"/>
        <w:rPr>
          <w:i/>
          <w:lang w:val="en-GB"/>
        </w:rPr>
      </w:pPr>
      <w:r>
        <w:rPr>
          <w:lang w:val="en-GB"/>
        </w:rPr>
        <w:t>References</w:t>
      </w:r>
    </w:p>
    <w:p w14:paraId="0659CE1D" w14:textId="365070AE" w:rsidR="006B0E90" w:rsidRDefault="006B0E90" w:rsidP="00C94AE1">
      <w:pPr>
        <w:spacing w:after="0" w:line="360" w:lineRule="auto"/>
        <w:ind w:left="270" w:hanging="270"/>
        <w:rPr>
          <w:rFonts w:ascii="Times New Roman" w:hAnsi="Times New Roman"/>
          <w:sz w:val="20"/>
          <w:lang w:val="en-GB"/>
        </w:rPr>
      </w:pPr>
      <w:r w:rsidRPr="00C94AE1">
        <w:rPr>
          <w:sz w:val="20"/>
          <w:szCs w:val="20"/>
          <w:lang w:val="en-GB"/>
        </w:rPr>
        <w:t xml:space="preserve">[1] </w:t>
      </w:r>
      <w:r w:rsidR="00795B17">
        <w:rPr>
          <w:rFonts w:ascii="Times New Roman" w:hAnsi="Times New Roman"/>
          <w:sz w:val="20"/>
          <w:szCs w:val="20"/>
          <w:lang w:val="en-GB"/>
        </w:rPr>
        <w:t>RAN2#105, NR V2X: Chairman notes</w:t>
      </w:r>
      <w:r w:rsidRPr="00C94AE1">
        <w:rPr>
          <w:rFonts w:ascii="Times New Roman" w:hAnsi="Times New Roman"/>
          <w:sz w:val="20"/>
          <w:lang w:val="en-GB"/>
        </w:rPr>
        <w:t xml:space="preserve">. </w:t>
      </w:r>
    </w:p>
    <w:p w14:paraId="7112200B" w14:textId="3119909C" w:rsidR="006B0E90" w:rsidRDefault="00DF762F" w:rsidP="00C94AE1">
      <w:pPr>
        <w:rPr>
          <w:lang w:val="en-GB"/>
        </w:rPr>
      </w:pPr>
      <w:r w:rsidRPr="00C94AE1" w:rsidDel="00DF762F">
        <w:rPr>
          <w:rFonts w:ascii="Times New Roman" w:hAnsi="Times New Roman"/>
          <w:sz w:val="20"/>
          <w:lang w:val="en-GB"/>
        </w:rPr>
        <w:t xml:space="preserve"> </w:t>
      </w:r>
    </w:p>
    <w:sectPr w:rsidR="006B0E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 w15:restartNumberingAfterBreak="0">
    <w:nsid w:val="48CC6B53"/>
    <w:multiLevelType w:val="hybridMultilevel"/>
    <w:tmpl w:val="063EEB9C"/>
    <w:lvl w:ilvl="0" w:tplc="04090001">
      <w:start w:val="1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162228"/>
    <w:multiLevelType w:val="hybridMultilevel"/>
    <w:tmpl w:val="63A0789E"/>
    <w:lvl w:ilvl="0" w:tplc="04090001">
      <w:start w:val="3"/>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743B3D7A"/>
    <w:multiLevelType w:val="hybridMultilevel"/>
    <w:tmpl w:val="D8CA3AB0"/>
    <w:lvl w:ilvl="0" w:tplc="92184A54">
      <w:numFmt w:val="bullet"/>
      <w:lvlText w:val="-"/>
      <w:lvlJc w:val="left"/>
      <w:pPr>
        <w:ind w:left="1080" w:hanging="360"/>
      </w:pPr>
      <w:rPr>
        <w:rFonts w:ascii="Times New Roman" w:eastAsia="MS Mincho"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78CE46A8"/>
    <w:multiLevelType w:val="multilevel"/>
    <w:tmpl w:val="5AC0055A"/>
    <w:lvl w:ilvl="0">
      <w:start w:val="1"/>
      <w:numFmt w:val="decimal"/>
      <w:pStyle w:val="Tdoc"/>
      <w:lvlText w:val="%1."/>
      <w:lvlJc w:val="left"/>
      <w:pPr>
        <w:ind w:left="630" w:hanging="360"/>
      </w:pPr>
      <w:rPr>
        <w:b w:val="0"/>
        <w:i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6"/>
  </w:num>
  <w:num w:numId="2">
    <w:abstractNumId w:val="0"/>
  </w:num>
  <w:num w:numId="3">
    <w:abstractNumId w:val="1"/>
  </w:num>
  <w:num w:numId="4">
    <w:abstractNumId w:val="7"/>
  </w:num>
  <w:num w:numId="5">
    <w:abstractNumId w:val="2"/>
  </w:num>
  <w:num w:numId="6">
    <w:abstractNumId w:val="3"/>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AF6"/>
    <w:rsid w:val="000015DE"/>
    <w:rsid w:val="0000168E"/>
    <w:rsid w:val="000045E4"/>
    <w:rsid w:val="00013A0F"/>
    <w:rsid w:val="00030B8B"/>
    <w:rsid w:val="00056124"/>
    <w:rsid w:val="00064677"/>
    <w:rsid w:val="00064FC0"/>
    <w:rsid w:val="00082102"/>
    <w:rsid w:val="00087009"/>
    <w:rsid w:val="00093B47"/>
    <w:rsid w:val="00096488"/>
    <w:rsid w:val="000B28F4"/>
    <w:rsid w:val="000C2550"/>
    <w:rsid w:val="000D19E3"/>
    <w:rsid w:val="00106063"/>
    <w:rsid w:val="0010743E"/>
    <w:rsid w:val="00110513"/>
    <w:rsid w:val="00112E7A"/>
    <w:rsid w:val="0011799C"/>
    <w:rsid w:val="001460B4"/>
    <w:rsid w:val="00146F88"/>
    <w:rsid w:val="0016557A"/>
    <w:rsid w:val="001759EA"/>
    <w:rsid w:val="00192817"/>
    <w:rsid w:val="001974FE"/>
    <w:rsid w:val="001A6254"/>
    <w:rsid w:val="001D1369"/>
    <w:rsid w:val="001D55FA"/>
    <w:rsid w:val="001D659E"/>
    <w:rsid w:val="001F7AF1"/>
    <w:rsid w:val="0023687E"/>
    <w:rsid w:val="00246D21"/>
    <w:rsid w:val="00265064"/>
    <w:rsid w:val="00275B60"/>
    <w:rsid w:val="00283C20"/>
    <w:rsid w:val="00294DD7"/>
    <w:rsid w:val="002A50DF"/>
    <w:rsid w:val="002A5171"/>
    <w:rsid w:val="002B0B70"/>
    <w:rsid w:val="002D25E1"/>
    <w:rsid w:val="002F0DB7"/>
    <w:rsid w:val="002F2F95"/>
    <w:rsid w:val="002F7DC7"/>
    <w:rsid w:val="003057EE"/>
    <w:rsid w:val="00305977"/>
    <w:rsid w:val="003215EB"/>
    <w:rsid w:val="003222BD"/>
    <w:rsid w:val="0032697C"/>
    <w:rsid w:val="0033220C"/>
    <w:rsid w:val="00335DCF"/>
    <w:rsid w:val="003375AF"/>
    <w:rsid w:val="003376F7"/>
    <w:rsid w:val="00347782"/>
    <w:rsid w:val="00350239"/>
    <w:rsid w:val="0036006C"/>
    <w:rsid w:val="0036390F"/>
    <w:rsid w:val="003A6D92"/>
    <w:rsid w:val="003B024A"/>
    <w:rsid w:val="003C066A"/>
    <w:rsid w:val="003C0DA3"/>
    <w:rsid w:val="003C38B9"/>
    <w:rsid w:val="003F0813"/>
    <w:rsid w:val="00400034"/>
    <w:rsid w:val="00402685"/>
    <w:rsid w:val="00403DAC"/>
    <w:rsid w:val="004072C8"/>
    <w:rsid w:val="0041766D"/>
    <w:rsid w:val="00420F12"/>
    <w:rsid w:val="004233A5"/>
    <w:rsid w:val="00427786"/>
    <w:rsid w:val="00442FDB"/>
    <w:rsid w:val="0045743E"/>
    <w:rsid w:val="00471561"/>
    <w:rsid w:val="0047262C"/>
    <w:rsid w:val="00473F99"/>
    <w:rsid w:val="00485EEB"/>
    <w:rsid w:val="004870A4"/>
    <w:rsid w:val="004A2730"/>
    <w:rsid w:val="004C1544"/>
    <w:rsid w:val="004E583A"/>
    <w:rsid w:val="004F1D7E"/>
    <w:rsid w:val="0054408E"/>
    <w:rsid w:val="00561B40"/>
    <w:rsid w:val="00573EE5"/>
    <w:rsid w:val="0058299F"/>
    <w:rsid w:val="00587661"/>
    <w:rsid w:val="005B2277"/>
    <w:rsid w:val="005B3D65"/>
    <w:rsid w:val="005C4FAD"/>
    <w:rsid w:val="005D2226"/>
    <w:rsid w:val="005E09DE"/>
    <w:rsid w:val="005F43D1"/>
    <w:rsid w:val="00632275"/>
    <w:rsid w:val="00637E42"/>
    <w:rsid w:val="00644A68"/>
    <w:rsid w:val="00662407"/>
    <w:rsid w:val="0066240F"/>
    <w:rsid w:val="0067498A"/>
    <w:rsid w:val="00691344"/>
    <w:rsid w:val="0069792F"/>
    <w:rsid w:val="006B0E90"/>
    <w:rsid w:val="006B6AA2"/>
    <w:rsid w:val="006B77B8"/>
    <w:rsid w:val="006B7F5D"/>
    <w:rsid w:val="006C5059"/>
    <w:rsid w:val="006C65E9"/>
    <w:rsid w:val="006E27F5"/>
    <w:rsid w:val="006E3885"/>
    <w:rsid w:val="006E6AA7"/>
    <w:rsid w:val="007158F6"/>
    <w:rsid w:val="00717D4F"/>
    <w:rsid w:val="00725F13"/>
    <w:rsid w:val="00737197"/>
    <w:rsid w:val="00742A3D"/>
    <w:rsid w:val="00767AB9"/>
    <w:rsid w:val="00771393"/>
    <w:rsid w:val="00771933"/>
    <w:rsid w:val="00771B64"/>
    <w:rsid w:val="00782229"/>
    <w:rsid w:val="00795B17"/>
    <w:rsid w:val="007C5C69"/>
    <w:rsid w:val="007D51FD"/>
    <w:rsid w:val="007E44B9"/>
    <w:rsid w:val="007E7BC8"/>
    <w:rsid w:val="007F41CA"/>
    <w:rsid w:val="007F5A3E"/>
    <w:rsid w:val="0080328B"/>
    <w:rsid w:val="0080469D"/>
    <w:rsid w:val="008122AB"/>
    <w:rsid w:val="00815F0E"/>
    <w:rsid w:val="0083271F"/>
    <w:rsid w:val="008331BC"/>
    <w:rsid w:val="00843DAB"/>
    <w:rsid w:val="00844241"/>
    <w:rsid w:val="00847EBF"/>
    <w:rsid w:val="00853AC5"/>
    <w:rsid w:val="008622C6"/>
    <w:rsid w:val="0088685C"/>
    <w:rsid w:val="00891BD9"/>
    <w:rsid w:val="00896764"/>
    <w:rsid w:val="008A2AF6"/>
    <w:rsid w:val="008B10E6"/>
    <w:rsid w:val="008B3479"/>
    <w:rsid w:val="008C4A7A"/>
    <w:rsid w:val="008C7339"/>
    <w:rsid w:val="008D7315"/>
    <w:rsid w:val="008E1F3B"/>
    <w:rsid w:val="008E6942"/>
    <w:rsid w:val="008F2C47"/>
    <w:rsid w:val="008F3286"/>
    <w:rsid w:val="0090027F"/>
    <w:rsid w:val="00914701"/>
    <w:rsid w:val="009235D0"/>
    <w:rsid w:val="00924E21"/>
    <w:rsid w:val="0093008C"/>
    <w:rsid w:val="00961607"/>
    <w:rsid w:val="00965F35"/>
    <w:rsid w:val="00966B2F"/>
    <w:rsid w:val="009673DB"/>
    <w:rsid w:val="00980867"/>
    <w:rsid w:val="00991D9F"/>
    <w:rsid w:val="009A2F6E"/>
    <w:rsid w:val="009B5B85"/>
    <w:rsid w:val="009C290C"/>
    <w:rsid w:val="009E069A"/>
    <w:rsid w:val="009E22ED"/>
    <w:rsid w:val="009E37A0"/>
    <w:rsid w:val="009F19A9"/>
    <w:rsid w:val="009F2438"/>
    <w:rsid w:val="00A1143D"/>
    <w:rsid w:val="00A26100"/>
    <w:rsid w:val="00A37E0A"/>
    <w:rsid w:val="00A634D5"/>
    <w:rsid w:val="00A75E31"/>
    <w:rsid w:val="00A85E03"/>
    <w:rsid w:val="00A922BD"/>
    <w:rsid w:val="00A968BA"/>
    <w:rsid w:val="00AA3068"/>
    <w:rsid w:val="00AB6267"/>
    <w:rsid w:val="00AB76AB"/>
    <w:rsid w:val="00AC4739"/>
    <w:rsid w:val="00AC5834"/>
    <w:rsid w:val="00AD34A7"/>
    <w:rsid w:val="00AD3559"/>
    <w:rsid w:val="00AD563A"/>
    <w:rsid w:val="00B02547"/>
    <w:rsid w:val="00B32B83"/>
    <w:rsid w:val="00B35BBE"/>
    <w:rsid w:val="00B53C4A"/>
    <w:rsid w:val="00B610D7"/>
    <w:rsid w:val="00B71CD3"/>
    <w:rsid w:val="00B803C7"/>
    <w:rsid w:val="00B954CC"/>
    <w:rsid w:val="00BA7181"/>
    <w:rsid w:val="00BB7E3C"/>
    <w:rsid w:val="00BC2641"/>
    <w:rsid w:val="00BD2E89"/>
    <w:rsid w:val="00BF6BBA"/>
    <w:rsid w:val="00C014F1"/>
    <w:rsid w:val="00C10A5C"/>
    <w:rsid w:val="00C10F82"/>
    <w:rsid w:val="00C12A84"/>
    <w:rsid w:val="00C13407"/>
    <w:rsid w:val="00C41598"/>
    <w:rsid w:val="00C65786"/>
    <w:rsid w:val="00C94AE1"/>
    <w:rsid w:val="00CD649B"/>
    <w:rsid w:val="00CF5149"/>
    <w:rsid w:val="00CF54CC"/>
    <w:rsid w:val="00D077ED"/>
    <w:rsid w:val="00D16B0F"/>
    <w:rsid w:val="00D34562"/>
    <w:rsid w:val="00D456F5"/>
    <w:rsid w:val="00D56D4C"/>
    <w:rsid w:val="00D77E5F"/>
    <w:rsid w:val="00D91982"/>
    <w:rsid w:val="00D91BDD"/>
    <w:rsid w:val="00D92EB6"/>
    <w:rsid w:val="00DA1928"/>
    <w:rsid w:val="00DA2651"/>
    <w:rsid w:val="00DA708B"/>
    <w:rsid w:val="00DC41F0"/>
    <w:rsid w:val="00DD27EE"/>
    <w:rsid w:val="00DE29BB"/>
    <w:rsid w:val="00DF1818"/>
    <w:rsid w:val="00DF4DDB"/>
    <w:rsid w:val="00DF5A46"/>
    <w:rsid w:val="00DF6B6F"/>
    <w:rsid w:val="00DF762F"/>
    <w:rsid w:val="00E004DC"/>
    <w:rsid w:val="00E04040"/>
    <w:rsid w:val="00E04AA2"/>
    <w:rsid w:val="00E13039"/>
    <w:rsid w:val="00E215E6"/>
    <w:rsid w:val="00E24FF1"/>
    <w:rsid w:val="00E30ABB"/>
    <w:rsid w:val="00E34326"/>
    <w:rsid w:val="00E464CA"/>
    <w:rsid w:val="00E51C4E"/>
    <w:rsid w:val="00E705DF"/>
    <w:rsid w:val="00E9408D"/>
    <w:rsid w:val="00EA0762"/>
    <w:rsid w:val="00EA2AD0"/>
    <w:rsid w:val="00EB3166"/>
    <w:rsid w:val="00EB7568"/>
    <w:rsid w:val="00EC07CF"/>
    <w:rsid w:val="00EC1E1D"/>
    <w:rsid w:val="00EC74C9"/>
    <w:rsid w:val="00ED1688"/>
    <w:rsid w:val="00EE4864"/>
    <w:rsid w:val="00F0589B"/>
    <w:rsid w:val="00F125AD"/>
    <w:rsid w:val="00F12929"/>
    <w:rsid w:val="00F14A09"/>
    <w:rsid w:val="00F1744E"/>
    <w:rsid w:val="00F20EE0"/>
    <w:rsid w:val="00F36A82"/>
    <w:rsid w:val="00F40488"/>
    <w:rsid w:val="00F45E54"/>
    <w:rsid w:val="00F50D97"/>
    <w:rsid w:val="00F575B8"/>
    <w:rsid w:val="00F611C5"/>
    <w:rsid w:val="00F87D53"/>
    <w:rsid w:val="00F905B1"/>
    <w:rsid w:val="00F9392B"/>
    <w:rsid w:val="00F93E0C"/>
    <w:rsid w:val="00F97868"/>
    <w:rsid w:val="00FB52EC"/>
    <w:rsid w:val="00FE1F02"/>
    <w:rsid w:val="00FF33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7DEB7"/>
  <w15:chartTrackingRefBased/>
  <w15:docId w15:val="{04A40A75-3AD9-4434-A887-717F7EECF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2AF6"/>
    <w:rPr>
      <w:rFonts w:ascii="Calibri" w:eastAsia="SimSun" w:hAnsi="Calibri" w:cs="Times New Roman"/>
    </w:rPr>
  </w:style>
  <w:style w:type="paragraph" w:styleId="Heading1">
    <w:name w:val="heading 1"/>
    <w:basedOn w:val="Normal"/>
    <w:next w:val="Normal"/>
    <w:link w:val="Heading1Char"/>
    <w:uiPriority w:val="9"/>
    <w:qFormat/>
    <w:rsid w:val="00A968B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iPriority w:val="9"/>
    <w:semiHidden/>
    <w:unhideWhenUsed/>
    <w:qFormat/>
    <w:rsid w:val="00637E4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A2AF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A2AF6"/>
    <w:rPr>
      <w:rFonts w:ascii="Arial" w:eastAsia="SimSun" w:hAnsi="Arial" w:cs="Times New Roman"/>
      <w:b/>
      <w:noProof/>
      <w:sz w:val="18"/>
      <w:szCs w:val="20"/>
    </w:rPr>
  </w:style>
  <w:style w:type="paragraph" w:customStyle="1" w:styleId="CRCoverPage">
    <w:name w:val="CR Cover Page"/>
    <w:rsid w:val="008A2AF6"/>
    <w:pPr>
      <w:spacing w:after="120" w:line="240" w:lineRule="auto"/>
    </w:pPr>
    <w:rPr>
      <w:rFonts w:ascii="Arial" w:eastAsia="MS Mincho" w:hAnsi="Arial" w:cs="Times New Roman"/>
      <w:sz w:val="20"/>
      <w:szCs w:val="20"/>
      <w:lang w:val="en-GB"/>
    </w:rPr>
  </w:style>
  <w:style w:type="paragraph" w:customStyle="1" w:styleId="Tdoc">
    <w:name w:val="Tdoc"/>
    <w:basedOn w:val="Normal"/>
    <w:link w:val="TdocChar"/>
    <w:qFormat/>
    <w:rsid w:val="008A2AF6"/>
    <w:pPr>
      <w:keepNext/>
      <w:keepLines/>
      <w:widowControl w:val="0"/>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8A2AF6"/>
    <w:rPr>
      <w:rFonts w:ascii="Arial" w:eastAsia="Arial" w:hAnsi="Arial" w:cs="Times New Roman"/>
      <w:noProof/>
      <w:sz w:val="32"/>
      <w:szCs w:val="20"/>
      <w:lang w:eastAsia="zh-CN"/>
    </w:rPr>
  </w:style>
  <w:style w:type="paragraph" w:styleId="ListParagraph">
    <w:name w:val="List Paragraph"/>
    <w:basedOn w:val="Normal"/>
    <w:uiPriority w:val="34"/>
    <w:qFormat/>
    <w:rsid w:val="008A2AF6"/>
    <w:pPr>
      <w:ind w:left="720"/>
      <w:contextualSpacing/>
    </w:pPr>
  </w:style>
  <w:style w:type="table" w:styleId="TableGrid">
    <w:name w:val="Table Grid"/>
    <w:basedOn w:val="TableNormal"/>
    <w:uiPriority w:val="39"/>
    <w:rsid w:val="008A2AF6"/>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8A2AF6"/>
  </w:style>
  <w:style w:type="paragraph" w:styleId="Title">
    <w:name w:val="Title"/>
    <w:basedOn w:val="Normal"/>
    <w:next w:val="Normal"/>
    <w:link w:val="TitleChar"/>
    <w:uiPriority w:val="10"/>
    <w:qFormat/>
    <w:rsid w:val="0011051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051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968BA"/>
    <w:rPr>
      <w:rFonts w:asciiTheme="majorHAnsi" w:eastAsiaTheme="majorEastAsia" w:hAnsiTheme="majorHAnsi" w:cstheme="majorBidi"/>
      <w:color w:val="2E74B5" w:themeColor="accent1" w:themeShade="BF"/>
      <w:sz w:val="32"/>
      <w:szCs w:val="32"/>
    </w:rPr>
  </w:style>
  <w:style w:type="character" w:styleId="IntenseEmphasis">
    <w:name w:val="Intense Emphasis"/>
    <w:basedOn w:val="DefaultParagraphFont"/>
    <w:uiPriority w:val="21"/>
    <w:qFormat/>
    <w:rsid w:val="00A968BA"/>
    <w:rPr>
      <w:i/>
      <w:iCs/>
      <w:color w:val="5B9BD5" w:themeColor="accent1"/>
    </w:rPr>
  </w:style>
  <w:style w:type="paragraph" w:customStyle="1" w:styleId="TAL">
    <w:name w:val="TAL"/>
    <w:basedOn w:val="Normal"/>
    <w:link w:val="TALCar"/>
    <w:rsid w:val="009A2F6E"/>
    <w:pPr>
      <w:keepNext/>
      <w:keepLines/>
      <w:spacing w:after="0" w:line="240" w:lineRule="auto"/>
    </w:pPr>
    <w:rPr>
      <w:rFonts w:ascii="Arial" w:hAnsi="Arial"/>
      <w:sz w:val="18"/>
      <w:szCs w:val="20"/>
      <w:lang w:val="en-GB"/>
    </w:rPr>
  </w:style>
  <w:style w:type="paragraph" w:customStyle="1" w:styleId="TAH">
    <w:name w:val="TAH"/>
    <w:basedOn w:val="Normal"/>
    <w:link w:val="TAHCar"/>
    <w:qFormat/>
    <w:rsid w:val="009A2F6E"/>
    <w:pPr>
      <w:keepNext/>
      <w:keepLines/>
      <w:spacing w:after="0" w:line="240" w:lineRule="auto"/>
      <w:jc w:val="center"/>
    </w:pPr>
    <w:rPr>
      <w:rFonts w:ascii="Arial" w:hAnsi="Arial"/>
      <w:b/>
      <w:sz w:val="18"/>
      <w:szCs w:val="20"/>
      <w:lang w:val="en-GB"/>
    </w:rPr>
  </w:style>
  <w:style w:type="character" w:customStyle="1" w:styleId="TALCar">
    <w:name w:val="TAL Car"/>
    <w:link w:val="TAL"/>
    <w:rsid w:val="009A2F6E"/>
    <w:rPr>
      <w:rFonts w:ascii="Arial" w:eastAsia="SimSun" w:hAnsi="Arial" w:cs="Times New Roman"/>
      <w:sz w:val="18"/>
      <w:szCs w:val="20"/>
      <w:lang w:val="en-GB"/>
    </w:rPr>
  </w:style>
  <w:style w:type="paragraph" w:customStyle="1" w:styleId="TH">
    <w:name w:val="TH"/>
    <w:basedOn w:val="Normal"/>
    <w:link w:val="THChar"/>
    <w:rsid w:val="006B6AA2"/>
    <w:pPr>
      <w:keepNext/>
      <w:keepLines/>
      <w:spacing w:before="60" w:after="180" w:line="240" w:lineRule="auto"/>
      <w:jc w:val="center"/>
    </w:pPr>
    <w:rPr>
      <w:rFonts w:ascii="Arial" w:hAnsi="Arial"/>
      <w:b/>
      <w:sz w:val="20"/>
      <w:szCs w:val="20"/>
      <w:lang w:val="en-GB"/>
    </w:rPr>
  </w:style>
  <w:style w:type="character" w:customStyle="1" w:styleId="THChar">
    <w:name w:val="TH Char"/>
    <w:link w:val="TH"/>
    <w:rsid w:val="006B6AA2"/>
    <w:rPr>
      <w:rFonts w:ascii="Arial" w:eastAsia="SimSun" w:hAnsi="Arial" w:cs="Times New Roman"/>
      <w:b/>
      <w:sz w:val="20"/>
      <w:szCs w:val="20"/>
      <w:lang w:val="en-GB"/>
    </w:rPr>
  </w:style>
  <w:style w:type="paragraph" w:customStyle="1" w:styleId="TAC">
    <w:name w:val="TAC"/>
    <w:basedOn w:val="TAL"/>
    <w:link w:val="TACCar"/>
    <w:qFormat/>
    <w:rsid w:val="00FF33CB"/>
    <w:pPr>
      <w:overflowPunct w:val="0"/>
      <w:autoSpaceDE w:val="0"/>
      <w:autoSpaceDN w:val="0"/>
      <w:adjustRightInd w:val="0"/>
      <w:jc w:val="center"/>
      <w:textAlignment w:val="baseline"/>
    </w:pPr>
    <w:rPr>
      <w:lang w:val="x-none"/>
    </w:rPr>
  </w:style>
  <w:style w:type="paragraph" w:customStyle="1" w:styleId="TAR">
    <w:name w:val="TAR"/>
    <w:basedOn w:val="TAL"/>
    <w:rsid w:val="00FF33CB"/>
    <w:pPr>
      <w:overflowPunct w:val="0"/>
      <w:autoSpaceDE w:val="0"/>
      <w:autoSpaceDN w:val="0"/>
      <w:adjustRightInd w:val="0"/>
      <w:jc w:val="right"/>
      <w:textAlignment w:val="baseline"/>
    </w:pPr>
    <w:rPr>
      <w:lang w:val="x-none"/>
    </w:rPr>
  </w:style>
  <w:style w:type="character" w:customStyle="1" w:styleId="TACCar">
    <w:name w:val="TAC Car"/>
    <w:link w:val="TAC"/>
    <w:locked/>
    <w:rsid w:val="00FF33CB"/>
    <w:rPr>
      <w:rFonts w:ascii="Arial" w:eastAsia="SimSun" w:hAnsi="Arial" w:cs="Times New Roman"/>
      <w:sz w:val="18"/>
      <w:szCs w:val="20"/>
      <w:lang w:val="x-none"/>
    </w:rPr>
  </w:style>
  <w:style w:type="character" w:customStyle="1" w:styleId="TAHCar">
    <w:name w:val="TAH Car"/>
    <w:link w:val="TAH"/>
    <w:qFormat/>
    <w:locked/>
    <w:rsid w:val="00FF33CB"/>
    <w:rPr>
      <w:rFonts w:ascii="Arial" w:eastAsia="SimSun" w:hAnsi="Arial" w:cs="Times New Roman"/>
      <w:b/>
      <w:sz w:val="18"/>
      <w:szCs w:val="20"/>
      <w:lang w:val="en-GB"/>
    </w:rPr>
  </w:style>
  <w:style w:type="character" w:styleId="CommentReference">
    <w:name w:val="annotation reference"/>
    <w:basedOn w:val="DefaultParagraphFont"/>
    <w:uiPriority w:val="99"/>
    <w:semiHidden/>
    <w:unhideWhenUsed/>
    <w:rsid w:val="0090027F"/>
    <w:rPr>
      <w:sz w:val="16"/>
      <w:szCs w:val="16"/>
    </w:rPr>
  </w:style>
  <w:style w:type="paragraph" w:styleId="CommentText">
    <w:name w:val="annotation text"/>
    <w:basedOn w:val="Normal"/>
    <w:link w:val="CommentTextChar"/>
    <w:uiPriority w:val="99"/>
    <w:semiHidden/>
    <w:unhideWhenUsed/>
    <w:rsid w:val="0090027F"/>
    <w:pPr>
      <w:spacing w:line="240" w:lineRule="auto"/>
    </w:pPr>
    <w:rPr>
      <w:sz w:val="20"/>
      <w:szCs w:val="20"/>
    </w:rPr>
  </w:style>
  <w:style w:type="character" w:customStyle="1" w:styleId="CommentTextChar">
    <w:name w:val="Comment Text Char"/>
    <w:basedOn w:val="DefaultParagraphFont"/>
    <w:link w:val="CommentText"/>
    <w:uiPriority w:val="99"/>
    <w:semiHidden/>
    <w:rsid w:val="0090027F"/>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0027F"/>
    <w:rPr>
      <w:b/>
      <w:bCs/>
    </w:rPr>
  </w:style>
  <w:style w:type="character" w:customStyle="1" w:styleId="CommentSubjectChar">
    <w:name w:val="Comment Subject Char"/>
    <w:basedOn w:val="CommentTextChar"/>
    <w:link w:val="CommentSubject"/>
    <w:uiPriority w:val="99"/>
    <w:semiHidden/>
    <w:rsid w:val="0090027F"/>
    <w:rPr>
      <w:rFonts w:ascii="Calibri" w:eastAsia="SimSun" w:hAnsi="Calibri" w:cs="Times New Roman"/>
      <w:b/>
      <w:bCs/>
      <w:sz w:val="20"/>
      <w:szCs w:val="20"/>
    </w:rPr>
  </w:style>
  <w:style w:type="paragraph" w:styleId="BalloonText">
    <w:name w:val="Balloon Text"/>
    <w:basedOn w:val="Normal"/>
    <w:link w:val="BalloonTextChar"/>
    <w:uiPriority w:val="99"/>
    <w:semiHidden/>
    <w:unhideWhenUsed/>
    <w:rsid w:val="009002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27F"/>
    <w:rPr>
      <w:rFonts w:ascii="Segoe UI" w:eastAsia="SimSun" w:hAnsi="Segoe UI" w:cs="Segoe UI"/>
      <w:sz w:val="18"/>
      <w:szCs w:val="18"/>
    </w:rPr>
  </w:style>
  <w:style w:type="character" w:customStyle="1" w:styleId="TALChar">
    <w:name w:val="TAL Char"/>
    <w:rsid w:val="00637E42"/>
    <w:rPr>
      <w:rFonts w:ascii="Arial" w:hAnsi="Arial"/>
      <w:sz w:val="18"/>
    </w:rPr>
  </w:style>
  <w:style w:type="character" w:customStyle="1" w:styleId="Heading4Char">
    <w:name w:val="Heading 4 Char"/>
    <w:basedOn w:val="DefaultParagraphFont"/>
    <w:link w:val="Heading4"/>
    <w:uiPriority w:val="9"/>
    <w:semiHidden/>
    <w:rsid w:val="00637E42"/>
    <w:rPr>
      <w:rFonts w:asciiTheme="majorHAnsi" w:eastAsiaTheme="majorEastAsia" w:hAnsiTheme="majorHAnsi" w:cstheme="majorBidi"/>
      <w:i/>
      <w:iCs/>
      <w:color w:val="2E74B5" w:themeColor="accent1" w:themeShade="BF"/>
    </w:rPr>
  </w:style>
  <w:style w:type="character" w:customStyle="1" w:styleId="TAHChar">
    <w:name w:val="TAH Char"/>
    <w:rsid w:val="00637E42"/>
    <w:rPr>
      <w:rFonts w:ascii="Arial" w:hAnsi="Arial"/>
      <w:b/>
      <w:sz w:val="18"/>
    </w:rPr>
  </w:style>
  <w:style w:type="paragraph" w:customStyle="1" w:styleId="NO">
    <w:name w:val="NO"/>
    <w:basedOn w:val="Normal"/>
    <w:link w:val="NOChar"/>
    <w:qFormat/>
    <w:rsid w:val="00473F9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x-none" w:eastAsia="x-none"/>
    </w:rPr>
  </w:style>
  <w:style w:type="character" w:customStyle="1" w:styleId="NOChar">
    <w:name w:val="NO Char"/>
    <w:link w:val="NO"/>
    <w:qFormat/>
    <w:rsid w:val="00473F99"/>
    <w:rPr>
      <w:rFonts w:ascii="Times New Roman" w:eastAsia="Times New Roman" w:hAnsi="Times New Roman" w:cs="Times New Roman"/>
      <w:sz w:val="20"/>
      <w:szCs w:val="20"/>
      <w:lang w:val="x-none" w:eastAsia="x-none"/>
    </w:rPr>
  </w:style>
  <w:style w:type="paragraph" w:styleId="Revision">
    <w:name w:val="Revision"/>
    <w:hidden/>
    <w:uiPriority w:val="99"/>
    <w:semiHidden/>
    <w:rsid w:val="008E6942"/>
    <w:pPr>
      <w:spacing w:after="0" w:line="240" w:lineRule="auto"/>
    </w:pPr>
    <w:rPr>
      <w:rFonts w:ascii="Calibri" w:eastAsia="SimSu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73739">
      <w:bodyDiv w:val="1"/>
      <w:marLeft w:val="0"/>
      <w:marRight w:val="0"/>
      <w:marTop w:val="0"/>
      <w:marBottom w:val="0"/>
      <w:divBdr>
        <w:top w:val="none" w:sz="0" w:space="0" w:color="auto"/>
        <w:left w:val="none" w:sz="0" w:space="0" w:color="auto"/>
        <w:bottom w:val="none" w:sz="0" w:space="0" w:color="auto"/>
        <w:right w:val="none" w:sz="0" w:space="0" w:color="auto"/>
      </w:divBdr>
    </w:div>
    <w:div w:id="444540374">
      <w:bodyDiv w:val="1"/>
      <w:marLeft w:val="0"/>
      <w:marRight w:val="0"/>
      <w:marTop w:val="0"/>
      <w:marBottom w:val="0"/>
      <w:divBdr>
        <w:top w:val="none" w:sz="0" w:space="0" w:color="auto"/>
        <w:left w:val="none" w:sz="0" w:space="0" w:color="auto"/>
        <w:bottom w:val="none" w:sz="0" w:space="0" w:color="auto"/>
        <w:right w:val="none" w:sz="0" w:space="0" w:color="auto"/>
      </w:divBdr>
    </w:div>
    <w:div w:id="775175971">
      <w:bodyDiv w:val="1"/>
      <w:marLeft w:val="0"/>
      <w:marRight w:val="0"/>
      <w:marTop w:val="0"/>
      <w:marBottom w:val="0"/>
      <w:divBdr>
        <w:top w:val="none" w:sz="0" w:space="0" w:color="auto"/>
        <w:left w:val="none" w:sz="0" w:space="0" w:color="auto"/>
        <w:bottom w:val="none" w:sz="0" w:space="0" w:color="auto"/>
        <w:right w:val="none" w:sz="0" w:space="0" w:color="auto"/>
      </w:divBdr>
    </w:div>
    <w:div w:id="914631652">
      <w:bodyDiv w:val="1"/>
      <w:marLeft w:val="0"/>
      <w:marRight w:val="0"/>
      <w:marTop w:val="0"/>
      <w:marBottom w:val="0"/>
      <w:divBdr>
        <w:top w:val="none" w:sz="0" w:space="0" w:color="auto"/>
        <w:left w:val="none" w:sz="0" w:space="0" w:color="auto"/>
        <w:bottom w:val="none" w:sz="0" w:space="0" w:color="auto"/>
        <w:right w:val="none" w:sz="0" w:space="0" w:color="auto"/>
      </w:divBdr>
    </w:div>
    <w:div w:id="1145050635">
      <w:bodyDiv w:val="1"/>
      <w:marLeft w:val="0"/>
      <w:marRight w:val="0"/>
      <w:marTop w:val="0"/>
      <w:marBottom w:val="0"/>
      <w:divBdr>
        <w:top w:val="none" w:sz="0" w:space="0" w:color="auto"/>
        <w:left w:val="none" w:sz="0" w:space="0" w:color="auto"/>
        <w:bottom w:val="none" w:sz="0" w:space="0" w:color="auto"/>
        <w:right w:val="none" w:sz="0" w:space="0" w:color="auto"/>
      </w:divBdr>
    </w:div>
    <w:div w:id="122286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s>
</file>

<file path=customXml/itemProps1.xml><?xml version="1.0" encoding="utf-8"?>
<ds:datastoreItem xmlns:ds="http://schemas.openxmlformats.org/officeDocument/2006/customXml" ds:itemID="{DFFACB60-C278-4842-9E44-683012CD457D}">
  <ds:schemaRefs>
    <ds:schemaRef ds:uri="http://schemas.microsoft.com/sharepoint/v3/contenttype/forms"/>
  </ds:schemaRefs>
</ds:datastoreItem>
</file>

<file path=customXml/itemProps2.xml><?xml version="1.0" encoding="utf-8"?>
<ds:datastoreItem xmlns:ds="http://schemas.openxmlformats.org/officeDocument/2006/customXml" ds:itemID="{871D7886-EDDA-4CB3-8612-9E93ABAFB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4E52A76-CB70-4A04-8418-D6012BF231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E4FE33-4270-4ABD-BBC0-AE25A78D6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Pages>
  <Words>1004</Words>
  <Characters>5348</Characters>
  <Application>Microsoft Office Word</Application>
  <DocSecurity>0</DocSecurity>
  <Lines>77</Lines>
  <Paragraphs>26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CTPClassification=CTP_NT</cp:keywords>
  <dc:description/>
  <cp:lastModifiedBy>SB</cp:lastModifiedBy>
  <cp:revision>18</cp:revision>
  <dcterms:created xsi:type="dcterms:W3CDTF">2019-03-25T21:08:00Z</dcterms:created>
  <dcterms:modified xsi:type="dcterms:W3CDTF">2019-03-29T04:03:00Z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9a23b1b7-7dd0-4814-be83-30d3b761195f</vt:lpwstr>
  </property>
  <property fmtid="{D5CDD505-2E9C-101B-9397-08002B2CF9AE}" pid="3" name="CTP_TimeStamp">
    <vt:lpwstr>2019-03-29 04:03:40Z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