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7B7C695B"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162B1"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sidR="00F4004C">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90</w:t>
      </w:r>
      <w:r w:rsidR="00C3639F">
        <w:rPr>
          <w:i/>
          <w:color w:val="auto"/>
          <w:sz w:val="24"/>
          <w:lang w:eastAsia="zh-CN"/>
        </w:rPr>
        <w:t>4469</w:t>
      </w:r>
    </w:p>
    <w:p w14:paraId="2AE6D983" w14:textId="665C06FF" w:rsidR="007E1DEE" w:rsidRPr="00C036E6" w:rsidRDefault="0089242A" w:rsidP="007E1DEE">
      <w:pPr>
        <w:pStyle w:val="Header"/>
        <w:tabs>
          <w:tab w:val="left" w:pos="6521"/>
        </w:tabs>
        <w:jc w:val="both"/>
        <w:rPr>
          <w:color w:val="auto"/>
          <w:sz w:val="24"/>
          <w:lang w:eastAsia="zh-CN"/>
        </w:rPr>
      </w:pPr>
      <w:r>
        <w:rPr>
          <w:color w:val="auto"/>
          <w:sz w:val="24"/>
          <w:lang w:eastAsia="zh-CN"/>
        </w:rPr>
        <w:t>Xian</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w:t>
      </w:r>
      <w:r w:rsidR="00F72EC2">
        <w:rPr>
          <w:color w:val="auto"/>
          <w:sz w:val="24"/>
        </w:rPr>
        <w:t xml:space="preserve"> – 1</w:t>
      </w:r>
      <w:r w:rsidR="000C2C25">
        <w:rPr>
          <w:color w:val="auto"/>
          <w:sz w:val="24"/>
        </w:rPr>
        <w:t>2</w:t>
      </w:r>
      <w:r>
        <w:rPr>
          <w:color w:val="auto"/>
          <w:sz w:val="24"/>
        </w:rPr>
        <w:t xml:space="preserve"> Apr</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64369D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1235DA">
        <w:rPr>
          <w:rFonts w:ascii="Arial" w:hAnsi="Arial"/>
          <w:b/>
          <w:sz w:val="24"/>
          <w:lang w:val="en-US"/>
        </w:rPr>
        <w:t xml:space="preserve">Discussion </w:t>
      </w:r>
      <w:r w:rsidR="00306489">
        <w:rPr>
          <w:rFonts w:ascii="Arial" w:hAnsi="Arial"/>
          <w:b/>
          <w:sz w:val="24"/>
          <w:lang w:val="en-US"/>
        </w:rPr>
        <w:t>on the interpretation of NW assigned capability</w:t>
      </w:r>
      <w:r w:rsidR="00A74C90">
        <w:rPr>
          <w:rFonts w:ascii="Arial" w:hAnsi="Arial"/>
          <w:b/>
          <w:sz w:val="24"/>
          <w:lang w:val="en-US"/>
        </w:rPr>
        <w:t xml:space="preserve"> ID</w:t>
      </w:r>
      <w:r w:rsidR="00306489">
        <w:rPr>
          <w:rFonts w:ascii="Arial" w:hAnsi="Arial"/>
          <w:b/>
          <w:sz w:val="24"/>
          <w:lang w:val="en-US"/>
        </w:rPr>
        <w:t xml:space="preserve"> </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3961158E" w14:textId="27A59096" w:rsidR="001C70F2" w:rsidRDefault="00306489" w:rsidP="001235DA">
      <w:r>
        <w:t xml:space="preserve">In [1] SA2 </w:t>
      </w:r>
      <w:r w:rsidR="00B76FD7">
        <w:t>has</w:t>
      </w:r>
      <w:r>
        <w:t xml:space="preserve"> conclude</w:t>
      </w:r>
      <w:r w:rsidR="00B76FD7">
        <w:t>d</w:t>
      </w:r>
      <w:r>
        <w:t xml:space="preserve"> on the SI for RACS. In the TR, the below NOTE is added on how the NW nodes can use the RAT container capabilities provided by the UE.</w:t>
      </w:r>
    </w:p>
    <w:p w14:paraId="79C8BF88" w14:textId="77777777" w:rsidR="00B76FD7" w:rsidRDefault="00B76FD7" w:rsidP="00B76FD7">
      <w:pPr>
        <w:pStyle w:val="NO"/>
      </w:pPr>
      <w:r>
        <w:t xml:space="preserve">NOTE 5:   Signalling of additional UE radio capabilities with per-RAT granularity is supported with current RAN specifications e.g. </w:t>
      </w:r>
      <w:r>
        <w:rPr>
          <w:highlight w:val="yellow"/>
        </w:rPr>
        <w:t>if RAN already has UE radio capability corresponding to RAT1, it can acquire the additional UE radio capability corresponding to RAT2, combine the two and send them to 5GC which can then assign a new UE Capability ID corresponding to the sum of the old capability (RAT1) and the additional capability (RAT2).</w:t>
      </w:r>
    </w:p>
    <w:p w14:paraId="089F0B23" w14:textId="47AC5CA5" w:rsidR="001235DA" w:rsidRDefault="001235DA" w:rsidP="001235DA">
      <w:r>
        <w:t xml:space="preserve">In this contribution, we discuss on </w:t>
      </w:r>
      <w:r w:rsidR="00306489">
        <w:t>the impact of this NOTE at the UE and propose on how the UE should view the NW assigned capability ID.</w:t>
      </w:r>
    </w:p>
    <w:p w14:paraId="2AE6D98D" w14:textId="77777777" w:rsidR="003E1A61" w:rsidRDefault="003E1A61" w:rsidP="00F13226">
      <w:pPr>
        <w:pStyle w:val="Heading1"/>
      </w:pPr>
      <w:r>
        <w:t>Discussion</w:t>
      </w:r>
    </w:p>
    <w:p w14:paraId="7AB15C91" w14:textId="2EEE8787" w:rsidR="008A7787" w:rsidRDefault="008525E3" w:rsidP="008A7787">
      <w:pPr>
        <w:pStyle w:val="Heading2"/>
      </w:pPr>
      <w:r>
        <w:t>Current RAN2 interpretation on the NW assigned UE capability ID</w:t>
      </w:r>
    </w:p>
    <w:p w14:paraId="28779370" w14:textId="55B08A4E" w:rsidR="004559E9" w:rsidRDefault="004559E9" w:rsidP="002F0CA0">
      <w:r>
        <w:t>Based on the agreements made in RAN2-105, the UE currently associates the NW assigned capability to the capability content it has transferred as part of the registration request.</w:t>
      </w:r>
    </w:p>
    <w:p w14:paraId="2A728E8B"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Agreements for PLMN assigned capability ID</w:t>
      </w:r>
    </w:p>
    <w:p w14:paraId="07D33BDF"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1</w:t>
      </w:r>
      <w:r w:rsidRPr="004559E9">
        <w:rPr>
          <w:color w:val="auto"/>
        </w:rPr>
        <w:tab/>
        <w:t xml:space="preserve">It is possible for the network to use different filters in different parts of the PLMN </w:t>
      </w:r>
    </w:p>
    <w:p w14:paraId="4DAC9787"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FFS: Whether any extensions to the current filter mechanism are needed.</w:t>
      </w:r>
    </w:p>
    <w:p w14:paraId="713DF4C0"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2</w:t>
      </w:r>
      <w:r w:rsidRPr="004559E9">
        <w:rPr>
          <w:color w:val="auto"/>
        </w:rPr>
        <w:tab/>
        <w:t xml:space="preserve">UE provides capability to the network based on the filter and </w:t>
      </w:r>
      <w:r w:rsidRPr="004559E9">
        <w:rPr>
          <w:color w:val="auto"/>
          <w:highlight w:val="yellow"/>
        </w:rPr>
        <w:t>if an ID is assigned then the ID is associated to whatever capabilities it has transferred earlier.</w:t>
      </w:r>
      <w:r w:rsidRPr="004559E9">
        <w:rPr>
          <w:color w:val="auto"/>
        </w:rPr>
        <w:t xml:space="preserve">  </w:t>
      </w:r>
    </w:p>
    <w:p w14:paraId="70E35A5D" w14:textId="77777777" w:rsidR="004559E9" w:rsidRPr="004559E9" w:rsidRDefault="004559E9" w:rsidP="004559E9">
      <w:pPr>
        <w:pStyle w:val="Doc-text2"/>
        <w:pBdr>
          <w:top w:val="single" w:sz="4" w:space="1" w:color="auto"/>
          <w:left w:val="single" w:sz="4" w:space="4" w:color="auto"/>
          <w:bottom w:val="single" w:sz="4" w:space="1" w:color="auto"/>
          <w:right w:val="single" w:sz="4" w:space="4" w:color="auto"/>
        </w:pBdr>
        <w:rPr>
          <w:color w:val="auto"/>
        </w:rPr>
      </w:pPr>
      <w:r w:rsidRPr="004559E9">
        <w:rPr>
          <w:color w:val="auto"/>
        </w:rPr>
        <w:t>3</w:t>
      </w:r>
      <w:r w:rsidRPr="004559E9">
        <w:rPr>
          <w:color w:val="auto"/>
        </w:rPr>
        <w:tab/>
        <w:t>The Capability ID is unique within a PLMN - i.e. the UE can provide to capability ID anywhere within this PLMN (this does not imply that Capability ID to capability set mapping needs to be known throughout the PLMN)</w:t>
      </w:r>
    </w:p>
    <w:p w14:paraId="2AE19089" w14:textId="77777777" w:rsidR="004559E9" w:rsidRDefault="004559E9" w:rsidP="002F0CA0"/>
    <w:p w14:paraId="0A7A49A6" w14:textId="0CF6A0F9" w:rsidR="004559E9" w:rsidRDefault="004559E9" w:rsidP="002F0CA0">
      <w:r>
        <w:t xml:space="preserve">There is a mis-alignment here between RAN2 and SA2 understanding and this needs to be </w:t>
      </w:r>
      <w:r w:rsidR="00DF418F">
        <w:t>resolved</w:t>
      </w:r>
      <w:r>
        <w:t>.</w:t>
      </w:r>
    </w:p>
    <w:p w14:paraId="429CC7AD" w14:textId="25002653" w:rsidR="004559E9" w:rsidRDefault="004559E9" w:rsidP="004559E9">
      <w:pPr>
        <w:pStyle w:val="Heading2"/>
      </w:pPr>
      <w:r>
        <w:t>Adopting the SA2 agreement</w:t>
      </w:r>
    </w:p>
    <w:p w14:paraId="02C836A3" w14:textId="7C267D2F" w:rsidR="004559E9" w:rsidRDefault="004559E9" w:rsidP="002F0CA0">
      <w:r>
        <w:t>We can modify the RAN2 agreement such that when the NW assigns an ID to the UE, the UE associates the ID to not just the capability it has transferred, but also associate the ID to all the capability containers the UE supports (based on the RATs it supports), even when some of these containers are not yet requested by the network.</w:t>
      </w:r>
    </w:p>
    <w:p w14:paraId="3B20D053" w14:textId="3157DF30" w:rsidR="004559E9" w:rsidRDefault="004559E9" w:rsidP="002F0CA0">
      <w:r>
        <w:lastRenderedPageBreak/>
        <w:t xml:space="preserve">Essentially, </w:t>
      </w:r>
      <w:r w:rsidR="00290B5E">
        <w:t xml:space="preserve">when associating the NW assigned capability ID to the UE capability for that PLMN, </w:t>
      </w:r>
      <w:r>
        <w:t xml:space="preserve">the UE does not actually </w:t>
      </w:r>
      <w:r w:rsidR="00DF418F">
        <w:t>link the ID to</w:t>
      </w:r>
      <w:r>
        <w:t xml:space="preserve"> what was transferred, but rather what is supported by the UE</w:t>
      </w:r>
      <w:r w:rsidR="003509BF">
        <w:t>.</w:t>
      </w:r>
      <w:r w:rsidR="009A7FA0">
        <w:t xml:space="preserve"> </w:t>
      </w:r>
      <w:r w:rsidR="00290B5E">
        <w:t>We think this should be ok at the UE, as long as the NW manages the ID handling correctly</w:t>
      </w:r>
      <w:r>
        <w:t>.</w:t>
      </w:r>
    </w:p>
    <w:p w14:paraId="0FBEFB3F" w14:textId="5C60E32C" w:rsidR="00290B5E" w:rsidRPr="00196876" w:rsidRDefault="00290B5E" w:rsidP="002F0CA0">
      <w:pPr>
        <w:rPr>
          <w:b/>
        </w:rPr>
      </w:pPr>
      <w:r w:rsidRPr="00196876">
        <w:rPr>
          <w:b/>
        </w:rPr>
        <w:t>Observation</w:t>
      </w:r>
      <w:r w:rsidR="006055DB">
        <w:rPr>
          <w:b/>
        </w:rPr>
        <w:t xml:space="preserve"> 1</w:t>
      </w:r>
      <w:r w:rsidRPr="00196876">
        <w:rPr>
          <w:b/>
        </w:rPr>
        <w:t xml:space="preserve">: With the SA2 note stated above, it should be ok for the UE to link the ID to what is supported at the UE rather than what was reported earlier, as long as filters are not used.  </w:t>
      </w:r>
    </w:p>
    <w:p w14:paraId="64834B1C" w14:textId="29855752" w:rsidR="00104A13" w:rsidRDefault="00104A13" w:rsidP="00104A13">
      <w:pPr>
        <w:pStyle w:val="Heading2"/>
      </w:pPr>
      <w:r>
        <w:t>Impact from NW provided filters</w:t>
      </w:r>
    </w:p>
    <w:p w14:paraId="56A75144" w14:textId="65AEDDBE" w:rsidR="003509BF" w:rsidRDefault="003509BF" w:rsidP="002F0CA0">
      <w:r>
        <w:t>However, if the filters are used, this can create some ambiguities at the UE, since now the UE does not clearly know what is known at the NW in terms of the RAT containers it supports, as well as the content inside the container, as filters affect this.</w:t>
      </w:r>
    </w:p>
    <w:p w14:paraId="3E79EFAC" w14:textId="77777777" w:rsidR="00410BDA" w:rsidRDefault="00410BDA" w:rsidP="00410BDA">
      <w:pPr>
        <w:pStyle w:val="Heading3"/>
      </w:pPr>
      <w:r>
        <w:t xml:space="preserve">Need for common understanding of the capability between UE and RAN </w:t>
      </w:r>
    </w:p>
    <w:p w14:paraId="66EC5CD8" w14:textId="63321309" w:rsidR="00410BDA" w:rsidRDefault="00410BDA" w:rsidP="00410BDA">
      <w:r>
        <w:t>Before the introduction of RACS feature, the UE and the NW would each know the complete set of capabilities that the UE supports. This is needed, for eg., to use as the baseline on top of which the temporary capability restriction can be applied based on the requests from the UE (overheating etc..).</w:t>
      </w:r>
    </w:p>
    <w:p w14:paraId="14B2AFA0" w14:textId="5A0B8E66" w:rsidR="00410BDA" w:rsidRDefault="00410BDA" w:rsidP="00410BDA">
      <w:r>
        <w:t xml:space="preserve">With the introduction of the ability of the NW to combine RAT capabilities without the UE knowing it in RACS feature, this might not be possible. </w:t>
      </w:r>
    </w:p>
    <w:p w14:paraId="260848D8" w14:textId="310FF0D4" w:rsidR="00410BDA" w:rsidRPr="00196876" w:rsidRDefault="00410BDA" w:rsidP="00410BDA">
      <w:pPr>
        <w:rPr>
          <w:b/>
        </w:rPr>
      </w:pPr>
      <w:r w:rsidRPr="00196876">
        <w:rPr>
          <w:b/>
        </w:rPr>
        <w:t>Observation</w:t>
      </w:r>
      <w:r w:rsidR="006055DB">
        <w:rPr>
          <w:b/>
        </w:rPr>
        <w:t xml:space="preserve"> 2</w:t>
      </w:r>
      <w:r w:rsidRPr="00196876">
        <w:rPr>
          <w:b/>
        </w:rPr>
        <w:t>: A common capability that both RAN and UE should be aware</w:t>
      </w:r>
      <w:r w:rsidR="00AD7FBA">
        <w:rPr>
          <w:b/>
        </w:rPr>
        <w:t>,</w:t>
      </w:r>
      <w:r w:rsidRPr="00196876">
        <w:rPr>
          <w:b/>
        </w:rPr>
        <w:t xml:space="preserve"> is needed for using temporary capability restriction. </w:t>
      </w:r>
      <w:r>
        <w:rPr>
          <w:b/>
        </w:rPr>
        <w:t xml:space="preserve"> This is applicable even with the introduction of RACS feature.</w:t>
      </w:r>
    </w:p>
    <w:p w14:paraId="12554AF8" w14:textId="77777777" w:rsidR="002F11B2" w:rsidRDefault="002F11B2" w:rsidP="002F0CA0">
      <w:r>
        <w:t xml:space="preserve">To start with, the </w:t>
      </w:r>
      <w:r w:rsidRPr="002F11B2">
        <w:rPr>
          <w:i/>
        </w:rPr>
        <w:t>eutra-nr</w:t>
      </w:r>
      <w:r>
        <w:t xml:space="preserve"> and </w:t>
      </w:r>
      <w:r w:rsidRPr="002F11B2">
        <w:rPr>
          <w:i/>
        </w:rPr>
        <w:t>nr</w:t>
      </w:r>
      <w:r>
        <w:t xml:space="preserve"> containers both carry parts of MR-DC capabilities of the UE. The impact from this is that for the NW to ‘combine’ different containers to form a unified capability for the UE, the filters that are associated with the containers have to be consistent. This is already agreed in rel-15.</w:t>
      </w:r>
    </w:p>
    <w:p w14:paraId="1DDF95DF" w14:textId="799D023A" w:rsidR="005862B1" w:rsidRDefault="002F11B2" w:rsidP="002F0CA0">
      <w:r>
        <w:t xml:space="preserve">The only exception is for LTE SA container, which </w:t>
      </w:r>
      <w:r w:rsidR="00DF418F">
        <w:t>has</w:t>
      </w:r>
      <w:r>
        <w:t xml:space="preserve"> all</w:t>
      </w:r>
      <w:r w:rsidR="00DF418F">
        <w:t xml:space="preserve"> the needed capabilities </w:t>
      </w:r>
      <w:r>
        <w:t xml:space="preserve">in </w:t>
      </w:r>
      <w:r>
        <w:rPr>
          <w:i/>
        </w:rPr>
        <w:t xml:space="preserve">eutra </w:t>
      </w:r>
      <w:r>
        <w:t xml:space="preserve">container, even </w:t>
      </w:r>
      <w:r w:rsidR="00710C4C">
        <w:t xml:space="preserve">when requested from NR RRC. </w:t>
      </w:r>
      <w:r w:rsidR="005862B1">
        <w:t xml:space="preserve">But </w:t>
      </w:r>
      <w:r w:rsidR="00710C4C">
        <w:t xml:space="preserve">the featureSets present in </w:t>
      </w:r>
      <w:r w:rsidR="00710C4C">
        <w:rPr>
          <w:i/>
        </w:rPr>
        <w:t xml:space="preserve">eutra </w:t>
      </w:r>
      <w:r w:rsidR="00710C4C">
        <w:t>container meant for MR-DC capabilities can potentially be re-used for LTE SA operation (as part of future size reduction optimizations)</w:t>
      </w:r>
      <w:r w:rsidR="005862B1">
        <w:t>.</w:t>
      </w:r>
    </w:p>
    <w:p w14:paraId="0895D9E6" w14:textId="531D9508" w:rsidR="005862B1" w:rsidRPr="00196876" w:rsidRDefault="005862B1" w:rsidP="002F0CA0">
      <w:pPr>
        <w:rPr>
          <w:b/>
        </w:rPr>
      </w:pPr>
      <w:r>
        <w:rPr>
          <w:b/>
        </w:rPr>
        <w:t>Observation</w:t>
      </w:r>
      <w:r w:rsidR="006055DB">
        <w:rPr>
          <w:b/>
        </w:rPr>
        <w:t xml:space="preserve"> 3</w:t>
      </w:r>
      <w:r>
        <w:rPr>
          <w:b/>
        </w:rPr>
        <w:t>: In NR</w:t>
      </w:r>
      <w:r w:rsidR="00AD7FBA">
        <w:rPr>
          <w:b/>
        </w:rPr>
        <w:t xml:space="preserve"> and LTE</w:t>
      </w:r>
      <w:r>
        <w:rPr>
          <w:b/>
        </w:rPr>
        <w:t xml:space="preserve">, the usage of references to featureSets imply that </w:t>
      </w:r>
      <w:r w:rsidR="00330C68">
        <w:rPr>
          <w:b/>
        </w:rPr>
        <w:t xml:space="preserve">there is dependency between </w:t>
      </w:r>
      <w:r>
        <w:rPr>
          <w:b/>
        </w:rPr>
        <w:t>the RAT containers</w:t>
      </w:r>
      <w:r w:rsidR="00330C68">
        <w:rPr>
          <w:b/>
        </w:rPr>
        <w:t>.</w:t>
      </w:r>
    </w:p>
    <w:p w14:paraId="29C0946C" w14:textId="0C0CA02A" w:rsidR="004559E9" w:rsidRDefault="00330C68" w:rsidP="002F0CA0">
      <w:r>
        <w:t>Therefore</w:t>
      </w:r>
      <w:r w:rsidR="00AD7FBA">
        <w:t xml:space="preserve"> </w:t>
      </w:r>
      <w:r w:rsidR="00710C4C">
        <w:t xml:space="preserve">we see that a consistent set of filters for each RAT are needed to be known at the UE during NW ID assignment time, so that the UE can clearly know which capabilities in each RAT </w:t>
      </w:r>
      <w:r w:rsidR="00DF418F">
        <w:t>the assigned</w:t>
      </w:r>
      <w:r w:rsidR="00710C4C">
        <w:t xml:space="preserve"> ID is meant to reflect.</w:t>
      </w:r>
      <w:r w:rsidR="002F11B2">
        <w:t xml:space="preserve"> </w:t>
      </w:r>
    </w:p>
    <w:p w14:paraId="2D88C952" w14:textId="45CDECB8" w:rsidR="00710C4C" w:rsidRDefault="00710C4C" w:rsidP="002F0CA0">
      <w:pPr>
        <w:rPr>
          <w:b/>
        </w:rPr>
      </w:pPr>
      <w:r w:rsidRPr="006147F5">
        <w:rPr>
          <w:b/>
        </w:rPr>
        <w:t>Observation</w:t>
      </w:r>
      <w:r w:rsidR="006055DB">
        <w:rPr>
          <w:b/>
        </w:rPr>
        <w:t xml:space="preserve"> 4</w:t>
      </w:r>
      <w:r w:rsidRPr="006147F5">
        <w:rPr>
          <w:b/>
        </w:rPr>
        <w:t xml:space="preserve">: </w:t>
      </w:r>
      <w:r w:rsidR="0089336A">
        <w:rPr>
          <w:b/>
        </w:rPr>
        <w:t>I</w:t>
      </w:r>
      <w:r w:rsidR="00330C68">
        <w:rPr>
          <w:b/>
        </w:rPr>
        <w:t>f filtered capabilities are reflected by the NW assigned ID</w:t>
      </w:r>
      <w:r w:rsidR="0089336A">
        <w:rPr>
          <w:b/>
        </w:rPr>
        <w:t xml:space="preserve"> for any of the RAT containers, </w:t>
      </w:r>
      <w:r w:rsidRPr="006147F5">
        <w:rPr>
          <w:b/>
        </w:rPr>
        <w:t>the UE should clearly know the filters the NW intends to use (for each of the RATs).</w:t>
      </w:r>
    </w:p>
    <w:p w14:paraId="3329CBAC" w14:textId="1FF3BBC7" w:rsidR="00583147" w:rsidRDefault="00583147" w:rsidP="002F0CA0">
      <w:r>
        <w:t>There are multiple ways in which the filters can be provided to the UE:</w:t>
      </w:r>
    </w:p>
    <w:p w14:paraId="17BBF5E4" w14:textId="77777777" w:rsidR="00583147" w:rsidRPr="00196876" w:rsidRDefault="00583147" w:rsidP="00196876">
      <w:pPr>
        <w:pStyle w:val="ListParagraph"/>
        <w:numPr>
          <w:ilvl w:val="0"/>
          <w:numId w:val="44"/>
        </w:numPr>
        <w:rPr>
          <w:b/>
        </w:rPr>
      </w:pPr>
      <w:r>
        <w:t>Even when the NW is interested in not requesting all the containers at the same time, the NW could provide the applied filters as part of UE capability enquiry.</w:t>
      </w:r>
    </w:p>
    <w:p w14:paraId="354730AB" w14:textId="77777777" w:rsidR="00583147" w:rsidRPr="00196876" w:rsidRDefault="00583147" w:rsidP="00196876">
      <w:pPr>
        <w:pStyle w:val="ListParagraph"/>
        <w:numPr>
          <w:ilvl w:val="0"/>
          <w:numId w:val="44"/>
        </w:numPr>
        <w:rPr>
          <w:b/>
        </w:rPr>
      </w:pPr>
      <w:r>
        <w:t>The NW can provide the filters as a transparent container in NAS signalling at the time of registration as proposed in [2] upfront, so that the UE gets a chance to provide the ID in the NAS signalling if it already has an ID that matches the capabilities based on the provided filters.</w:t>
      </w:r>
    </w:p>
    <w:p w14:paraId="3DBC4A6E" w14:textId="77777777" w:rsidR="00583147" w:rsidRPr="00196876" w:rsidRDefault="00583147" w:rsidP="00196876">
      <w:pPr>
        <w:pStyle w:val="ListParagraph"/>
        <w:numPr>
          <w:ilvl w:val="0"/>
          <w:numId w:val="44"/>
        </w:numPr>
        <w:rPr>
          <w:b/>
        </w:rPr>
      </w:pPr>
      <w:r>
        <w:t>Other means…</w:t>
      </w:r>
    </w:p>
    <w:p w14:paraId="035A69AC" w14:textId="77777777" w:rsidR="00583147" w:rsidRDefault="00583147" w:rsidP="00583147">
      <w:r>
        <w:t>The below figure shows the above in a sequence diagram.</w:t>
      </w:r>
    </w:p>
    <w:tbl>
      <w:tblPr>
        <w:tblStyle w:val="TableGrid"/>
        <w:tblW w:w="0" w:type="auto"/>
        <w:tblLook w:val="04A0" w:firstRow="1" w:lastRow="0" w:firstColumn="1" w:lastColumn="0" w:noHBand="0" w:noVBand="1"/>
      </w:tblPr>
      <w:tblGrid>
        <w:gridCol w:w="9016"/>
      </w:tblGrid>
      <w:tr w:rsidR="005F33FF" w14:paraId="573382DB" w14:textId="77777777" w:rsidTr="005F33FF">
        <w:tc>
          <w:tcPr>
            <w:tcW w:w="9016" w:type="dxa"/>
          </w:tcPr>
          <w:p w14:paraId="59DEE63C" w14:textId="6CF8126B" w:rsidR="005F33FF" w:rsidRDefault="005F33FF" w:rsidP="00583147">
            <w:r>
              <w:object w:dxaOrig="9316" w:dyaOrig="10546" w14:anchorId="4B42F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510.45pt" o:ole="">
                  <v:imagedata r:id="rId11" o:title=""/>
                </v:shape>
                <o:OLEObject Type="Embed" ProgID="Visio.Drawing.15" ShapeID="_x0000_i1025" DrawAspect="Content" ObjectID="_1615312640" r:id="rId12"/>
              </w:object>
            </w:r>
          </w:p>
        </w:tc>
      </w:tr>
    </w:tbl>
    <w:p w14:paraId="1DE23B2F" w14:textId="31F919B0" w:rsidR="005F33FF" w:rsidRPr="00044FAB" w:rsidRDefault="00583147" w:rsidP="005F33FF">
      <w:pPr>
        <w:jc w:val="center"/>
        <w:rPr>
          <w:b/>
        </w:rPr>
      </w:pPr>
      <w:r>
        <w:t xml:space="preserve"> </w:t>
      </w:r>
      <w:r w:rsidR="005F33FF">
        <w:rPr>
          <w:b/>
        </w:rPr>
        <w:t>Figure 1: NW can filters used in either the NAS message or in the UE capability enquiry message, and UE uses the filters to link the capability ID to the capabilities that are derived based on the filters</w:t>
      </w:r>
    </w:p>
    <w:p w14:paraId="416D7A25" w14:textId="3E949A64" w:rsidR="00583147" w:rsidRPr="00196876" w:rsidRDefault="00583147" w:rsidP="00583147">
      <w:pPr>
        <w:rPr>
          <w:b/>
        </w:rPr>
      </w:pPr>
    </w:p>
    <w:p w14:paraId="2C7AD435" w14:textId="6297B571" w:rsidR="00710C4C" w:rsidRPr="006147F5" w:rsidRDefault="00710C4C" w:rsidP="002F0CA0">
      <w:pPr>
        <w:rPr>
          <w:b/>
        </w:rPr>
      </w:pPr>
      <w:r w:rsidRPr="006147F5">
        <w:rPr>
          <w:b/>
        </w:rPr>
        <w:t>Proposal</w:t>
      </w:r>
      <w:r w:rsidR="006055DB">
        <w:rPr>
          <w:b/>
        </w:rPr>
        <w:t xml:space="preserve"> 1</w:t>
      </w:r>
      <w:r w:rsidRPr="006147F5">
        <w:rPr>
          <w:b/>
        </w:rPr>
        <w:t xml:space="preserve">: </w:t>
      </w:r>
      <w:r w:rsidR="0089336A">
        <w:rPr>
          <w:b/>
        </w:rPr>
        <w:t>If filters are used, t</w:t>
      </w:r>
      <w:r w:rsidRPr="006147F5">
        <w:rPr>
          <w:b/>
        </w:rPr>
        <w:t xml:space="preserve">he NW provides the applicable filters for LTE SA, NR SA and MR-DC (which ever are applied at the NW for the PLMN) </w:t>
      </w:r>
      <w:r w:rsidR="00317716">
        <w:rPr>
          <w:b/>
        </w:rPr>
        <w:t>before</w:t>
      </w:r>
      <w:r w:rsidRPr="006147F5">
        <w:rPr>
          <w:b/>
        </w:rPr>
        <w:t xml:space="preserve"> the NW assigns the capability ID to the UE.</w:t>
      </w:r>
      <w:r w:rsidR="00317716">
        <w:rPr>
          <w:b/>
        </w:rPr>
        <w:t xml:space="preserve"> FFS whether they are provided with the ID or before. </w:t>
      </w:r>
    </w:p>
    <w:p w14:paraId="0551B05E" w14:textId="24B632D8" w:rsidR="00710C4C" w:rsidRPr="006147F5" w:rsidRDefault="00710C4C" w:rsidP="002F0CA0">
      <w:pPr>
        <w:rPr>
          <w:b/>
        </w:rPr>
      </w:pPr>
      <w:r w:rsidRPr="006147F5">
        <w:rPr>
          <w:b/>
        </w:rPr>
        <w:t>Proposal</w:t>
      </w:r>
      <w:r w:rsidR="006055DB">
        <w:rPr>
          <w:b/>
        </w:rPr>
        <w:t xml:space="preserve"> 2</w:t>
      </w:r>
      <w:r w:rsidRPr="006147F5">
        <w:rPr>
          <w:b/>
        </w:rPr>
        <w:t xml:space="preserve">:  </w:t>
      </w:r>
      <w:r w:rsidR="00AD7FBA">
        <w:rPr>
          <w:b/>
        </w:rPr>
        <w:t>The</w:t>
      </w:r>
      <w:r w:rsidRPr="006147F5">
        <w:rPr>
          <w:b/>
        </w:rPr>
        <w:t xml:space="preserve"> UE shall associate the NW assigned capability ID to all the RAT </w:t>
      </w:r>
      <w:r w:rsidR="00AD7FBA">
        <w:rPr>
          <w:b/>
        </w:rPr>
        <w:t xml:space="preserve">capability </w:t>
      </w:r>
      <w:r w:rsidRPr="006147F5">
        <w:rPr>
          <w:b/>
        </w:rPr>
        <w:t>containers</w:t>
      </w:r>
      <w:r w:rsidR="00AD7FBA">
        <w:rPr>
          <w:b/>
        </w:rPr>
        <w:t xml:space="preserve"> it supports, where the capability is filtered based on the NW provided filters</w:t>
      </w:r>
      <w:r w:rsidRPr="006147F5">
        <w:rPr>
          <w:b/>
        </w:rPr>
        <w:t>.</w:t>
      </w:r>
    </w:p>
    <w:p w14:paraId="241CB294" w14:textId="77777777" w:rsidR="004559E9" w:rsidRDefault="004559E9" w:rsidP="002F0CA0"/>
    <w:p w14:paraId="2AE6D99F" w14:textId="77777777" w:rsidR="00FB082B" w:rsidRPr="003A28F3" w:rsidRDefault="00FB082B" w:rsidP="006D66EA">
      <w:pPr>
        <w:pStyle w:val="Heading1"/>
      </w:pPr>
      <w:r w:rsidRPr="003A28F3">
        <w:t xml:space="preserve">Conclusion and </w:t>
      </w:r>
      <w:r w:rsidRPr="006D66EA">
        <w:t>proposals</w:t>
      </w:r>
    </w:p>
    <w:p w14:paraId="28650FFF" w14:textId="77777777" w:rsidR="006055DB" w:rsidRPr="00B279E2" w:rsidRDefault="006055DB" w:rsidP="006055DB">
      <w:pPr>
        <w:rPr>
          <w:b/>
        </w:rPr>
      </w:pPr>
      <w:r w:rsidRPr="00B279E2">
        <w:rPr>
          <w:b/>
        </w:rPr>
        <w:t>Observation</w:t>
      </w:r>
      <w:r>
        <w:rPr>
          <w:b/>
        </w:rPr>
        <w:t xml:space="preserve"> 1</w:t>
      </w:r>
      <w:r w:rsidRPr="00B279E2">
        <w:rPr>
          <w:b/>
        </w:rPr>
        <w:t xml:space="preserve">: With the SA2 note stated above, it should be ok for the UE to link the ID to what is supported at the UE rather than what was reported earlier, as long as filters are not used.  </w:t>
      </w:r>
    </w:p>
    <w:p w14:paraId="14B858B6" w14:textId="5FABD1B4" w:rsidR="006055DB" w:rsidRPr="00B279E2" w:rsidRDefault="006055DB" w:rsidP="006055DB">
      <w:pPr>
        <w:rPr>
          <w:b/>
        </w:rPr>
      </w:pPr>
      <w:r w:rsidRPr="003A28F3" w:rsidDel="006055DB">
        <w:t xml:space="preserve"> </w:t>
      </w:r>
      <w:r w:rsidRPr="00B279E2">
        <w:rPr>
          <w:b/>
        </w:rPr>
        <w:t>Observation</w:t>
      </w:r>
      <w:r>
        <w:rPr>
          <w:b/>
        </w:rPr>
        <w:t xml:space="preserve"> 2</w:t>
      </w:r>
      <w:r w:rsidRPr="00B279E2">
        <w:rPr>
          <w:b/>
        </w:rPr>
        <w:t>: A common capability that both RAN and UE should be aware</w:t>
      </w:r>
      <w:r>
        <w:rPr>
          <w:b/>
        </w:rPr>
        <w:t>,</w:t>
      </w:r>
      <w:r w:rsidRPr="00B279E2">
        <w:rPr>
          <w:b/>
        </w:rPr>
        <w:t xml:space="preserve"> is needed for using temporary capability restriction. </w:t>
      </w:r>
      <w:r>
        <w:rPr>
          <w:b/>
        </w:rPr>
        <w:t xml:space="preserve"> This is applicable even with the introduction of RACS feature.</w:t>
      </w:r>
    </w:p>
    <w:p w14:paraId="619AB401" w14:textId="77777777" w:rsidR="006055DB" w:rsidRPr="00B279E2" w:rsidRDefault="006055DB" w:rsidP="006055DB">
      <w:pPr>
        <w:rPr>
          <w:b/>
        </w:rPr>
      </w:pPr>
      <w:r>
        <w:rPr>
          <w:b/>
        </w:rPr>
        <w:t>Observation 3: In NR and LTE, the usage of references to featureSets imply that there is dependency between the RAT containers.</w:t>
      </w:r>
    </w:p>
    <w:p w14:paraId="0592C940" w14:textId="77777777" w:rsidR="006055DB" w:rsidRDefault="006055DB" w:rsidP="006055DB">
      <w:pPr>
        <w:rPr>
          <w:b/>
        </w:rPr>
      </w:pPr>
      <w:r w:rsidRPr="006147F5">
        <w:rPr>
          <w:b/>
        </w:rPr>
        <w:t>Observation</w:t>
      </w:r>
      <w:r>
        <w:rPr>
          <w:b/>
        </w:rPr>
        <w:t xml:space="preserve"> 4</w:t>
      </w:r>
      <w:r w:rsidRPr="006147F5">
        <w:rPr>
          <w:b/>
        </w:rPr>
        <w:t xml:space="preserve">: </w:t>
      </w:r>
      <w:r>
        <w:rPr>
          <w:b/>
        </w:rPr>
        <w:t xml:space="preserve">If filtered capabilities are reflected by the NW assigned ID for any of the RAT containers, </w:t>
      </w:r>
      <w:r w:rsidRPr="006147F5">
        <w:rPr>
          <w:b/>
        </w:rPr>
        <w:t>the UE should clearly know the filters the NW intends to use (for each of the RATs).</w:t>
      </w:r>
    </w:p>
    <w:p w14:paraId="2FAA13CA" w14:textId="77777777" w:rsidR="006055DB" w:rsidRPr="006147F5" w:rsidRDefault="006055DB" w:rsidP="006055DB">
      <w:pPr>
        <w:rPr>
          <w:b/>
        </w:rPr>
      </w:pPr>
      <w:r w:rsidRPr="006147F5">
        <w:rPr>
          <w:b/>
        </w:rPr>
        <w:t>Proposal</w:t>
      </w:r>
      <w:r>
        <w:rPr>
          <w:b/>
        </w:rPr>
        <w:t xml:space="preserve"> 1</w:t>
      </w:r>
      <w:r w:rsidRPr="006147F5">
        <w:rPr>
          <w:b/>
        </w:rPr>
        <w:t xml:space="preserve">: </w:t>
      </w:r>
      <w:r>
        <w:rPr>
          <w:b/>
        </w:rPr>
        <w:t>If filters are used, t</w:t>
      </w:r>
      <w:r w:rsidRPr="006147F5">
        <w:rPr>
          <w:b/>
        </w:rPr>
        <w:t xml:space="preserve">he NW provides the applicable filters for LTE SA, NR SA and MR-DC (which ever are applied at the NW for the PLMN) </w:t>
      </w:r>
      <w:r>
        <w:rPr>
          <w:b/>
        </w:rPr>
        <w:t>before</w:t>
      </w:r>
      <w:r w:rsidRPr="006147F5">
        <w:rPr>
          <w:b/>
        </w:rPr>
        <w:t xml:space="preserve"> the NW assigns the capability ID to the UE.</w:t>
      </w:r>
      <w:r>
        <w:rPr>
          <w:b/>
        </w:rPr>
        <w:t xml:space="preserve"> FFS whether they are provided with the ID or before. </w:t>
      </w:r>
    </w:p>
    <w:p w14:paraId="2AC5FAFC" w14:textId="77777777" w:rsidR="006055DB" w:rsidRPr="006147F5" w:rsidRDefault="006055DB" w:rsidP="006055DB">
      <w:pPr>
        <w:rPr>
          <w:b/>
        </w:rPr>
      </w:pPr>
      <w:r w:rsidRPr="006147F5">
        <w:rPr>
          <w:b/>
        </w:rPr>
        <w:t>Proposal</w:t>
      </w:r>
      <w:r>
        <w:rPr>
          <w:b/>
        </w:rPr>
        <w:t xml:space="preserve"> 2</w:t>
      </w:r>
      <w:r w:rsidRPr="006147F5">
        <w:rPr>
          <w:b/>
        </w:rPr>
        <w:t xml:space="preserve">:  </w:t>
      </w:r>
      <w:r>
        <w:rPr>
          <w:b/>
        </w:rPr>
        <w:t>The</w:t>
      </w:r>
      <w:r w:rsidRPr="006147F5">
        <w:rPr>
          <w:b/>
        </w:rPr>
        <w:t xml:space="preserve"> UE shall associate the NW assigned capability ID to all the RAT </w:t>
      </w:r>
      <w:r>
        <w:rPr>
          <w:b/>
        </w:rPr>
        <w:t xml:space="preserve">capability </w:t>
      </w:r>
      <w:r w:rsidRPr="006147F5">
        <w:rPr>
          <w:b/>
        </w:rPr>
        <w:t>containers</w:t>
      </w:r>
      <w:r>
        <w:rPr>
          <w:b/>
        </w:rPr>
        <w:t xml:space="preserve"> it supports, where the capability is filtered based on the NW provided filters</w:t>
      </w:r>
      <w:r w:rsidRPr="006147F5">
        <w:rPr>
          <w:b/>
        </w:rPr>
        <w:t>.</w:t>
      </w:r>
    </w:p>
    <w:p w14:paraId="32D0721A" w14:textId="77777777" w:rsidR="006147F5" w:rsidRDefault="006147F5" w:rsidP="00FB082B">
      <w:bookmarkStart w:id="2" w:name="_GoBack"/>
      <w:bookmarkEnd w:id="2"/>
    </w:p>
    <w:p w14:paraId="5CFA1EDF" w14:textId="77777777" w:rsidR="00B76FD7" w:rsidRDefault="00B76FD7" w:rsidP="00FB082B"/>
    <w:p w14:paraId="65F1A3F7" w14:textId="1C2A8219" w:rsidR="00B76FD7" w:rsidRPr="003A28F3" w:rsidRDefault="00B76FD7" w:rsidP="00B76FD7">
      <w:pPr>
        <w:pStyle w:val="Heading1"/>
      </w:pPr>
      <w:r>
        <w:t>References</w:t>
      </w:r>
    </w:p>
    <w:p w14:paraId="12292008" w14:textId="77777777" w:rsidR="00B76FD7" w:rsidRDefault="00B76FD7" w:rsidP="00B76FD7">
      <w:pPr>
        <w:rPr>
          <w:rFonts w:ascii="Arial" w:hAnsi="Arial" w:cs="Arial"/>
          <w:color w:val="0066FF"/>
          <w:sz w:val="20"/>
          <w:szCs w:val="20"/>
        </w:rPr>
      </w:pPr>
      <w:r>
        <w:t xml:space="preserve">[1] </w:t>
      </w:r>
      <w:hyperlink r:id="rId13" w:history="1">
        <w:r>
          <w:rPr>
            <w:rStyle w:val="Hyperlink"/>
            <w:rFonts w:cs="Arial"/>
            <w:sz w:val="20"/>
            <w:szCs w:val="20"/>
          </w:rPr>
          <w:t>ftp://ftp.3gpp.org/tsg_sa/WG2_Arch/Latest_SA2_Specs/Latest_draft_S2_Specs/23743-120.zip</w:t>
        </w:r>
      </w:hyperlink>
      <w:r>
        <w:rPr>
          <w:rFonts w:ascii="Arial" w:hAnsi="Arial" w:cs="Arial"/>
          <w:color w:val="0066FF"/>
          <w:sz w:val="20"/>
          <w:szCs w:val="20"/>
        </w:rPr>
        <w:t xml:space="preserve"> </w:t>
      </w:r>
    </w:p>
    <w:p w14:paraId="022C2D4D" w14:textId="3D46D1E6" w:rsidR="00B76FD7" w:rsidRDefault="005B4D3B" w:rsidP="00B76FD7">
      <w:r>
        <w:t xml:space="preserve">[2] R2-1904461: </w:t>
      </w:r>
      <w:r w:rsidRPr="005B4D3B">
        <w:t>Discussion of the capability ID transfer from the UE</w:t>
      </w:r>
    </w:p>
    <w:p w14:paraId="027F3A71" w14:textId="77777777" w:rsidR="00B76FD7" w:rsidRDefault="00B76FD7" w:rsidP="00FB082B"/>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E0C17" w16cid:durableId="2047348B"/>
  <w16cid:commentId w16cid:paraId="748577BA" w16cid:durableId="2047C3B7"/>
  <w16cid:commentId w16cid:paraId="08762B18" w16cid:durableId="20448589"/>
  <w16cid:commentId w16cid:paraId="4FA6B423" w16cid:durableId="204734E6"/>
  <w16cid:commentId w16cid:paraId="51736B00" w16cid:durableId="204485E1"/>
  <w16cid:commentId w16cid:paraId="57423928" w16cid:durableId="2044860D"/>
  <w16cid:commentId w16cid:paraId="4B32718A" w16cid:durableId="20448686"/>
  <w16cid:commentId w16cid:paraId="50CD3762" w16cid:durableId="20473480"/>
  <w16cid:commentId w16cid:paraId="48062852" w16cid:durableId="20448732"/>
  <w16cid:commentId w16cid:paraId="548F58DE" w16cid:durableId="204734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BBBEE" w14:textId="77777777" w:rsidR="00B126EB" w:rsidRDefault="00B126EB" w:rsidP="00DF7110">
      <w:pPr>
        <w:spacing w:after="0" w:line="240" w:lineRule="auto"/>
      </w:pPr>
      <w:r>
        <w:separator/>
      </w:r>
    </w:p>
  </w:endnote>
  <w:endnote w:type="continuationSeparator" w:id="0">
    <w:p w14:paraId="158D7164" w14:textId="77777777" w:rsidR="00B126EB" w:rsidRDefault="00B126EB"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0890D" w14:textId="77777777" w:rsidR="00B126EB" w:rsidRDefault="00B126EB" w:rsidP="00DF7110">
      <w:pPr>
        <w:spacing w:after="0" w:line="240" w:lineRule="auto"/>
      </w:pPr>
      <w:r>
        <w:separator/>
      </w:r>
    </w:p>
  </w:footnote>
  <w:footnote w:type="continuationSeparator" w:id="0">
    <w:p w14:paraId="6113CD8D" w14:textId="77777777" w:rsidR="00B126EB" w:rsidRDefault="00B126EB"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CE7229"/>
    <w:multiLevelType w:val="hybridMultilevel"/>
    <w:tmpl w:val="E258F85C"/>
    <w:lvl w:ilvl="0" w:tplc="92BA963C">
      <w:start w:val="1"/>
      <w:numFmt w:val="bullet"/>
      <w:lvlText w:val="-"/>
      <w:lvlJc w:val="left"/>
      <w:pPr>
        <w:ind w:left="720" w:hanging="360"/>
      </w:pPr>
      <w:rPr>
        <w:rFonts w:ascii="Calibri" w:eastAsia="SimSu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2"/>
  </w:num>
  <w:num w:numId="3">
    <w:abstractNumId w:val="29"/>
  </w:num>
  <w:num w:numId="4">
    <w:abstractNumId w:val="41"/>
  </w:num>
  <w:num w:numId="5">
    <w:abstractNumId w:val="23"/>
  </w:num>
  <w:num w:numId="6">
    <w:abstractNumId w:val="41"/>
  </w:num>
  <w:num w:numId="7">
    <w:abstractNumId w:val="42"/>
  </w:num>
  <w:num w:numId="8">
    <w:abstractNumId w:val="26"/>
  </w:num>
  <w:num w:numId="9">
    <w:abstractNumId w:val="21"/>
  </w:num>
  <w:num w:numId="10">
    <w:abstractNumId w:val="10"/>
  </w:num>
  <w:num w:numId="11">
    <w:abstractNumId w:val="31"/>
  </w:num>
  <w:num w:numId="12">
    <w:abstractNumId w:val="3"/>
  </w:num>
  <w:num w:numId="13">
    <w:abstractNumId w:val="22"/>
  </w:num>
  <w:num w:numId="14">
    <w:abstractNumId w:val="13"/>
  </w:num>
  <w:num w:numId="15">
    <w:abstractNumId w:val="15"/>
  </w:num>
  <w:num w:numId="16">
    <w:abstractNumId w:val="36"/>
  </w:num>
  <w:num w:numId="17">
    <w:abstractNumId w:val="27"/>
  </w:num>
  <w:num w:numId="18">
    <w:abstractNumId w:val="17"/>
  </w:num>
  <w:num w:numId="19">
    <w:abstractNumId w:val="40"/>
  </w:num>
  <w:num w:numId="20">
    <w:abstractNumId w:val="33"/>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30"/>
  </w:num>
  <w:num w:numId="26">
    <w:abstractNumId w:val="16"/>
  </w:num>
  <w:num w:numId="27">
    <w:abstractNumId w:val="25"/>
  </w:num>
  <w:num w:numId="28">
    <w:abstractNumId w:val="34"/>
  </w:num>
  <w:num w:numId="29">
    <w:abstractNumId w:val="38"/>
  </w:num>
  <w:num w:numId="30">
    <w:abstractNumId w:val="24"/>
  </w:num>
  <w:num w:numId="31">
    <w:abstractNumId w:val="35"/>
  </w:num>
  <w:num w:numId="32">
    <w:abstractNumId w:val="2"/>
  </w:num>
  <w:num w:numId="33">
    <w:abstractNumId w:val="0"/>
  </w:num>
  <w:num w:numId="34">
    <w:abstractNumId w:val="12"/>
  </w:num>
  <w:num w:numId="35">
    <w:abstractNumId w:val="28"/>
  </w:num>
  <w:num w:numId="36">
    <w:abstractNumId w:val="4"/>
  </w:num>
  <w:num w:numId="37">
    <w:abstractNumId w:val="37"/>
  </w:num>
  <w:num w:numId="38">
    <w:abstractNumId w:val="20"/>
  </w:num>
  <w:num w:numId="39">
    <w:abstractNumId w:val="7"/>
  </w:num>
  <w:num w:numId="40">
    <w:abstractNumId w:val="5"/>
  </w:num>
  <w:num w:numId="41">
    <w:abstractNumId w:val="6"/>
  </w:num>
  <w:num w:numId="42">
    <w:abstractNumId w:val="39"/>
  </w:num>
  <w:num w:numId="43">
    <w:abstractNumId w:val="11"/>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521"/>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1FB"/>
    <w:rsid w:val="000E7453"/>
    <w:rsid w:val="000E7CA8"/>
    <w:rsid w:val="000E7F74"/>
    <w:rsid w:val="000F0563"/>
    <w:rsid w:val="000F0E19"/>
    <w:rsid w:val="000F0FE5"/>
    <w:rsid w:val="000F16D5"/>
    <w:rsid w:val="000F1E75"/>
    <w:rsid w:val="000F220C"/>
    <w:rsid w:val="000F33F7"/>
    <w:rsid w:val="000F375B"/>
    <w:rsid w:val="000F43AB"/>
    <w:rsid w:val="000F4AD6"/>
    <w:rsid w:val="000F6280"/>
    <w:rsid w:val="000F7296"/>
    <w:rsid w:val="00101CAC"/>
    <w:rsid w:val="001024BA"/>
    <w:rsid w:val="001032DB"/>
    <w:rsid w:val="001039BE"/>
    <w:rsid w:val="001044B5"/>
    <w:rsid w:val="00104A13"/>
    <w:rsid w:val="00105979"/>
    <w:rsid w:val="00105A16"/>
    <w:rsid w:val="00105EA4"/>
    <w:rsid w:val="001065E0"/>
    <w:rsid w:val="00106C72"/>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876"/>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6281"/>
    <w:rsid w:val="001B6909"/>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0B5E"/>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11B2"/>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6489"/>
    <w:rsid w:val="00307600"/>
    <w:rsid w:val="0031134A"/>
    <w:rsid w:val="003115B7"/>
    <w:rsid w:val="003117A1"/>
    <w:rsid w:val="00312974"/>
    <w:rsid w:val="00313A61"/>
    <w:rsid w:val="00313C29"/>
    <w:rsid w:val="00314040"/>
    <w:rsid w:val="003149DD"/>
    <w:rsid w:val="00314ACD"/>
    <w:rsid w:val="0031731E"/>
    <w:rsid w:val="00317716"/>
    <w:rsid w:val="00320E16"/>
    <w:rsid w:val="003210EC"/>
    <w:rsid w:val="0032134E"/>
    <w:rsid w:val="00322459"/>
    <w:rsid w:val="0032260A"/>
    <w:rsid w:val="0032559A"/>
    <w:rsid w:val="00325E3A"/>
    <w:rsid w:val="003266E7"/>
    <w:rsid w:val="003279EB"/>
    <w:rsid w:val="00330356"/>
    <w:rsid w:val="00330C68"/>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09BF"/>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3A5F"/>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B16"/>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0BDA"/>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9E9"/>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AB"/>
    <w:rsid w:val="00540EE4"/>
    <w:rsid w:val="00541413"/>
    <w:rsid w:val="00542002"/>
    <w:rsid w:val="0054242F"/>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2E32"/>
    <w:rsid w:val="00583147"/>
    <w:rsid w:val="0058431E"/>
    <w:rsid w:val="005855C7"/>
    <w:rsid w:val="00585B50"/>
    <w:rsid w:val="00585B65"/>
    <w:rsid w:val="00586287"/>
    <w:rsid w:val="005862B1"/>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4D3B"/>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3FF"/>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5DB"/>
    <w:rsid w:val="00605B0A"/>
    <w:rsid w:val="00606040"/>
    <w:rsid w:val="0060775F"/>
    <w:rsid w:val="00607A50"/>
    <w:rsid w:val="00607EF2"/>
    <w:rsid w:val="00611F8C"/>
    <w:rsid w:val="00612072"/>
    <w:rsid w:val="0061267A"/>
    <w:rsid w:val="00612817"/>
    <w:rsid w:val="00613053"/>
    <w:rsid w:val="006130DA"/>
    <w:rsid w:val="0061385B"/>
    <w:rsid w:val="006147F5"/>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6460"/>
    <w:rsid w:val="006F714C"/>
    <w:rsid w:val="006F71D3"/>
    <w:rsid w:val="006F773E"/>
    <w:rsid w:val="006F7A26"/>
    <w:rsid w:val="007004CD"/>
    <w:rsid w:val="0070184D"/>
    <w:rsid w:val="007027B8"/>
    <w:rsid w:val="0070372E"/>
    <w:rsid w:val="00703D3A"/>
    <w:rsid w:val="00703E6E"/>
    <w:rsid w:val="00704556"/>
    <w:rsid w:val="0070486A"/>
    <w:rsid w:val="00705516"/>
    <w:rsid w:val="00710C4C"/>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5E3"/>
    <w:rsid w:val="008526BA"/>
    <w:rsid w:val="00854744"/>
    <w:rsid w:val="00855703"/>
    <w:rsid w:val="00856631"/>
    <w:rsid w:val="00856968"/>
    <w:rsid w:val="00856B0B"/>
    <w:rsid w:val="00860521"/>
    <w:rsid w:val="00860AA1"/>
    <w:rsid w:val="00861ED2"/>
    <w:rsid w:val="008642B8"/>
    <w:rsid w:val="00864726"/>
    <w:rsid w:val="00864B1E"/>
    <w:rsid w:val="00865C64"/>
    <w:rsid w:val="00866011"/>
    <w:rsid w:val="00867185"/>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336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2BF3"/>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A7FA0"/>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C90"/>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A26"/>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D7FBA"/>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26EB"/>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6FD7"/>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69D2"/>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1E8"/>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D1"/>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39F"/>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1CAB"/>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18F"/>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4F6C"/>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4407"/>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C7FB0"/>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character" w:customStyle="1" w:styleId="NOZchn">
    <w:name w:val="NO Zchn"/>
    <w:basedOn w:val="DefaultParagraphFont"/>
    <w:locked/>
    <w:rsid w:val="00B76FD7"/>
    <w:rPr>
      <w:rFonts w:ascii="Times New Roman" w:hAnsi="Times New Roman" w:cs="Times New Roman"/>
    </w:rPr>
  </w:style>
  <w:style w:type="character" w:styleId="Hyperlink">
    <w:name w:val="Hyperlink"/>
    <w:basedOn w:val="DefaultParagraphFont"/>
    <w:uiPriority w:val="99"/>
    <w:semiHidden/>
    <w:unhideWhenUsed/>
    <w:rsid w:val="00B76FD7"/>
    <w:rPr>
      <w:rFonts w:ascii="Times New Roman" w:hAnsi="Times New Roman" w:cs="Times New Roman" w:hint="default"/>
      <w:color w:val="000000"/>
      <w:u w:val="single"/>
    </w:rPr>
  </w:style>
  <w:style w:type="table" w:styleId="TableGrid">
    <w:name w:val="Table Grid"/>
    <w:basedOn w:val="TableNormal"/>
    <w:uiPriority w:val="39"/>
    <w:rsid w:val="005F3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7377370">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4631953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gpp.org/tsg_sa/WG2_Arch/Latest_SA2_Specs/Latest_draft_S2_Specs/23743-120.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1341</Words>
  <Characters>6307</Characters>
  <Application>Microsoft Office Word</Application>
  <DocSecurity>0</DocSecurity>
  <Lines>116</Lines>
  <Paragraphs>67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cp:revision>
  <dcterms:created xsi:type="dcterms:W3CDTF">2019-03-29T04:08:00Z</dcterms:created>
  <dcterms:modified xsi:type="dcterms:W3CDTF">2019-03-29T04:08:00Z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2019-03-29 04:07:42Z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