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62C963B7" w:rsidR="006255E7" w:rsidRPr="00365827" w:rsidRDefault="00846A81" w:rsidP="006255E7">
      <w:pPr>
        <w:pStyle w:val="3GPPHeader"/>
        <w:spacing w:after="60"/>
        <w:rPr>
          <w:sz w:val="32"/>
          <w:szCs w:val="32"/>
          <w:highlight w:val="yellow"/>
          <w:lang w:val="en-US"/>
        </w:rPr>
      </w:pPr>
      <w:r w:rsidRPr="00DA4F8C">
        <w:rPr>
          <w:lang w:val="en-US"/>
        </w:rPr>
        <w:t xml:space="preserve">3GPP </w:t>
      </w:r>
      <w:r w:rsidR="00461CE9" w:rsidRPr="00DA4F8C">
        <w:rPr>
          <w:lang w:val="en-US"/>
        </w:rPr>
        <w:t>TSG-RAN WG2 #105</w:t>
      </w:r>
      <w:r w:rsidR="00852A93">
        <w:rPr>
          <w:lang w:val="en-US"/>
        </w:rPr>
        <w:t>bis</w:t>
      </w:r>
      <w:r w:rsidR="006255E7" w:rsidRPr="00365827">
        <w:rPr>
          <w:lang w:val="en-US"/>
        </w:rPr>
        <w:tab/>
      </w:r>
      <w:proofErr w:type="spellStart"/>
      <w:r w:rsidR="0048503F" w:rsidRPr="002D51FB">
        <w:rPr>
          <w:sz w:val="32"/>
          <w:szCs w:val="32"/>
          <w:lang w:val="en-US"/>
        </w:rPr>
        <w:t>Tdoc</w:t>
      </w:r>
      <w:proofErr w:type="spellEnd"/>
      <w:r w:rsidR="0048503F" w:rsidRPr="002D51FB">
        <w:rPr>
          <w:sz w:val="32"/>
          <w:szCs w:val="32"/>
          <w:lang w:val="en-US"/>
        </w:rPr>
        <w:t xml:space="preserve"> </w:t>
      </w:r>
      <w:r w:rsidR="002D51FB" w:rsidRPr="002D51FB">
        <w:rPr>
          <w:sz w:val="32"/>
          <w:szCs w:val="32"/>
          <w:lang w:val="en-US"/>
        </w:rPr>
        <w:t>R2-1904010</w:t>
      </w:r>
    </w:p>
    <w:p w14:paraId="6D4963C8" w14:textId="2F61F349" w:rsidR="00E90E49" w:rsidRPr="00365827" w:rsidRDefault="00C64DA7" w:rsidP="00357380">
      <w:pPr>
        <w:pStyle w:val="3GPPHeader"/>
        <w:rPr>
          <w:lang w:val="en-US"/>
        </w:rPr>
      </w:pPr>
      <w:r w:rsidRPr="00C64DA7">
        <w:rPr>
          <w:lang w:val="en-US"/>
        </w:rPr>
        <w:t>Xi’an</w:t>
      </w:r>
      <w:r w:rsidR="0021117F" w:rsidRPr="00C64DA7">
        <w:rPr>
          <w:lang w:val="en-US"/>
        </w:rPr>
        <w:t xml:space="preserve">, </w:t>
      </w:r>
      <w:r w:rsidRPr="00C64DA7">
        <w:rPr>
          <w:lang w:val="en-US"/>
        </w:rPr>
        <w:t>China</w:t>
      </w:r>
      <w:r w:rsidR="0021117F" w:rsidRPr="00C64DA7">
        <w:rPr>
          <w:lang w:val="en-US"/>
        </w:rPr>
        <w:t xml:space="preserve">, </w:t>
      </w:r>
      <w:r w:rsidRPr="00C64DA7">
        <w:rPr>
          <w:lang w:val="en-US"/>
        </w:rPr>
        <w:t xml:space="preserve">8 </w:t>
      </w:r>
      <w:r w:rsidR="0021117F" w:rsidRPr="00C64DA7">
        <w:rPr>
          <w:lang w:val="en-US"/>
        </w:rPr>
        <w:t>– 1</w:t>
      </w:r>
      <w:r w:rsidRPr="00C64DA7">
        <w:rPr>
          <w:lang w:val="en-US"/>
        </w:rPr>
        <w:t>2</w:t>
      </w:r>
      <w:r w:rsidR="0021117F" w:rsidRPr="00C64DA7">
        <w:rPr>
          <w:lang w:val="en-US"/>
        </w:rPr>
        <w:t xml:space="preserve"> </w:t>
      </w:r>
      <w:r w:rsidRPr="00C64DA7">
        <w:rPr>
          <w:lang w:val="en-US"/>
        </w:rPr>
        <w:t>April</w:t>
      </w:r>
      <w:r w:rsidR="0021117F" w:rsidRPr="00C64DA7">
        <w:rPr>
          <w:lang w:val="en-US"/>
        </w:rPr>
        <w:t xml:space="preserve"> 2019</w:t>
      </w:r>
      <w:r w:rsidR="00846A81" w:rsidRPr="00143F94">
        <w:rPr>
          <w:noProof/>
          <w:lang w:val="en-US"/>
        </w:rPr>
        <w:tab/>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3385CFF1" w14:textId="1CA4BF33" w:rsidR="00E90E49" w:rsidRPr="00F7764F" w:rsidRDefault="00E90E49" w:rsidP="00311702">
      <w:pPr>
        <w:pStyle w:val="3GPPHeader"/>
        <w:rPr>
          <w:lang w:val="en-US"/>
        </w:rPr>
      </w:pPr>
      <w:r w:rsidRPr="002D51FB">
        <w:rPr>
          <w:lang w:val="en-US"/>
        </w:rPr>
        <w:t>Agenda Item:</w:t>
      </w:r>
      <w:r w:rsidRPr="002D51FB">
        <w:rPr>
          <w:lang w:val="en-US"/>
        </w:rPr>
        <w:tab/>
      </w:r>
      <w:r w:rsidR="00E841D2" w:rsidRPr="002D51FB">
        <w:rPr>
          <w:lang w:val="en-US"/>
        </w:rPr>
        <w:t>11</w:t>
      </w:r>
      <w:r w:rsidR="00663550" w:rsidRPr="002D51FB">
        <w:rPr>
          <w:lang w:val="en-US"/>
        </w:rPr>
        <w:t>.</w:t>
      </w:r>
      <w:r w:rsidR="000E11A4" w:rsidRPr="002D51FB">
        <w:rPr>
          <w:lang w:val="en-US"/>
        </w:rPr>
        <w:t>12.2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55D5B342" w:rsidR="00E90E49" w:rsidRPr="00365827" w:rsidRDefault="003D3C45" w:rsidP="00311702">
      <w:pPr>
        <w:pStyle w:val="3GPPHeader"/>
        <w:rPr>
          <w:lang w:val="en-US"/>
        </w:rPr>
      </w:pPr>
      <w:r w:rsidRPr="00E205A8">
        <w:rPr>
          <w:lang w:val="en-US"/>
        </w:rPr>
        <w:t>Title:</w:t>
      </w:r>
      <w:r w:rsidR="00E90E49" w:rsidRPr="00E205A8">
        <w:rPr>
          <w:lang w:val="en-US"/>
        </w:rPr>
        <w:tab/>
      </w:r>
      <w:r w:rsidR="00060176">
        <w:rPr>
          <w:lang w:val="en-US"/>
        </w:rPr>
        <w:t>Dual Connectivity Handing in MDT</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2F885E93" w14:textId="1E400C8B" w:rsidR="00554206" w:rsidRDefault="00554206" w:rsidP="00554206">
      <w:pPr>
        <w:pStyle w:val="BodyText"/>
        <w:spacing w:before="120"/>
        <w:rPr>
          <w:lang w:val="en-US"/>
        </w:rPr>
      </w:pPr>
      <w:r>
        <w:rPr>
          <w:lang w:val="en-US"/>
        </w:rPr>
        <w:t xml:space="preserve">In the study item, “Study on </w:t>
      </w:r>
      <w:r w:rsidRPr="00ED63FF">
        <w:rPr>
          <w:lang w:val="en-US"/>
        </w:rPr>
        <w:t>RAN-centric data collection and utilization for LTE and NR</w:t>
      </w:r>
      <w:r>
        <w:rPr>
          <w:lang w:val="en-US"/>
        </w:rPr>
        <w:t xml:space="preserve"> (</w:t>
      </w:r>
      <w:proofErr w:type="spellStart"/>
      <w:r w:rsidRPr="00ED63FF">
        <w:rPr>
          <w:lang w:val="en-US"/>
        </w:rPr>
        <w:t>FS_LTE_NR_data_collect</w:t>
      </w:r>
      <w:proofErr w:type="spellEnd"/>
      <w:r>
        <w:rPr>
          <w:lang w:val="en-US"/>
        </w:rPr>
        <w:t xml:space="preserve">)”, Minimization of Drive Tests (MDT) is one of the use cases to be studied for NR and LTE enhancement. </w:t>
      </w:r>
    </w:p>
    <w:p w14:paraId="73A9F2BF" w14:textId="63034E40" w:rsidR="00506F83" w:rsidRDefault="009C78B8" w:rsidP="00072AC2">
      <w:pPr>
        <w:pStyle w:val="BodyText"/>
        <w:spacing w:before="120"/>
        <w:rPr>
          <w:lang w:val="en-US"/>
        </w:rPr>
      </w:pPr>
      <w:r>
        <w:rPr>
          <w:lang w:val="en-US"/>
        </w:rPr>
        <w:t xml:space="preserve">In RAN2 #105, </w:t>
      </w:r>
      <w:r w:rsidR="00506F83">
        <w:rPr>
          <w:lang w:val="en-US"/>
        </w:rPr>
        <w:t>the following high-level agreements were made pertaining to support of MDT in NR</w:t>
      </w:r>
      <w:r>
        <w:rPr>
          <w:lang w:val="en-US"/>
        </w:rPr>
        <w:t>:</w:t>
      </w:r>
    </w:p>
    <w:p w14:paraId="2C0B5B70" w14:textId="1E00BEB8" w:rsidR="00506F83" w:rsidRPr="00506F83" w:rsidRDefault="00506F83" w:rsidP="00506F83">
      <w:pPr>
        <w:pStyle w:val="doc-text20"/>
        <w:spacing w:before="0" w:beforeAutospacing="0" w:after="0" w:afterAutospacing="0"/>
        <w:ind w:left="1622" w:hanging="363"/>
        <w:rPr>
          <w:rFonts w:ascii="Arial" w:hAnsi="Arial" w:cs="Arial"/>
          <w:color w:val="000000"/>
          <w:sz w:val="22"/>
          <w:szCs w:val="22"/>
          <w:lang w:val="en-US"/>
        </w:rPr>
      </w:pPr>
    </w:p>
    <w:tbl>
      <w:tblPr>
        <w:tblStyle w:val="TableGrid"/>
        <w:tblW w:w="0" w:type="auto"/>
        <w:tblLook w:val="04A0" w:firstRow="1" w:lastRow="0" w:firstColumn="1" w:lastColumn="0" w:noHBand="0" w:noVBand="1"/>
      </w:tblPr>
      <w:tblGrid>
        <w:gridCol w:w="9629"/>
      </w:tblGrid>
      <w:tr w:rsidR="00506F83" w:rsidRPr="00B43F64" w14:paraId="199E268E" w14:textId="77777777" w:rsidTr="00506F83">
        <w:tc>
          <w:tcPr>
            <w:tcW w:w="9629" w:type="dxa"/>
          </w:tcPr>
          <w:p w14:paraId="1DA16606" w14:textId="77777777" w:rsidR="00506F83" w:rsidRPr="00506F83" w:rsidRDefault="00506F83" w:rsidP="00506F83">
            <w:pPr>
              <w:pStyle w:val="doc-text20"/>
              <w:spacing w:before="0" w:beforeAutospacing="0" w:after="0" w:afterAutospacing="0"/>
              <w:rPr>
                <w:rFonts w:ascii="Arial" w:hAnsi="Arial" w:cs="Arial"/>
                <w:color w:val="000000"/>
                <w:sz w:val="22"/>
                <w:szCs w:val="22"/>
                <w:lang w:val="en-US"/>
              </w:rPr>
            </w:pPr>
            <w:r>
              <w:rPr>
                <w:rFonts w:ascii="Arial" w:hAnsi="Arial" w:cs="Arial"/>
                <w:color w:val="000000"/>
                <w:sz w:val="22"/>
                <w:szCs w:val="22"/>
                <w:lang w:val="en-US"/>
              </w:rPr>
              <w:t>Agreements of NR MDT:</w:t>
            </w:r>
          </w:p>
          <w:p w14:paraId="53D3AB1A" w14:textId="77777777" w:rsidR="00506F83" w:rsidRPr="00506F83" w:rsidRDefault="00506F83" w:rsidP="00506F83">
            <w:pPr>
              <w:pStyle w:val="doc-text20"/>
              <w:spacing w:before="0" w:beforeAutospacing="0" w:after="0" w:afterAutospacing="0"/>
              <w:ind w:left="363" w:hanging="363"/>
              <w:rPr>
                <w:rFonts w:ascii="Arial" w:hAnsi="Arial" w:cs="Arial"/>
                <w:color w:val="000000"/>
                <w:sz w:val="22"/>
                <w:szCs w:val="22"/>
                <w:lang w:val="en-US"/>
              </w:rPr>
            </w:pPr>
            <w:r>
              <w:rPr>
                <w:rFonts w:ascii="Arial" w:hAnsi="Arial" w:cs="Arial"/>
                <w:color w:val="000000"/>
                <w:sz w:val="22"/>
                <w:szCs w:val="22"/>
                <w:lang w:val="en-US"/>
              </w:rPr>
              <w:t> </w:t>
            </w:r>
          </w:p>
          <w:p w14:paraId="7A57E3C0" w14:textId="77777777" w:rsidR="00506F83" w:rsidRPr="00506F83" w:rsidRDefault="00506F83" w:rsidP="00506F83">
            <w:pPr>
              <w:pStyle w:val="doc-text20"/>
              <w:spacing w:before="0" w:beforeAutospacing="0" w:after="0" w:afterAutospacing="0"/>
              <w:ind w:left="363" w:hanging="363"/>
              <w:rPr>
                <w:rFonts w:ascii="Arial" w:hAnsi="Arial" w:cs="Arial"/>
                <w:color w:val="000000"/>
                <w:sz w:val="22"/>
                <w:szCs w:val="22"/>
                <w:lang w:val="en-US"/>
              </w:rPr>
            </w:pPr>
            <w:r>
              <w:rPr>
                <w:rFonts w:ascii="Arial" w:hAnsi="Arial" w:cs="Arial"/>
                <w:color w:val="000000"/>
                <w:sz w:val="22"/>
                <w:szCs w:val="22"/>
                <w:lang w:val="en-US"/>
              </w:rPr>
              <w:t>      1.Logged MDT, immediate MDT and accessibility report should be supported for NR MDT. LTE MDT measurements/failures could be the baseline</w:t>
            </w:r>
          </w:p>
          <w:p w14:paraId="18C93EC1" w14:textId="77777777" w:rsidR="00506F83" w:rsidRPr="00506F83" w:rsidRDefault="00506F83" w:rsidP="00506F83">
            <w:pPr>
              <w:pStyle w:val="doc-text20"/>
              <w:spacing w:before="0" w:beforeAutospacing="0" w:after="0" w:afterAutospacing="0"/>
              <w:ind w:left="363" w:hanging="363"/>
              <w:rPr>
                <w:rFonts w:ascii="Arial" w:hAnsi="Arial" w:cs="Arial"/>
                <w:color w:val="000000"/>
                <w:sz w:val="22"/>
                <w:szCs w:val="22"/>
                <w:lang w:val="en-US"/>
              </w:rPr>
            </w:pPr>
            <w:r>
              <w:rPr>
                <w:rFonts w:ascii="Arial" w:hAnsi="Arial" w:cs="Arial"/>
                <w:color w:val="000000"/>
                <w:sz w:val="22"/>
                <w:szCs w:val="22"/>
                <w:lang w:val="en-US"/>
              </w:rPr>
              <w:t>      2.Logged MDT should also be supported for RRC_INACTIVE and RRC_IDLE.</w:t>
            </w:r>
            <w:r>
              <w:rPr>
                <w:rStyle w:val="apple-converted-space"/>
                <w:rFonts w:ascii="Arial" w:hAnsi="Arial" w:cs="Arial"/>
                <w:color w:val="000000"/>
                <w:sz w:val="22"/>
                <w:szCs w:val="22"/>
                <w:lang w:val="en-US"/>
              </w:rPr>
              <w:t> </w:t>
            </w:r>
          </w:p>
          <w:p w14:paraId="3504F0FF" w14:textId="7B792B48" w:rsidR="00506F83" w:rsidRDefault="00506F83" w:rsidP="00506F83">
            <w:pPr>
              <w:pStyle w:val="BodyText"/>
              <w:spacing w:before="120"/>
              <w:rPr>
                <w:lang w:val="en-US"/>
              </w:rPr>
            </w:pPr>
            <w:r>
              <w:rPr>
                <w:rFonts w:cs="Arial"/>
                <w:color w:val="000000"/>
                <w:sz w:val="22"/>
                <w:szCs w:val="22"/>
                <w:lang w:val="en-US"/>
              </w:rPr>
              <w:t xml:space="preserve">      3.Management based and </w:t>
            </w:r>
            <w:proofErr w:type="spellStart"/>
            <w:r>
              <w:rPr>
                <w:rFonts w:cs="Arial"/>
                <w:color w:val="000000"/>
                <w:sz w:val="22"/>
                <w:szCs w:val="22"/>
                <w:lang w:val="en-US"/>
              </w:rPr>
              <w:t>signalling</w:t>
            </w:r>
            <w:proofErr w:type="spellEnd"/>
            <w:r>
              <w:rPr>
                <w:rFonts w:cs="Arial"/>
                <w:color w:val="000000"/>
                <w:sz w:val="22"/>
                <w:szCs w:val="22"/>
                <w:lang w:val="en-US"/>
              </w:rPr>
              <w:t xml:space="preserve"> based trace procedure in LTE can be reused in NG-RAN MDT.</w:t>
            </w:r>
          </w:p>
        </w:tc>
      </w:tr>
    </w:tbl>
    <w:p w14:paraId="61949587" w14:textId="77777777" w:rsidR="00506F83" w:rsidRDefault="00506F83" w:rsidP="00072AC2">
      <w:pPr>
        <w:pStyle w:val="BodyText"/>
        <w:spacing w:before="120"/>
        <w:rPr>
          <w:lang w:val="en-US"/>
        </w:rPr>
      </w:pPr>
    </w:p>
    <w:p w14:paraId="68922657" w14:textId="4F54F525" w:rsidR="009C78B8" w:rsidRDefault="00506F83" w:rsidP="00072AC2">
      <w:pPr>
        <w:pStyle w:val="BodyText"/>
        <w:spacing w:before="120"/>
        <w:rPr>
          <w:lang w:val="en-US"/>
        </w:rPr>
      </w:pPr>
      <w:r>
        <w:rPr>
          <w:lang w:val="en-US"/>
        </w:rPr>
        <w:t>Since, the baseline agreements on NR MDT have been made now, we can discuss the dual connectivity aspects of MDT as well. In this</w:t>
      </w:r>
      <w:r w:rsidR="009C78B8">
        <w:rPr>
          <w:lang w:val="en-US"/>
        </w:rPr>
        <w:t xml:space="preserve"> paper</w:t>
      </w:r>
      <w:r>
        <w:rPr>
          <w:lang w:val="en-US"/>
        </w:rPr>
        <w:t>, we</w:t>
      </w:r>
      <w:r w:rsidR="009C78B8">
        <w:rPr>
          <w:lang w:val="en-US"/>
        </w:rPr>
        <w:t xml:space="preserve"> discuss</w:t>
      </w:r>
      <w:r>
        <w:rPr>
          <w:lang w:val="en-US"/>
        </w:rPr>
        <w:t xml:space="preserve"> </w:t>
      </w:r>
      <w:r w:rsidR="009C78B8">
        <w:rPr>
          <w:lang w:val="en-US"/>
        </w:rPr>
        <w:t xml:space="preserve">the details about the </w:t>
      </w:r>
      <w:r>
        <w:rPr>
          <w:lang w:val="en-US"/>
        </w:rPr>
        <w:t xml:space="preserve">MDT support in different type of Dual connectivity scenarios and associated complexity, specifically: </w:t>
      </w:r>
    </w:p>
    <w:p w14:paraId="1F8D8E22" w14:textId="017F1AC9" w:rsidR="00D526D0" w:rsidRDefault="00506F83" w:rsidP="00506F83">
      <w:pPr>
        <w:pStyle w:val="BodyText"/>
        <w:numPr>
          <w:ilvl w:val="0"/>
          <w:numId w:val="19"/>
        </w:numPr>
        <w:spacing w:before="120"/>
        <w:rPr>
          <w:lang w:val="en-US"/>
        </w:rPr>
      </w:pPr>
      <w:r>
        <w:rPr>
          <w:lang w:val="en-US"/>
        </w:rPr>
        <w:t xml:space="preserve">Use case and benefits of MDT reporting in EN-DC. </w:t>
      </w:r>
    </w:p>
    <w:p w14:paraId="428F0A11" w14:textId="72BC211A" w:rsidR="00D526D0" w:rsidRDefault="006D5207" w:rsidP="00506F83">
      <w:pPr>
        <w:pStyle w:val="BodyText"/>
        <w:numPr>
          <w:ilvl w:val="0"/>
          <w:numId w:val="19"/>
        </w:numPr>
        <w:spacing w:before="120"/>
        <w:rPr>
          <w:lang w:val="en-US"/>
        </w:rPr>
      </w:pPr>
      <w:r>
        <w:rPr>
          <w:lang w:val="en-US"/>
        </w:rPr>
        <w:t xml:space="preserve">EN-DC configuration and reporting </w:t>
      </w:r>
    </w:p>
    <w:p w14:paraId="364EDB15" w14:textId="088AA6FA" w:rsidR="006D5207" w:rsidRDefault="00506F83" w:rsidP="00506F83">
      <w:pPr>
        <w:pStyle w:val="BodyText"/>
        <w:numPr>
          <w:ilvl w:val="0"/>
          <w:numId w:val="19"/>
        </w:numPr>
        <w:spacing w:before="120"/>
        <w:rPr>
          <w:lang w:val="en-US"/>
        </w:rPr>
      </w:pPr>
      <w:r>
        <w:rPr>
          <w:lang w:val="en-US"/>
        </w:rPr>
        <w:t xml:space="preserve">Support of MDT variants </w:t>
      </w:r>
      <w:r w:rsidR="006D5207">
        <w:rPr>
          <w:lang w:val="en-US"/>
        </w:rPr>
        <w:t xml:space="preserve">in EN-DC </w:t>
      </w:r>
    </w:p>
    <w:p w14:paraId="52EFE5FE" w14:textId="77777777" w:rsidR="00506F83" w:rsidRPr="00802049" w:rsidRDefault="00506F83" w:rsidP="00072AC2">
      <w:pPr>
        <w:pStyle w:val="BodyText"/>
        <w:spacing w:before="120"/>
        <w:rPr>
          <w:lang w:val="en-US"/>
        </w:rPr>
      </w:pPr>
    </w:p>
    <w:p w14:paraId="5A722705" w14:textId="0D3CFD96" w:rsidR="00CE1E43" w:rsidRDefault="00FD1ED6" w:rsidP="00FD1ED6">
      <w:pPr>
        <w:pStyle w:val="Heading1"/>
      </w:pPr>
      <w:r>
        <w:t>2</w:t>
      </w:r>
      <w:r>
        <w:tab/>
      </w:r>
      <w:r w:rsidR="00CE1E43">
        <w:t>Discussion</w:t>
      </w:r>
    </w:p>
    <w:p w14:paraId="77D92DBE" w14:textId="65CB385F" w:rsidR="00CE1E43" w:rsidRDefault="00CE1E43" w:rsidP="00CE1E43">
      <w:pPr>
        <w:rPr>
          <w:lang w:val="en-GB" w:eastAsia="ja-JP"/>
        </w:rPr>
      </w:pPr>
      <w:r>
        <w:rPr>
          <w:lang w:val="en-GB" w:eastAsia="ja-JP"/>
        </w:rPr>
        <w:t xml:space="preserve">Figure 1 below </w:t>
      </w:r>
      <w:r w:rsidR="00EE1B59">
        <w:rPr>
          <w:lang w:val="en-GB" w:eastAsia="ja-JP"/>
        </w:rPr>
        <w:t>elaborates the multiple Architecture Options available in release 15. Currently, release 15 supports up to 7 Architecture options which includes both stand alone and non-</w:t>
      </w:r>
      <w:proofErr w:type="gramStart"/>
      <w:r w:rsidR="00EE1B59">
        <w:rPr>
          <w:lang w:val="en-GB" w:eastAsia="ja-JP"/>
        </w:rPr>
        <w:t xml:space="preserve">stand </w:t>
      </w:r>
      <w:r w:rsidR="00EE1B59">
        <w:rPr>
          <w:lang w:val="en-GB" w:eastAsia="ja-JP"/>
        </w:rPr>
        <w:lastRenderedPageBreak/>
        <w:t>alone</w:t>
      </w:r>
      <w:proofErr w:type="gramEnd"/>
      <w:r w:rsidR="00EE1B59">
        <w:rPr>
          <w:lang w:val="en-GB" w:eastAsia="ja-JP"/>
        </w:rPr>
        <w:t xml:space="preserve"> scenarios. In this contribution, we would focus on the Architecture options supporting dual connectivity and potential support of MDT in those options, specifically: </w:t>
      </w:r>
    </w:p>
    <w:p w14:paraId="075DEEE1" w14:textId="39A1EC74" w:rsidR="00EE1B59" w:rsidRDefault="00EE1B59" w:rsidP="00CE1E43">
      <w:pPr>
        <w:rPr>
          <w:lang w:val="en-GB" w:eastAsia="ja-JP"/>
        </w:rPr>
      </w:pPr>
    </w:p>
    <w:p w14:paraId="13F8F942" w14:textId="1F2ABDBA" w:rsidR="00EE1B59" w:rsidRPr="00EE1B59" w:rsidRDefault="00EE1B59" w:rsidP="00EE1B59">
      <w:pPr>
        <w:pStyle w:val="ListParagraph"/>
        <w:numPr>
          <w:ilvl w:val="0"/>
          <w:numId w:val="20"/>
        </w:numPr>
        <w:rPr>
          <w:lang w:val="en-GB" w:eastAsia="ja-JP"/>
        </w:rPr>
      </w:pPr>
      <w:r w:rsidRPr="00EE1B59">
        <w:rPr>
          <w:lang w:val="en-GB" w:eastAsia="ja-JP"/>
        </w:rPr>
        <w:t>Option 3: EN-DC</w:t>
      </w:r>
    </w:p>
    <w:p w14:paraId="45BD57D8" w14:textId="4B89046C" w:rsidR="00EE1B59" w:rsidRPr="00EE1B59" w:rsidRDefault="00EE1B59" w:rsidP="00EE1B59">
      <w:pPr>
        <w:pStyle w:val="ListParagraph"/>
        <w:numPr>
          <w:ilvl w:val="0"/>
          <w:numId w:val="20"/>
        </w:numPr>
        <w:rPr>
          <w:lang w:val="en-GB" w:eastAsia="ja-JP"/>
        </w:rPr>
      </w:pPr>
      <w:r w:rsidRPr="00EE1B59">
        <w:rPr>
          <w:lang w:val="en-GB" w:eastAsia="ja-JP"/>
        </w:rPr>
        <w:t>Option 4:</w:t>
      </w:r>
      <w:r>
        <w:rPr>
          <w:lang w:val="en-GB" w:eastAsia="ja-JP"/>
        </w:rPr>
        <w:t xml:space="preserve"> </w:t>
      </w:r>
      <w:r w:rsidRPr="00EE1B59">
        <w:rPr>
          <w:lang w:val="en-GB" w:eastAsia="ja-JP"/>
        </w:rPr>
        <w:t xml:space="preserve">NE-DC </w:t>
      </w:r>
    </w:p>
    <w:p w14:paraId="76DDBA06" w14:textId="3DBA834B" w:rsidR="00EE1B59" w:rsidRPr="00EE1B59" w:rsidRDefault="00EE1B59" w:rsidP="00EE1B59">
      <w:pPr>
        <w:pStyle w:val="ListParagraph"/>
        <w:numPr>
          <w:ilvl w:val="0"/>
          <w:numId w:val="20"/>
        </w:numPr>
        <w:rPr>
          <w:lang w:val="en-GB" w:eastAsia="ja-JP"/>
        </w:rPr>
      </w:pPr>
      <w:r w:rsidRPr="00EE1B59">
        <w:rPr>
          <w:lang w:val="en-GB" w:eastAsia="ja-JP"/>
        </w:rPr>
        <w:t>Option 7: NGEN-DC</w:t>
      </w:r>
    </w:p>
    <w:p w14:paraId="61A5D93D" w14:textId="77777777" w:rsidR="00CE1E43" w:rsidRDefault="00CE1E43" w:rsidP="00CE1E43">
      <w:pPr>
        <w:rPr>
          <w:lang w:val="en-GB" w:eastAsia="ja-JP"/>
        </w:rPr>
      </w:pPr>
    </w:p>
    <w:p w14:paraId="23E26C82" w14:textId="77777777" w:rsidR="00CE1E43" w:rsidRPr="00CE1E43" w:rsidRDefault="00CE1E43" w:rsidP="00CE1E43">
      <w:pPr>
        <w:rPr>
          <w:lang w:val="en-GB" w:eastAsia="ja-JP"/>
        </w:rPr>
      </w:pPr>
    </w:p>
    <w:p w14:paraId="0A73E5E3" w14:textId="2E8A3066" w:rsidR="00FD1ED6" w:rsidRDefault="00CE1E43" w:rsidP="00FD1ED6">
      <w:pPr>
        <w:pStyle w:val="Heading1"/>
      </w:pPr>
      <w:r w:rsidRPr="00CE1E43">
        <w:rPr>
          <w:noProof/>
          <w:lang w:val="sv-SE"/>
        </w:rPr>
        <w:drawing>
          <wp:inline distT="0" distB="0" distL="0" distR="0" wp14:anchorId="066F97C5" wp14:editId="3B7C24A5">
            <wp:extent cx="6120765" cy="3066415"/>
            <wp:effectExtent l="0" t="0" r="635" b="0"/>
            <wp:docPr id="7" name="Content Placeholder 6">
              <a:extLst xmlns:a="http://schemas.openxmlformats.org/drawingml/2006/main">
                <a:ext uri="{FF2B5EF4-FFF2-40B4-BE49-F238E27FC236}">
                  <a16:creationId xmlns:a16="http://schemas.microsoft.com/office/drawing/2014/main" id="{382FA27B-0458-1042-9BB4-5E63EFAB723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382FA27B-0458-1042-9BB4-5E63EFAB723C}"/>
                        </a:ext>
                      </a:extLst>
                    </pic:cNvPr>
                    <pic:cNvPicPr>
                      <a:picLocks noGrp="1" noChangeAspect="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120765" cy="3066415"/>
                    </a:xfrm>
                    <a:prstGeom prst="rect">
                      <a:avLst/>
                    </a:prstGeom>
                    <a:noFill/>
                    <a:ln w="9525">
                      <a:noFill/>
                      <a:miter lim="800000"/>
                      <a:headEnd/>
                      <a:tailEnd/>
                    </a:ln>
                  </pic:spPr>
                </pic:pic>
              </a:graphicData>
            </a:graphic>
          </wp:inline>
        </w:drawing>
      </w:r>
      <w:r w:rsidR="003B2767">
        <w:t xml:space="preserve"> </w:t>
      </w:r>
    </w:p>
    <w:p w14:paraId="275A6B20" w14:textId="0615F741" w:rsidR="00CE1E43" w:rsidRDefault="00CE1E43" w:rsidP="00EE1B59">
      <w:pPr>
        <w:ind w:left="2268" w:firstLine="567"/>
        <w:rPr>
          <w:rFonts w:ascii="Arial" w:hAnsi="Arial"/>
          <w:lang w:val="en-US" w:eastAsia="zh-CN"/>
        </w:rPr>
      </w:pPr>
      <w:r>
        <w:rPr>
          <w:rFonts w:ascii="Arial" w:hAnsi="Arial"/>
          <w:lang w:val="en-US" w:eastAsia="zh-CN"/>
        </w:rPr>
        <w:t xml:space="preserve">Fig. 1 </w:t>
      </w:r>
      <w:r w:rsidR="00EE1B59">
        <w:rPr>
          <w:rFonts w:ascii="Arial" w:hAnsi="Arial"/>
          <w:lang w:val="en-US" w:eastAsia="zh-CN"/>
        </w:rPr>
        <w:t>Architecture</w:t>
      </w:r>
      <w:r>
        <w:rPr>
          <w:rFonts w:ascii="Arial" w:hAnsi="Arial"/>
          <w:lang w:val="en-US" w:eastAsia="zh-CN"/>
        </w:rPr>
        <w:t xml:space="preserve"> Option in release 15</w:t>
      </w:r>
    </w:p>
    <w:p w14:paraId="076DA429" w14:textId="77777777" w:rsidR="00CE1E43" w:rsidRDefault="00CE1E43" w:rsidP="00F06021">
      <w:pPr>
        <w:rPr>
          <w:rFonts w:ascii="Arial" w:hAnsi="Arial"/>
          <w:lang w:val="en-US" w:eastAsia="zh-CN"/>
        </w:rPr>
      </w:pPr>
    </w:p>
    <w:p w14:paraId="10D6262A" w14:textId="56E4A7A4" w:rsidR="00EE1B59" w:rsidRDefault="00EE1B59" w:rsidP="00F06021">
      <w:pPr>
        <w:rPr>
          <w:rFonts w:ascii="Arial" w:hAnsi="Arial"/>
          <w:lang w:val="en-US" w:eastAsia="zh-CN"/>
        </w:rPr>
      </w:pPr>
    </w:p>
    <w:p w14:paraId="174CCD43" w14:textId="77777777" w:rsidR="00EC7D85" w:rsidRDefault="00EC7D85" w:rsidP="00F06021">
      <w:pPr>
        <w:rPr>
          <w:rFonts w:ascii="Arial" w:hAnsi="Arial"/>
          <w:b/>
          <w:lang w:val="en-US" w:eastAsia="zh-CN"/>
        </w:rPr>
      </w:pPr>
    </w:p>
    <w:p w14:paraId="3D1E35A7" w14:textId="0664CD1B" w:rsidR="00EC7D85" w:rsidRPr="00EC7D85" w:rsidRDefault="00EC7D85" w:rsidP="00EC7D85">
      <w:pPr>
        <w:rPr>
          <w:rFonts w:ascii="Arial" w:hAnsi="Arial"/>
          <w:lang w:val="en-US" w:eastAsia="zh-CN"/>
        </w:rPr>
      </w:pPr>
      <w:r w:rsidRPr="00EC7D85">
        <w:rPr>
          <w:rFonts w:ascii="Arial" w:hAnsi="Arial"/>
          <w:lang w:val="en-US" w:eastAsia="zh-CN"/>
        </w:rPr>
        <w:t>As part of MR-DC configuration, each UE is configured with two separate scheduled cell groups namely:</w:t>
      </w:r>
    </w:p>
    <w:p w14:paraId="641D25ED" w14:textId="77777777" w:rsidR="00EC7D85" w:rsidRPr="00EC7D85" w:rsidRDefault="00EC7D85" w:rsidP="00EC7D85">
      <w:pPr>
        <w:rPr>
          <w:rFonts w:ascii="Arial" w:hAnsi="Arial"/>
          <w:lang w:val="en-US" w:eastAsia="zh-CN"/>
        </w:rPr>
      </w:pPr>
    </w:p>
    <w:p w14:paraId="4AFD2A33" w14:textId="5656EECB" w:rsidR="00EC7D85" w:rsidRPr="00EC7D85" w:rsidRDefault="00EC7D85" w:rsidP="00EC7D85">
      <w:pPr>
        <w:numPr>
          <w:ilvl w:val="2"/>
          <w:numId w:val="30"/>
        </w:numPr>
        <w:rPr>
          <w:rFonts w:ascii="Arial" w:hAnsi="Arial"/>
          <w:lang w:val="en-US" w:eastAsia="zh-CN"/>
        </w:rPr>
      </w:pPr>
      <w:r w:rsidRPr="00EC7D85">
        <w:rPr>
          <w:rFonts w:ascii="Arial" w:hAnsi="Arial"/>
          <w:lang w:val="en-US" w:eastAsia="zh-CN"/>
        </w:rPr>
        <w:t xml:space="preserve">Master Cell Group (MCG) </w:t>
      </w:r>
    </w:p>
    <w:p w14:paraId="6D48BAE5" w14:textId="7A20F6E4" w:rsidR="00EC7D85" w:rsidRPr="00EC7D85" w:rsidRDefault="00EC7D85" w:rsidP="00EC7D85">
      <w:pPr>
        <w:numPr>
          <w:ilvl w:val="2"/>
          <w:numId w:val="30"/>
        </w:numPr>
        <w:rPr>
          <w:rFonts w:ascii="Arial" w:hAnsi="Arial"/>
          <w:lang w:val="en-US" w:eastAsia="zh-CN"/>
        </w:rPr>
      </w:pPr>
      <w:r w:rsidRPr="00EC7D85">
        <w:rPr>
          <w:rFonts w:ascii="Arial" w:hAnsi="Arial"/>
          <w:lang w:val="en-US" w:eastAsia="zh-CN"/>
        </w:rPr>
        <w:t xml:space="preserve">Secondary Cell Group (SCG) </w:t>
      </w:r>
    </w:p>
    <w:p w14:paraId="042294CF" w14:textId="5DAC8B0D" w:rsidR="00EC7D85" w:rsidRDefault="00EC7D85" w:rsidP="00F06021">
      <w:pPr>
        <w:rPr>
          <w:rFonts w:ascii="Arial" w:hAnsi="Arial"/>
          <w:b/>
          <w:lang w:val="en-US" w:eastAsia="zh-CN"/>
        </w:rPr>
      </w:pPr>
    </w:p>
    <w:p w14:paraId="3F5F663D" w14:textId="3F583DB1" w:rsidR="00EC7D85" w:rsidRDefault="00EC7D85" w:rsidP="00F06021">
      <w:pPr>
        <w:rPr>
          <w:rFonts w:ascii="Arial" w:hAnsi="Arial"/>
          <w:b/>
          <w:lang w:val="en-US" w:eastAsia="zh-CN"/>
        </w:rPr>
      </w:pPr>
      <w:r>
        <w:rPr>
          <w:rFonts w:ascii="Arial" w:hAnsi="Arial"/>
          <w:lang w:val="en-US" w:eastAsia="zh-CN"/>
        </w:rPr>
        <w:t xml:space="preserve">Master Cell Group (MCG) belongs to the master node called MN and Secondary cell Group belongs to the slave node (SN). </w:t>
      </w:r>
      <w:r w:rsidRPr="00EC7D85">
        <w:rPr>
          <w:rFonts w:ascii="Arial" w:hAnsi="Arial"/>
          <w:lang w:val="en-US" w:eastAsia="zh-CN"/>
        </w:rPr>
        <w:t>Based on the MR-DC type, MN and SN could either be LTE cells or NR cells</w:t>
      </w:r>
      <w:r>
        <w:rPr>
          <w:rFonts w:ascii="Arial" w:hAnsi="Arial"/>
          <w:b/>
          <w:lang w:val="en-US" w:eastAsia="zh-CN"/>
        </w:rPr>
        <w:t xml:space="preserve">. </w:t>
      </w:r>
    </w:p>
    <w:p w14:paraId="1EB3AFD9" w14:textId="77777777" w:rsidR="00EC7D85" w:rsidRDefault="00EC7D85" w:rsidP="00F06021">
      <w:pPr>
        <w:rPr>
          <w:rFonts w:ascii="Arial" w:hAnsi="Arial"/>
          <w:b/>
          <w:lang w:val="en-US" w:eastAsia="zh-CN"/>
        </w:rPr>
      </w:pPr>
    </w:p>
    <w:p w14:paraId="7EE9B3CA" w14:textId="61FB636F" w:rsidR="00950CF7" w:rsidRDefault="00EC7D85" w:rsidP="00F06021">
      <w:pPr>
        <w:rPr>
          <w:rFonts w:ascii="Arial" w:hAnsi="Arial"/>
          <w:b/>
          <w:lang w:val="en-US" w:eastAsia="zh-CN"/>
        </w:rPr>
      </w:pPr>
      <w:r w:rsidRPr="00EC7D85">
        <w:rPr>
          <w:rFonts w:ascii="Arial" w:hAnsi="Arial"/>
          <w:b/>
          <w:lang w:val="en-US" w:eastAsia="zh-CN"/>
        </w:rPr>
        <w:t>Bearer Termination Options in MR-DC</w:t>
      </w:r>
    </w:p>
    <w:p w14:paraId="38A74E53" w14:textId="0574A637" w:rsidR="00EC7D85" w:rsidRDefault="00EC7D85" w:rsidP="00F06021">
      <w:pPr>
        <w:rPr>
          <w:rFonts w:ascii="Arial" w:hAnsi="Arial"/>
          <w:b/>
          <w:lang w:val="en-US" w:eastAsia="zh-CN"/>
        </w:rPr>
      </w:pPr>
    </w:p>
    <w:p w14:paraId="6E09E283" w14:textId="620CDF22" w:rsidR="00EC7D85" w:rsidRDefault="00EC7D85" w:rsidP="00F06021">
      <w:pPr>
        <w:rPr>
          <w:rFonts w:ascii="Arial" w:hAnsi="Arial"/>
          <w:lang w:val="en-US" w:eastAsia="zh-CN"/>
        </w:rPr>
      </w:pPr>
      <w:r>
        <w:rPr>
          <w:rFonts w:ascii="Arial" w:hAnsi="Arial"/>
          <w:lang w:val="en-US" w:eastAsia="zh-CN"/>
        </w:rPr>
        <w:t>An important aspect to understand in MR-DC is the bearer termination</w:t>
      </w:r>
      <w:r w:rsidR="009F4295">
        <w:rPr>
          <w:rFonts w:ascii="Arial" w:hAnsi="Arial"/>
          <w:lang w:val="en-US" w:eastAsia="zh-CN"/>
        </w:rPr>
        <w:t xml:space="preserve">. Fig. 2 below shows the bearer types based on termination points. There are </w:t>
      </w:r>
      <w:r w:rsidR="00270151">
        <w:rPr>
          <w:rFonts w:ascii="Arial" w:hAnsi="Arial"/>
          <w:lang w:val="en-US" w:eastAsia="zh-CN"/>
        </w:rPr>
        <w:t>two</w:t>
      </w:r>
      <w:r w:rsidR="009F4295">
        <w:rPr>
          <w:rFonts w:ascii="Arial" w:hAnsi="Arial"/>
          <w:lang w:val="en-US" w:eastAsia="zh-CN"/>
        </w:rPr>
        <w:t xml:space="preserve"> types of bearer termination in MR-DC, namely: </w:t>
      </w:r>
    </w:p>
    <w:p w14:paraId="0DA9D554" w14:textId="4769BB40" w:rsidR="00EC7D85" w:rsidRDefault="00EC7D85" w:rsidP="00F06021">
      <w:pPr>
        <w:rPr>
          <w:rFonts w:ascii="Arial" w:hAnsi="Arial"/>
          <w:lang w:val="en-US" w:eastAsia="zh-CN"/>
        </w:rPr>
      </w:pPr>
    </w:p>
    <w:p w14:paraId="319C9CB4" w14:textId="77777777" w:rsidR="00EC7D85" w:rsidRPr="00EC7D85" w:rsidRDefault="00EC7D85" w:rsidP="00270151">
      <w:pPr>
        <w:ind w:left="567"/>
        <w:rPr>
          <w:rFonts w:ascii="Arial" w:hAnsi="Arial"/>
          <w:lang w:val="en-US" w:eastAsia="zh-CN"/>
        </w:rPr>
      </w:pPr>
      <w:r w:rsidRPr="00EC7D85">
        <w:rPr>
          <w:rFonts w:ascii="Arial" w:hAnsi="Arial"/>
          <w:b/>
          <w:bCs/>
          <w:lang w:val="en-GB" w:eastAsia="zh-CN"/>
        </w:rPr>
        <w:t>MN terminated bearer</w:t>
      </w:r>
      <w:r w:rsidRPr="00EC7D85">
        <w:rPr>
          <w:rFonts w:ascii="Arial" w:hAnsi="Arial"/>
          <w:lang w:val="en-GB" w:eastAsia="zh-CN"/>
        </w:rPr>
        <w:t>: in MR-DC, a radio bearer for which PDCP is located in the MN.</w:t>
      </w:r>
    </w:p>
    <w:p w14:paraId="60347B8E" w14:textId="7C7D8D96" w:rsidR="00EC7D85" w:rsidRPr="00270151" w:rsidRDefault="00EC7D85" w:rsidP="00270151">
      <w:pPr>
        <w:ind w:left="567"/>
        <w:rPr>
          <w:rFonts w:ascii="Arial" w:hAnsi="Arial"/>
          <w:lang w:val="en-GB" w:eastAsia="zh-CN"/>
        </w:rPr>
      </w:pPr>
      <w:r w:rsidRPr="00EC7D85">
        <w:rPr>
          <w:rFonts w:ascii="Arial" w:hAnsi="Arial"/>
          <w:b/>
          <w:bCs/>
          <w:lang w:val="en-GB" w:eastAsia="zh-CN"/>
        </w:rPr>
        <w:lastRenderedPageBreak/>
        <w:t>SN terminated bearer</w:t>
      </w:r>
      <w:r w:rsidRPr="00EC7D85">
        <w:rPr>
          <w:rFonts w:ascii="Arial" w:hAnsi="Arial"/>
          <w:lang w:val="en-GB" w:eastAsia="zh-CN"/>
        </w:rPr>
        <w:t>: in MR-DC, a radio bearer for which PDCP is located in the SN.</w:t>
      </w:r>
    </w:p>
    <w:p w14:paraId="3E4167E2" w14:textId="77777777" w:rsidR="00EC7D85" w:rsidRDefault="00EC7D85" w:rsidP="00F06021">
      <w:pPr>
        <w:rPr>
          <w:rFonts w:ascii="Arial" w:hAnsi="Arial"/>
          <w:lang w:val="en-US" w:eastAsia="zh-CN"/>
        </w:rPr>
      </w:pPr>
    </w:p>
    <w:p w14:paraId="4793F368" w14:textId="11EDAAEF" w:rsidR="00950CF7" w:rsidRDefault="00950CF7" w:rsidP="00F06021">
      <w:pPr>
        <w:rPr>
          <w:rFonts w:ascii="Arial" w:hAnsi="Arial"/>
          <w:lang w:val="en-US" w:eastAsia="zh-CN"/>
        </w:rPr>
      </w:pPr>
    </w:p>
    <w:p w14:paraId="65C3579B" w14:textId="1204CBC6" w:rsidR="00950CF7" w:rsidRDefault="00950CF7" w:rsidP="00F06021">
      <w:pPr>
        <w:rPr>
          <w:rFonts w:ascii="Arial" w:hAnsi="Arial"/>
          <w:lang w:val="en-US" w:eastAsia="zh-CN"/>
        </w:rPr>
      </w:pPr>
    </w:p>
    <w:p w14:paraId="5D0A2513" w14:textId="693D21F1" w:rsidR="00950CF7" w:rsidRDefault="00950CF7" w:rsidP="00F06021">
      <w:pPr>
        <w:rPr>
          <w:rFonts w:ascii="Arial" w:hAnsi="Arial"/>
          <w:lang w:val="en-US" w:eastAsia="zh-CN"/>
        </w:rPr>
      </w:pPr>
    </w:p>
    <w:p w14:paraId="694C04CC" w14:textId="0E8F1BB6" w:rsidR="00950CF7" w:rsidRDefault="00950CF7" w:rsidP="00F06021">
      <w:pPr>
        <w:rPr>
          <w:rFonts w:ascii="Arial" w:hAnsi="Arial"/>
          <w:lang w:val="en-US" w:eastAsia="zh-CN"/>
        </w:rPr>
      </w:pPr>
      <w:r>
        <w:rPr>
          <w:rFonts w:ascii="Arial" w:hAnsi="Arial"/>
          <w:noProof/>
          <w:lang w:val="en-US" w:eastAsia="zh-CN"/>
        </w:rPr>
        <w:drawing>
          <wp:inline distT="0" distB="0" distL="0" distR="0" wp14:anchorId="2326C36D" wp14:editId="43592E68">
            <wp:extent cx="6120765" cy="237680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3-22 at 20.59.3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2376805"/>
                    </a:xfrm>
                    <a:prstGeom prst="rect">
                      <a:avLst/>
                    </a:prstGeom>
                  </pic:spPr>
                </pic:pic>
              </a:graphicData>
            </a:graphic>
          </wp:inline>
        </w:drawing>
      </w:r>
    </w:p>
    <w:p w14:paraId="21AFDD79" w14:textId="77777777" w:rsidR="00950CF7" w:rsidRDefault="00950CF7" w:rsidP="00F06021">
      <w:pPr>
        <w:rPr>
          <w:rFonts w:ascii="Arial" w:hAnsi="Arial"/>
          <w:lang w:val="en-US" w:eastAsia="zh-CN"/>
        </w:rPr>
      </w:pPr>
      <w:r>
        <w:rPr>
          <w:rFonts w:ascii="Arial" w:hAnsi="Arial"/>
          <w:lang w:val="en-US" w:eastAsia="zh-CN"/>
        </w:rPr>
        <w:tab/>
      </w:r>
      <w:r>
        <w:rPr>
          <w:rFonts w:ascii="Arial" w:hAnsi="Arial"/>
          <w:lang w:val="en-US" w:eastAsia="zh-CN"/>
        </w:rPr>
        <w:tab/>
      </w:r>
      <w:r>
        <w:rPr>
          <w:rFonts w:ascii="Arial" w:hAnsi="Arial"/>
          <w:lang w:val="en-US" w:eastAsia="zh-CN"/>
        </w:rPr>
        <w:tab/>
      </w:r>
      <w:r>
        <w:rPr>
          <w:rFonts w:ascii="Arial" w:hAnsi="Arial"/>
          <w:lang w:val="en-US" w:eastAsia="zh-CN"/>
        </w:rPr>
        <w:tab/>
      </w:r>
      <w:r>
        <w:rPr>
          <w:rFonts w:ascii="Arial" w:hAnsi="Arial"/>
          <w:lang w:val="en-US" w:eastAsia="zh-CN"/>
        </w:rPr>
        <w:tab/>
      </w:r>
    </w:p>
    <w:p w14:paraId="21538D1A" w14:textId="30F42804" w:rsidR="00950CF7" w:rsidRDefault="00950CF7" w:rsidP="00950CF7">
      <w:pPr>
        <w:ind w:left="2268" w:firstLine="567"/>
        <w:rPr>
          <w:rFonts w:ascii="Arial" w:hAnsi="Arial"/>
          <w:lang w:val="en-US" w:eastAsia="zh-CN"/>
        </w:rPr>
      </w:pPr>
      <w:r>
        <w:rPr>
          <w:rFonts w:ascii="Arial" w:hAnsi="Arial"/>
          <w:lang w:val="en-US" w:eastAsia="zh-CN"/>
        </w:rPr>
        <w:t>Fig. 2 Bearer Termination in MR-DC</w:t>
      </w:r>
    </w:p>
    <w:p w14:paraId="5D1E1356" w14:textId="77777777" w:rsidR="00950CF7" w:rsidRDefault="00950CF7" w:rsidP="00F06021">
      <w:pPr>
        <w:rPr>
          <w:rFonts w:ascii="Arial" w:hAnsi="Arial"/>
          <w:lang w:val="en-US" w:eastAsia="zh-CN"/>
        </w:rPr>
      </w:pPr>
    </w:p>
    <w:p w14:paraId="169A1891" w14:textId="77777777" w:rsidR="009F4295" w:rsidRDefault="009F4295" w:rsidP="00F06021">
      <w:pPr>
        <w:rPr>
          <w:rFonts w:ascii="Arial" w:hAnsi="Arial"/>
          <w:lang w:val="en-US" w:eastAsia="zh-CN"/>
        </w:rPr>
      </w:pPr>
    </w:p>
    <w:p w14:paraId="6E69E556" w14:textId="77777777" w:rsidR="009F4295" w:rsidRDefault="009F4295" w:rsidP="00F06021">
      <w:pPr>
        <w:rPr>
          <w:rFonts w:ascii="Arial" w:hAnsi="Arial"/>
          <w:lang w:val="en-US" w:eastAsia="zh-CN"/>
        </w:rPr>
      </w:pPr>
      <w:r>
        <w:rPr>
          <w:rFonts w:ascii="Arial" w:hAnsi="Arial"/>
          <w:lang w:val="en-US" w:eastAsia="zh-CN"/>
        </w:rPr>
        <w:t>This is an important aspect since it would also decide how the network would configure the UE with MDT configuration in MR-DC scenarios.</w:t>
      </w:r>
    </w:p>
    <w:p w14:paraId="00BBA139" w14:textId="77777777" w:rsidR="009F4295" w:rsidRDefault="009F4295" w:rsidP="00F06021">
      <w:pPr>
        <w:rPr>
          <w:rFonts w:ascii="Arial" w:hAnsi="Arial"/>
          <w:lang w:val="en-US" w:eastAsia="zh-CN"/>
        </w:rPr>
      </w:pPr>
    </w:p>
    <w:p w14:paraId="5D3B3E7D" w14:textId="2BC8761A" w:rsidR="009F4295" w:rsidRPr="009F4295" w:rsidRDefault="009F4295" w:rsidP="00F06021">
      <w:pPr>
        <w:rPr>
          <w:rFonts w:ascii="Arial" w:hAnsi="Arial"/>
          <w:b/>
          <w:lang w:val="en-US" w:eastAsia="zh-CN"/>
        </w:rPr>
      </w:pPr>
      <w:r w:rsidRPr="009F4295">
        <w:rPr>
          <w:rFonts w:ascii="Arial" w:hAnsi="Arial"/>
          <w:b/>
          <w:lang w:val="en-US" w:eastAsia="zh-CN"/>
        </w:rPr>
        <w:t xml:space="preserve">MDT </w:t>
      </w:r>
      <w:r>
        <w:rPr>
          <w:rFonts w:ascii="Arial" w:hAnsi="Arial"/>
          <w:b/>
          <w:lang w:val="en-US" w:eastAsia="zh-CN"/>
        </w:rPr>
        <w:t>support</w:t>
      </w:r>
      <w:r w:rsidRPr="009F4295">
        <w:rPr>
          <w:rFonts w:ascii="Arial" w:hAnsi="Arial"/>
          <w:b/>
          <w:lang w:val="en-US" w:eastAsia="zh-CN"/>
        </w:rPr>
        <w:t xml:space="preserve"> in MR-DC </w:t>
      </w:r>
    </w:p>
    <w:p w14:paraId="3CFA9C05" w14:textId="77777777" w:rsidR="009F4295" w:rsidRDefault="009F4295" w:rsidP="00F06021">
      <w:pPr>
        <w:rPr>
          <w:rFonts w:ascii="Arial" w:hAnsi="Arial"/>
          <w:lang w:val="en-US" w:eastAsia="zh-CN"/>
        </w:rPr>
      </w:pPr>
    </w:p>
    <w:p w14:paraId="1D0012F3" w14:textId="2D404EC9" w:rsidR="009D45D7" w:rsidRDefault="009D45D7" w:rsidP="00F06021">
      <w:pPr>
        <w:rPr>
          <w:rFonts w:ascii="Arial" w:hAnsi="Arial"/>
          <w:lang w:val="en-US" w:eastAsia="zh-CN"/>
        </w:rPr>
      </w:pPr>
      <w:r>
        <w:rPr>
          <w:rFonts w:ascii="Arial" w:hAnsi="Arial"/>
          <w:lang w:val="en-US" w:eastAsia="zh-CN"/>
        </w:rPr>
        <w:t xml:space="preserve">When it comes to MDT support in dual connectivity scenarios, we need to start with a few </w:t>
      </w:r>
      <w:r w:rsidR="009F4295">
        <w:rPr>
          <w:rFonts w:ascii="Arial" w:hAnsi="Arial"/>
          <w:lang w:val="en-US" w:eastAsia="zh-CN"/>
        </w:rPr>
        <w:t xml:space="preserve">basic </w:t>
      </w:r>
      <w:r w:rsidR="00CD3FD7">
        <w:rPr>
          <w:rFonts w:ascii="Arial" w:hAnsi="Arial"/>
          <w:lang w:val="en-US" w:eastAsia="zh-CN"/>
        </w:rPr>
        <w:t>considerations</w:t>
      </w:r>
      <w:r>
        <w:rPr>
          <w:rFonts w:ascii="Arial" w:hAnsi="Arial"/>
          <w:lang w:val="en-US" w:eastAsia="zh-CN"/>
        </w:rPr>
        <w:t xml:space="preserve">, specifically: </w:t>
      </w:r>
    </w:p>
    <w:p w14:paraId="2ADDF7D0" w14:textId="2078AB0D" w:rsidR="009D45D7" w:rsidRDefault="009D45D7" w:rsidP="00F06021">
      <w:pPr>
        <w:rPr>
          <w:rFonts w:ascii="Arial" w:hAnsi="Arial"/>
          <w:lang w:val="en-US" w:eastAsia="zh-CN"/>
        </w:rPr>
      </w:pPr>
    </w:p>
    <w:p w14:paraId="4624C5E8" w14:textId="77777777" w:rsidR="009D45D7" w:rsidRDefault="009D45D7" w:rsidP="009D45D7">
      <w:pPr>
        <w:rPr>
          <w:rFonts w:ascii="Arial" w:hAnsi="Arial"/>
          <w:lang w:val="en-US" w:eastAsia="zh-CN"/>
        </w:rPr>
      </w:pPr>
    </w:p>
    <w:p w14:paraId="0BC92BD4" w14:textId="77777777" w:rsidR="009D45D7" w:rsidRPr="009D45D7" w:rsidRDefault="009D45D7" w:rsidP="009D45D7">
      <w:pPr>
        <w:pStyle w:val="ListParagraph"/>
        <w:numPr>
          <w:ilvl w:val="0"/>
          <w:numId w:val="21"/>
        </w:numPr>
        <w:rPr>
          <w:rFonts w:ascii="Arial" w:hAnsi="Arial"/>
          <w:lang w:val="en-US" w:eastAsia="zh-CN"/>
        </w:rPr>
      </w:pPr>
      <w:r w:rsidRPr="009D45D7">
        <w:rPr>
          <w:rFonts w:ascii="Arial" w:hAnsi="Arial"/>
          <w:lang w:val="en-US" w:eastAsia="zh-CN"/>
        </w:rPr>
        <w:t xml:space="preserve">Visibility of DC configuration to the OAM and impact on MDT configuration.  </w:t>
      </w:r>
    </w:p>
    <w:p w14:paraId="3FA30FA0" w14:textId="77777777" w:rsidR="009D45D7" w:rsidRPr="009D45D7" w:rsidRDefault="009D45D7" w:rsidP="009D45D7">
      <w:pPr>
        <w:pStyle w:val="ListParagraph"/>
        <w:numPr>
          <w:ilvl w:val="0"/>
          <w:numId w:val="21"/>
        </w:numPr>
        <w:rPr>
          <w:rFonts w:ascii="Arial" w:hAnsi="Arial"/>
          <w:lang w:val="en-US" w:eastAsia="zh-CN"/>
        </w:rPr>
      </w:pPr>
      <w:r w:rsidRPr="009D45D7">
        <w:rPr>
          <w:rFonts w:ascii="Arial" w:hAnsi="Arial"/>
          <w:lang w:val="en-US" w:eastAsia="zh-CN"/>
        </w:rPr>
        <w:t>Configuration of MDT configuration to UE via MN, SN or both</w:t>
      </w:r>
    </w:p>
    <w:p w14:paraId="6F33257B" w14:textId="25D18DB9" w:rsidR="008B7262" w:rsidRDefault="009D45D7" w:rsidP="008B7262">
      <w:pPr>
        <w:pStyle w:val="ListParagraph"/>
        <w:numPr>
          <w:ilvl w:val="0"/>
          <w:numId w:val="21"/>
        </w:numPr>
        <w:rPr>
          <w:rFonts w:ascii="Arial" w:hAnsi="Arial"/>
          <w:lang w:val="en-US" w:eastAsia="zh-CN"/>
        </w:rPr>
      </w:pPr>
      <w:r w:rsidRPr="009D45D7">
        <w:rPr>
          <w:rFonts w:ascii="Arial" w:hAnsi="Arial"/>
          <w:lang w:val="en-US" w:eastAsia="zh-CN"/>
        </w:rPr>
        <w:t>Trigger type support in MDT</w:t>
      </w:r>
      <w:r w:rsidR="0084067B">
        <w:rPr>
          <w:rFonts w:ascii="Arial" w:hAnsi="Arial"/>
          <w:lang w:val="en-US" w:eastAsia="zh-CN"/>
        </w:rPr>
        <w:t xml:space="preserve"> for MR-DC</w:t>
      </w:r>
    </w:p>
    <w:p w14:paraId="2115C794" w14:textId="77777777" w:rsidR="00293377" w:rsidRDefault="00293377" w:rsidP="00F06021">
      <w:pPr>
        <w:rPr>
          <w:rFonts w:ascii="Arial" w:hAnsi="Arial"/>
          <w:lang w:val="en-US" w:eastAsia="zh-CN"/>
        </w:rPr>
      </w:pPr>
    </w:p>
    <w:p w14:paraId="0E251A89" w14:textId="1854E2A5" w:rsidR="009D45D7" w:rsidRPr="0084067B" w:rsidRDefault="009D45D7" w:rsidP="0084067B">
      <w:pPr>
        <w:pStyle w:val="Heading3"/>
        <w:numPr>
          <w:ilvl w:val="0"/>
          <w:numId w:val="27"/>
        </w:numPr>
        <w:rPr>
          <w:b/>
        </w:rPr>
      </w:pPr>
      <w:r w:rsidRPr="0084067B">
        <w:rPr>
          <w:b/>
        </w:rPr>
        <w:t>Visibility of DC configuration to the OAM and impact on MDT configuration</w:t>
      </w:r>
    </w:p>
    <w:p w14:paraId="70D72D74" w14:textId="09F7A492" w:rsidR="009D45D7" w:rsidRDefault="009D45D7" w:rsidP="009D45D7">
      <w:pPr>
        <w:rPr>
          <w:rFonts w:ascii="Arial" w:hAnsi="Arial"/>
          <w:b/>
          <w:lang w:val="en-US" w:eastAsia="zh-CN"/>
        </w:rPr>
      </w:pPr>
    </w:p>
    <w:p w14:paraId="4C1290BA" w14:textId="347909CA" w:rsidR="00E96406" w:rsidRDefault="009D45D7" w:rsidP="009D45D7">
      <w:pPr>
        <w:rPr>
          <w:rFonts w:ascii="Arial" w:hAnsi="Arial"/>
          <w:lang w:val="en-US" w:eastAsia="zh-CN"/>
        </w:rPr>
      </w:pPr>
      <w:r w:rsidRPr="00293377">
        <w:rPr>
          <w:rFonts w:ascii="Arial" w:hAnsi="Arial"/>
          <w:lang w:val="en-US" w:eastAsia="zh-CN"/>
        </w:rPr>
        <w:t xml:space="preserve">Dual connectivity is need based and configured by the RAN nodes on case by case and UE support basis. </w:t>
      </w:r>
      <w:r w:rsidRPr="00F93710">
        <w:rPr>
          <w:rFonts w:ascii="Arial" w:hAnsi="Arial"/>
          <w:lang w:val="en-US" w:eastAsia="zh-CN"/>
        </w:rPr>
        <w:t xml:space="preserve">OAM is aware about the support for dual connectivity in a specific RAN </w:t>
      </w:r>
      <w:proofErr w:type="gramStart"/>
      <w:r w:rsidRPr="00F93710">
        <w:rPr>
          <w:rFonts w:ascii="Arial" w:hAnsi="Arial"/>
          <w:lang w:val="en-US" w:eastAsia="zh-CN"/>
        </w:rPr>
        <w:t>node</w:t>
      </w:r>
      <w:proofErr w:type="gramEnd"/>
      <w:r w:rsidRPr="00F93710">
        <w:rPr>
          <w:rFonts w:ascii="Arial" w:hAnsi="Arial"/>
          <w:lang w:val="en-US" w:eastAsia="zh-CN"/>
        </w:rPr>
        <w:t xml:space="preserve"> but </w:t>
      </w:r>
      <w:r w:rsidR="00E96406" w:rsidRPr="00F93710">
        <w:rPr>
          <w:rFonts w:ascii="Arial" w:hAnsi="Arial"/>
          <w:lang w:val="en-US" w:eastAsia="zh-CN"/>
        </w:rPr>
        <w:t>OAM does not have visibility about the dual connectivity configuration on individual UE</w:t>
      </w:r>
      <w:r w:rsidR="00293377" w:rsidRPr="00F93710">
        <w:rPr>
          <w:rFonts w:ascii="Arial" w:hAnsi="Arial"/>
          <w:lang w:val="en-US" w:eastAsia="zh-CN"/>
        </w:rPr>
        <w:t>.</w:t>
      </w:r>
      <w:r w:rsidR="00E96406" w:rsidRPr="00F93710">
        <w:rPr>
          <w:rFonts w:ascii="Arial" w:hAnsi="Arial"/>
          <w:lang w:val="en-US" w:eastAsia="zh-CN"/>
        </w:rPr>
        <w:t xml:space="preserve"> So, to support MDT configuration with dual connectivity, OAM needs to </w:t>
      </w:r>
      <w:r w:rsidR="00F63A9D" w:rsidRPr="00F93710">
        <w:rPr>
          <w:rFonts w:ascii="Arial" w:hAnsi="Arial"/>
          <w:lang w:val="en-US" w:eastAsia="zh-CN"/>
        </w:rPr>
        <w:t xml:space="preserve">provide MDT configuration including </w:t>
      </w:r>
      <w:r w:rsidR="00F63A9D">
        <w:rPr>
          <w:rFonts w:ascii="Arial" w:hAnsi="Arial"/>
          <w:lang w:val="en-US" w:eastAsia="zh-CN"/>
        </w:rPr>
        <w:t xml:space="preserve">configuration for secondary cell group (SCG) cells based on RAN support rather than support of individual UE. </w:t>
      </w:r>
    </w:p>
    <w:p w14:paraId="7BA1CE16" w14:textId="1DF65231" w:rsidR="00F63A9D" w:rsidRDefault="00F63A9D" w:rsidP="009D45D7">
      <w:pPr>
        <w:rPr>
          <w:rFonts w:ascii="Arial" w:hAnsi="Arial"/>
          <w:highlight w:val="yellow"/>
          <w:lang w:val="en-US" w:eastAsia="zh-CN"/>
        </w:rPr>
      </w:pPr>
    </w:p>
    <w:p w14:paraId="0DBBD9A0" w14:textId="7A988EF6" w:rsidR="00F63A9D" w:rsidRPr="00F63A9D" w:rsidRDefault="00F63A9D" w:rsidP="00F63A9D">
      <w:pPr>
        <w:pStyle w:val="Observation"/>
        <w:rPr>
          <w:lang w:val="en-US"/>
        </w:rPr>
      </w:pPr>
      <w:bookmarkStart w:id="0" w:name="_Toc4686570"/>
      <w:r w:rsidRPr="00F63A9D">
        <w:rPr>
          <w:lang w:val="en-US"/>
        </w:rPr>
        <w:t xml:space="preserve">OAM is aware about the support for dual connectivity in a specific RAN </w:t>
      </w:r>
      <w:proofErr w:type="gramStart"/>
      <w:r w:rsidRPr="00F63A9D">
        <w:rPr>
          <w:lang w:val="en-US"/>
        </w:rPr>
        <w:t>node</w:t>
      </w:r>
      <w:proofErr w:type="gramEnd"/>
      <w:r w:rsidRPr="00F63A9D">
        <w:rPr>
          <w:lang w:val="en-US"/>
        </w:rPr>
        <w:t xml:space="preserve"> but OAM does not have visibility about the dual connectivity configuration on individual UE.</w:t>
      </w:r>
      <w:bookmarkEnd w:id="0"/>
    </w:p>
    <w:p w14:paraId="13C7B128" w14:textId="77777777" w:rsidR="00F63A9D" w:rsidRDefault="00F63A9D" w:rsidP="009D45D7">
      <w:pPr>
        <w:rPr>
          <w:rFonts w:ascii="Arial" w:hAnsi="Arial"/>
          <w:highlight w:val="yellow"/>
          <w:lang w:val="en-US" w:eastAsia="zh-CN"/>
        </w:rPr>
      </w:pPr>
    </w:p>
    <w:p w14:paraId="5628646E" w14:textId="3BE0FDEF" w:rsidR="00293377" w:rsidRDefault="00F63A9D" w:rsidP="009D45D7">
      <w:pPr>
        <w:rPr>
          <w:rFonts w:ascii="Arial" w:hAnsi="Arial"/>
          <w:lang w:val="en-US" w:eastAsia="zh-CN"/>
        </w:rPr>
      </w:pPr>
      <w:r>
        <w:rPr>
          <w:rFonts w:ascii="Arial" w:hAnsi="Arial"/>
          <w:lang w:val="en-US" w:eastAsia="zh-CN"/>
        </w:rPr>
        <w:t>The simplest solution to this issue is that the OAM s</w:t>
      </w:r>
      <w:r w:rsidR="00E96406">
        <w:rPr>
          <w:rFonts w:ascii="Arial" w:hAnsi="Arial"/>
          <w:lang w:val="en-US" w:eastAsia="zh-CN"/>
        </w:rPr>
        <w:t xml:space="preserve">end an MDT configuration including dual connectivity if the RAN node supports dual connectivity. If the UE receives MDT </w:t>
      </w:r>
      <w:r>
        <w:rPr>
          <w:rFonts w:ascii="Arial" w:hAnsi="Arial"/>
          <w:lang w:val="en-US" w:eastAsia="zh-CN"/>
        </w:rPr>
        <w:t>configuration when</w:t>
      </w:r>
      <w:r w:rsidR="00E96406">
        <w:rPr>
          <w:rFonts w:ascii="Arial" w:hAnsi="Arial"/>
          <w:lang w:val="en-US" w:eastAsia="zh-CN"/>
        </w:rPr>
        <w:t xml:space="preserve"> it is configured with dual connectivity, it would apply the MDT configuration for secondary cell group (SCG) cells otherwise it would ignore the MDT configuration for secondary cell group (SCG) cells. </w:t>
      </w:r>
    </w:p>
    <w:p w14:paraId="0E115C19" w14:textId="4B06F6D6" w:rsidR="00F63A9D" w:rsidRDefault="00F63A9D" w:rsidP="009D45D7">
      <w:pPr>
        <w:rPr>
          <w:rFonts w:ascii="Arial" w:hAnsi="Arial"/>
          <w:lang w:val="en-US" w:eastAsia="zh-CN"/>
        </w:rPr>
      </w:pPr>
    </w:p>
    <w:p w14:paraId="65383BB8" w14:textId="3887D808" w:rsidR="00F63A9D" w:rsidRDefault="00F63A9D" w:rsidP="00F63A9D">
      <w:pPr>
        <w:pStyle w:val="Proposals"/>
        <w:rPr>
          <w:lang w:val="en-US" w:eastAsia="zh-CN"/>
        </w:rPr>
      </w:pPr>
      <w:r>
        <w:rPr>
          <w:lang w:val="en-US" w:eastAsia="zh-CN"/>
        </w:rPr>
        <w:t xml:space="preserve">OAM can include configuration for secondary cell group (SCG) in the MDT triggers for immediate MDT. </w:t>
      </w:r>
    </w:p>
    <w:p w14:paraId="4E777E87" w14:textId="593DCFCB" w:rsidR="00F63A9D" w:rsidRDefault="00F63A9D" w:rsidP="009D45D7">
      <w:pPr>
        <w:rPr>
          <w:rFonts w:ascii="Arial" w:hAnsi="Arial"/>
          <w:lang w:val="en-US" w:eastAsia="zh-CN"/>
        </w:rPr>
      </w:pPr>
    </w:p>
    <w:p w14:paraId="335974EA" w14:textId="37EFAEF1" w:rsidR="00F63A9D" w:rsidRDefault="00F63A9D" w:rsidP="00F63A9D">
      <w:pPr>
        <w:pStyle w:val="Proposals"/>
        <w:rPr>
          <w:lang w:val="en-US" w:eastAsia="zh-CN"/>
        </w:rPr>
      </w:pPr>
      <w:r>
        <w:rPr>
          <w:lang w:val="en-US" w:eastAsia="zh-CN"/>
        </w:rPr>
        <w:t>UE only applies the configuration for secondary cell group (SCG) in the MDT triggers if it supports dual connectivity and is currently configured with a secondary cell group (SCG)</w:t>
      </w:r>
    </w:p>
    <w:p w14:paraId="5C44CFCC" w14:textId="5B8BE223" w:rsidR="009D45D7" w:rsidRDefault="009D45D7" w:rsidP="00F06021">
      <w:pPr>
        <w:rPr>
          <w:rFonts w:ascii="Arial" w:hAnsi="Arial"/>
          <w:b/>
          <w:lang w:val="en-US" w:eastAsia="zh-CN"/>
        </w:rPr>
      </w:pPr>
    </w:p>
    <w:p w14:paraId="65943C03" w14:textId="27D13B39" w:rsidR="0084067B" w:rsidRPr="0084067B" w:rsidRDefault="0084067B" w:rsidP="0084067B">
      <w:pPr>
        <w:pStyle w:val="Heading3"/>
        <w:numPr>
          <w:ilvl w:val="0"/>
          <w:numId w:val="27"/>
        </w:numPr>
        <w:rPr>
          <w:b/>
        </w:rPr>
      </w:pPr>
      <w:r w:rsidRPr="0084067B">
        <w:rPr>
          <w:b/>
        </w:rPr>
        <w:t>Configuration of MDT configuration to UE via MN, SN or both</w:t>
      </w:r>
    </w:p>
    <w:p w14:paraId="206F36C1" w14:textId="77777777" w:rsidR="0084067B" w:rsidRDefault="0084067B" w:rsidP="00F06021">
      <w:pPr>
        <w:rPr>
          <w:rFonts w:ascii="Arial" w:hAnsi="Arial"/>
          <w:b/>
          <w:lang w:val="en-US" w:eastAsia="zh-CN"/>
        </w:rPr>
      </w:pPr>
    </w:p>
    <w:p w14:paraId="2D3C56BC" w14:textId="6F30798F" w:rsidR="007A4D43" w:rsidRDefault="0084067B" w:rsidP="0084067B">
      <w:pPr>
        <w:rPr>
          <w:rFonts w:ascii="Arial" w:hAnsi="Arial"/>
          <w:lang w:val="en-US" w:eastAsia="zh-CN"/>
        </w:rPr>
      </w:pPr>
      <w:r>
        <w:rPr>
          <w:rFonts w:ascii="Arial" w:hAnsi="Arial"/>
          <w:lang w:val="en-US" w:eastAsia="zh-CN"/>
        </w:rPr>
        <w:t xml:space="preserve">The next important aspect is how the MDT configuration with DC consideration is send to the UE. </w:t>
      </w:r>
      <w:r w:rsidR="007A4D43">
        <w:rPr>
          <w:rFonts w:ascii="Arial" w:hAnsi="Arial"/>
          <w:lang w:val="en-US" w:eastAsia="zh-CN"/>
        </w:rPr>
        <w:t xml:space="preserve">Before assessing the configuration option for MDT in MR-DC scenarios, it is important to assess the measurement quantities currently available in MDT for both logged and immediate MDT as shown in Table.2 below. </w:t>
      </w:r>
    </w:p>
    <w:p w14:paraId="73E6DF25" w14:textId="7B0B8067" w:rsidR="007A4D43" w:rsidRDefault="007A4D43" w:rsidP="0084067B">
      <w:pPr>
        <w:rPr>
          <w:rFonts w:ascii="Arial" w:hAnsi="Arial"/>
          <w:lang w:val="en-US" w:eastAsia="zh-CN"/>
        </w:rPr>
      </w:pPr>
    </w:p>
    <w:p w14:paraId="0349FA44" w14:textId="0FD3E30A" w:rsidR="007A4D43" w:rsidRDefault="007A4D43" w:rsidP="0084067B">
      <w:pPr>
        <w:rPr>
          <w:rFonts w:ascii="Arial" w:hAnsi="Arial"/>
          <w:lang w:val="en-US" w:eastAsia="zh-CN"/>
        </w:rPr>
      </w:pPr>
      <w:r>
        <w:rPr>
          <w:rFonts w:ascii="Arial" w:hAnsi="Arial"/>
          <w:lang w:val="en-US" w:eastAsia="zh-CN"/>
        </w:rPr>
        <w:t xml:space="preserve">Logged MDT only involves UE specific </w:t>
      </w:r>
      <w:r w:rsidR="00780DAA">
        <w:rPr>
          <w:rFonts w:ascii="Arial" w:hAnsi="Arial"/>
          <w:lang w:val="en-US" w:eastAsia="zh-CN"/>
        </w:rPr>
        <w:t>measurements,</w:t>
      </w:r>
      <w:r>
        <w:rPr>
          <w:rFonts w:ascii="Arial" w:hAnsi="Arial"/>
          <w:lang w:val="en-US" w:eastAsia="zh-CN"/>
        </w:rPr>
        <w:t xml:space="preserve"> but Immediate MDT involves measurements from both UE and the RAN node, specifically measurements M4-M7 are specific</w:t>
      </w:r>
      <w:r w:rsidR="00C716FB">
        <w:rPr>
          <w:rFonts w:ascii="Arial" w:hAnsi="Arial"/>
          <w:lang w:val="en-US" w:eastAsia="zh-CN"/>
        </w:rPr>
        <w:t xml:space="preserve"> to RAN node</w:t>
      </w:r>
      <w:r>
        <w:rPr>
          <w:rFonts w:ascii="Arial" w:hAnsi="Arial"/>
          <w:lang w:val="en-US" w:eastAsia="zh-CN"/>
        </w:rPr>
        <w:t xml:space="preserve">. </w:t>
      </w:r>
    </w:p>
    <w:p w14:paraId="25C40B26" w14:textId="6CEC8A0B" w:rsidR="007A4D43" w:rsidRDefault="007A4D43" w:rsidP="0084067B">
      <w:pPr>
        <w:rPr>
          <w:rFonts w:ascii="Arial" w:hAnsi="Arial"/>
          <w:lang w:val="en-US" w:eastAsia="zh-CN"/>
        </w:rPr>
      </w:pPr>
    </w:p>
    <w:p w14:paraId="48263316" w14:textId="548EF63F" w:rsidR="007A4D43" w:rsidRDefault="007A4D43" w:rsidP="007A4D43">
      <w:pPr>
        <w:pStyle w:val="Observation"/>
        <w:rPr>
          <w:lang w:val="en-US"/>
        </w:rPr>
      </w:pPr>
      <w:bookmarkStart w:id="1" w:name="_Toc4686571"/>
      <w:r>
        <w:rPr>
          <w:lang w:val="en-US"/>
        </w:rPr>
        <w:t xml:space="preserve">Logged MDT only involves UE specific </w:t>
      </w:r>
      <w:r w:rsidR="00780DAA">
        <w:rPr>
          <w:lang w:val="en-US"/>
        </w:rPr>
        <w:t>measurements,</w:t>
      </w:r>
      <w:r>
        <w:rPr>
          <w:lang w:val="en-US"/>
        </w:rPr>
        <w:t xml:space="preserve"> but Immediate MDT involves measurements from both UE and the RAN node, specifically measurements M4-M7 are specific</w:t>
      </w:r>
      <w:r w:rsidR="00C716FB">
        <w:rPr>
          <w:lang w:val="en-US"/>
        </w:rPr>
        <w:t xml:space="preserve"> to RAN node</w:t>
      </w:r>
      <w:r>
        <w:rPr>
          <w:lang w:val="en-US"/>
        </w:rPr>
        <w:t>.</w:t>
      </w:r>
      <w:bookmarkEnd w:id="1"/>
      <w:r>
        <w:rPr>
          <w:lang w:val="en-US"/>
        </w:rPr>
        <w:t xml:space="preserve"> </w:t>
      </w:r>
    </w:p>
    <w:p w14:paraId="4978AEA6" w14:textId="77777777" w:rsidR="007A4D43" w:rsidRDefault="007A4D43" w:rsidP="0084067B">
      <w:pPr>
        <w:rPr>
          <w:rFonts w:ascii="Arial" w:hAnsi="Arial"/>
          <w:lang w:val="en-US" w:eastAsia="zh-CN"/>
        </w:rPr>
      </w:pPr>
    </w:p>
    <w:p w14:paraId="5EF734E6" w14:textId="2B570744" w:rsidR="0084067B" w:rsidRDefault="007A4D43" w:rsidP="0084067B">
      <w:pPr>
        <w:rPr>
          <w:rFonts w:ascii="Arial" w:hAnsi="Arial"/>
          <w:lang w:val="en-US" w:eastAsia="zh-CN"/>
        </w:rPr>
      </w:pPr>
      <w:r>
        <w:rPr>
          <w:rFonts w:ascii="Arial" w:hAnsi="Arial"/>
          <w:lang w:val="en-US" w:eastAsia="zh-CN"/>
        </w:rPr>
        <w:t xml:space="preserve">Thus, specifically for Immediate MDT in MR-DC, we need to configure both RAN nodes contribute towards calculating the MDT measurements. </w:t>
      </w:r>
    </w:p>
    <w:p w14:paraId="6D7E013E" w14:textId="1602A8B4" w:rsidR="007A4D43" w:rsidRDefault="007A4D43" w:rsidP="0084067B">
      <w:pPr>
        <w:rPr>
          <w:rFonts w:ascii="Arial" w:hAnsi="Arial"/>
          <w:lang w:val="en-US" w:eastAsia="zh-CN"/>
        </w:rPr>
      </w:pPr>
    </w:p>
    <w:p w14:paraId="7317F07D" w14:textId="5F0A1242" w:rsidR="007A4D43" w:rsidRDefault="007A4D43" w:rsidP="007A4D43">
      <w:pPr>
        <w:rPr>
          <w:rFonts w:ascii="Arial" w:hAnsi="Arial"/>
          <w:lang w:val="en-US" w:eastAsia="zh-CN"/>
        </w:rPr>
      </w:pPr>
      <w:r>
        <w:rPr>
          <w:rFonts w:ascii="Arial" w:hAnsi="Arial"/>
          <w:lang w:val="en-US" w:eastAsia="zh-CN"/>
        </w:rPr>
        <w:t xml:space="preserve">Now, if we consider the options available to configure the MDT </w:t>
      </w:r>
      <w:r w:rsidR="00532B67">
        <w:rPr>
          <w:rFonts w:ascii="Arial" w:hAnsi="Arial"/>
          <w:lang w:val="en-US" w:eastAsia="zh-CN"/>
        </w:rPr>
        <w:t>on UE in MR-DC scenarios, t</w:t>
      </w:r>
      <w:r>
        <w:rPr>
          <w:rFonts w:ascii="Arial" w:hAnsi="Arial"/>
          <w:lang w:val="en-US" w:eastAsia="zh-CN"/>
        </w:rPr>
        <w:t xml:space="preserve">here are multiple options available: </w:t>
      </w:r>
    </w:p>
    <w:p w14:paraId="7871E504" w14:textId="77777777" w:rsidR="007A4D43" w:rsidRDefault="007A4D43" w:rsidP="007A4D43">
      <w:pPr>
        <w:rPr>
          <w:rFonts w:ascii="Arial" w:hAnsi="Arial"/>
          <w:lang w:val="en-US" w:eastAsia="zh-CN"/>
        </w:rPr>
      </w:pPr>
    </w:p>
    <w:p w14:paraId="446BC32A" w14:textId="77777777" w:rsidR="007A4D43" w:rsidRPr="00716225" w:rsidRDefault="007A4D43" w:rsidP="007A4D43">
      <w:pPr>
        <w:pStyle w:val="ListParagraph"/>
        <w:numPr>
          <w:ilvl w:val="0"/>
          <w:numId w:val="24"/>
        </w:numPr>
        <w:rPr>
          <w:rFonts w:ascii="Arial" w:hAnsi="Arial"/>
          <w:lang w:val="en-US" w:eastAsia="zh-CN"/>
        </w:rPr>
      </w:pPr>
      <w:r w:rsidRPr="00716225">
        <w:rPr>
          <w:rFonts w:ascii="Arial" w:hAnsi="Arial"/>
          <w:lang w:val="en-US" w:eastAsia="zh-CN"/>
        </w:rPr>
        <w:t>MDT configuration is always provided by MN</w:t>
      </w:r>
    </w:p>
    <w:p w14:paraId="752AEDB5" w14:textId="77777777" w:rsidR="007A4D43" w:rsidRPr="00716225" w:rsidRDefault="007A4D43" w:rsidP="007A4D43">
      <w:pPr>
        <w:pStyle w:val="ListParagraph"/>
        <w:numPr>
          <w:ilvl w:val="0"/>
          <w:numId w:val="24"/>
        </w:numPr>
        <w:rPr>
          <w:rFonts w:ascii="Arial" w:hAnsi="Arial"/>
          <w:lang w:val="en-US" w:eastAsia="zh-CN"/>
        </w:rPr>
      </w:pPr>
      <w:r w:rsidRPr="00716225">
        <w:rPr>
          <w:rFonts w:ascii="Arial" w:hAnsi="Arial"/>
          <w:lang w:val="en-US" w:eastAsia="zh-CN"/>
        </w:rPr>
        <w:t>MDT configuration for MN is provided by MN and SN provides its respective configuration to the UE</w:t>
      </w:r>
    </w:p>
    <w:p w14:paraId="0AEE3597" w14:textId="77777777" w:rsidR="007A4D43" w:rsidRPr="00716225" w:rsidRDefault="007A4D43" w:rsidP="007A4D43">
      <w:pPr>
        <w:pStyle w:val="ListParagraph"/>
        <w:numPr>
          <w:ilvl w:val="0"/>
          <w:numId w:val="24"/>
        </w:numPr>
        <w:rPr>
          <w:rFonts w:ascii="Arial" w:hAnsi="Arial"/>
          <w:lang w:val="en-US" w:eastAsia="zh-CN"/>
        </w:rPr>
      </w:pPr>
      <w:r w:rsidRPr="00716225">
        <w:rPr>
          <w:rFonts w:ascii="Arial" w:hAnsi="Arial"/>
          <w:lang w:val="en-US" w:eastAsia="zh-CN"/>
        </w:rPr>
        <w:t>Flexible approach for MDT configuration in DC scenarios where SN can be configured to provide MDT configuration based on network preference</w:t>
      </w:r>
    </w:p>
    <w:p w14:paraId="7F0EBA8F" w14:textId="77777777" w:rsidR="007A4D43" w:rsidRDefault="007A4D43" w:rsidP="0084067B">
      <w:pPr>
        <w:rPr>
          <w:rFonts w:ascii="Arial" w:hAnsi="Arial"/>
          <w:lang w:val="en-US" w:eastAsia="zh-CN"/>
        </w:rPr>
      </w:pPr>
    </w:p>
    <w:p w14:paraId="70774E0A" w14:textId="77777777" w:rsidR="007A4D43" w:rsidRDefault="007A4D43" w:rsidP="0084067B">
      <w:pPr>
        <w:rPr>
          <w:rFonts w:ascii="Arial" w:hAnsi="Arial"/>
          <w:lang w:val="en-US" w:eastAsia="zh-CN"/>
        </w:rPr>
      </w:pPr>
    </w:p>
    <w:p w14:paraId="2385136A" w14:textId="77777777" w:rsidR="00532B67" w:rsidRDefault="0084067B" w:rsidP="0084067B">
      <w:pPr>
        <w:rPr>
          <w:rFonts w:ascii="Arial" w:hAnsi="Arial"/>
          <w:lang w:val="en-US" w:eastAsia="zh-CN"/>
        </w:rPr>
      </w:pPr>
      <w:r w:rsidRPr="000319D1">
        <w:rPr>
          <w:rFonts w:ascii="Arial" w:hAnsi="Arial"/>
          <w:lang w:val="en-US" w:eastAsia="zh-CN"/>
        </w:rPr>
        <w:t xml:space="preserve">The first option that </w:t>
      </w:r>
      <w:r>
        <w:rPr>
          <w:rFonts w:ascii="Arial" w:hAnsi="Arial"/>
          <w:lang w:val="en-US" w:eastAsia="zh-CN"/>
        </w:rPr>
        <w:t xml:space="preserve">the complete </w:t>
      </w:r>
      <w:r w:rsidRPr="000319D1">
        <w:rPr>
          <w:rFonts w:ascii="Arial" w:hAnsi="Arial"/>
          <w:lang w:val="en-US" w:eastAsia="zh-CN"/>
        </w:rPr>
        <w:t>MDT configuration</w:t>
      </w:r>
      <w:r>
        <w:rPr>
          <w:rFonts w:ascii="Arial" w:hAnsi="Arial"/>
          <w:lang w:val="en-US" w:eastAsia="zh-CN"/>
        </w:rPr>
        <w:t xml:space="preserve"> including dual connectivity aspect</w:t>
      </w:r>
      <w:r w:rsidRPr="000319D1">
        <w:rPr>
          <w:rFonts w:ascii="Arial" w:hAnsi="Arial"/>
          <w:lang w:val="en-US" w:eastAsia="zh-CN"/>
        </w:rPr>
        <w:t xml:space="preserve"> is always provided by MN</w:t>
      </w:r>
      <w:r>
        <w:rPr>
          <w:rFonts w:ascii="Arial" w:hAnsi="Arial"/>
          <w:lang w:val="en-US" w:eastAsia="zh-CN"/>
        </w:rPr>
        <w:t xml:space="preserve"> is the simplest approach since it avoids the complexity to coordinate between MN and SN on which node would configure the MDT configuration for SN</w:t>
      </w:r>
      <w:r w:rsidR="00532B67">
        <w:rPr>
          <w:rFonts w:ascii="Arial" w:hAnsi="Arial"/>
          <w:lang w:val="en-US" w:eastAsia="zh-CN"/>
        </w:rPr>
        <w:t xml:space="preserve"> towards the UE</w:t>
      </w:r>
      <w:r>
        <w:rPr>
          <w:rFonts w:ascii="Arial" w:hAnsi="Arial"/>
          <w:lang w:val="en-US" w:eastAsia="zh-CN"/>
        </w:rPr>
        <w:t xml:space="preserve">. </w:t>
      </w:r>
      <w:r w:rsidR="00532B67">
        <w:rPr>
          <w:rFonts w:ascii="Arial" w:hAnsi="Arial"/>
          <w:lang w:val="en-US" w:eastAsia="zh-CN"/>
        </w:rPr>
        <w:t xml:space="preserve">There are some potential issues in case of MN configuring reports for SN on UE including: </w:t>
      </w:r>
    </w:p>
    <w:p w14:paraId="0321569E" w14:textId="77777777" w:rsidR="00532B67" w:rsidRDefault="00532B67" w:rsidP="0084067B">
      <w:pPr>
        <w:rPr>
          <w:rFonts w:ascii="Arial" w:hAnsi="Arial"/>
          <w:lang w:val="en-US" w:eastAsia="zh-CN"/>
        </w:rPr>
      </w:pPr>
    </w:p>
    <w:p w14:paraId="4CB5317F" w14:textId="3104A5C5" w:rsidR="0084067B" w:rsidRPr="00532B67" w:rsidRDefault="0084067B" w:rsidP="00532B67">
      <w:pPr>
        <w:pStyle w:val="ListParagraph"/>
        <w:numPr>
          <w:ilvl w:val="0"/>
          <w:numId w:val="31"/>
        </w:numPr>
        <w:rPr>
          <w:rFonts w:ascii="Arial" w:hAnsi="Arial"/>
          <w:lang w:val="en-US" w:eastAsia="zh-CN"/>
        </w:rPr>
      </w:pPr>
      <w:r w:rsidRPr="00532B67">
        <w:rPr>
          <w:rFonts w:ascii="Arial" w:hAnsi="Arial"/>
          <w:lang w:val="en-US" w:eastAsia="zh-CN"/>
        </w:rPr>
        <w:lastRenderedPageBreak/>
        <w:t xml:space="preserve">MN needs to provide MDT configuration for SN, potentially on another RAT, </w:t>
      </w:r>
      <w:proofErr w:type="spellStart"/>
      <w:r w:rsidRPr="00532B67">
        <w:rPr>
          <w:rFonts w:ascii="Arial" w:hAnsi="Arial"/>
          <w:lang w:val="en-US" w:eastAsia="zh-CN"/>
        </w:rPr>
        <w:t>i.e</w:t>
      </w:r>
      <w:proofErr w:type="spellEnd"/>
      <w:r w:rsidRPr="00532B67">
        <w:rPr>
          <w:rFonts w:ascii="Arial" w:hAnsi="Arial"/>
          <w:lang w:val="en-US" w:eastAsia="zh-CN"/>
        </w:rPr>
        <w:t xml:space="preserve"> NE-DC or EN-DC scenarios. The trigger conditions and the configuration parameters could be different in this case which needs to be supported by MN. </w:t>
      </w:r>
    </w:p>
    <w:p w14:paraId="18A4F26D" w14:textId="2F26F81A" w:rsidR="00532B67" w:rsidRDefault="00532B67" w:rsidP="00532B67">
      <w:pPr>
        <w:pStyle w:val="ListParagraph"/>
        <w:numPr>
          <w:ilvl w:val="0"/>
          <w:numId w:val="31"/>
        </w:numPr>
        <w:rPr>
          <w:rFonts w:ascii="Arial" w:hAnsi="Arial"/>
          <w:lang w:val="en-US" w:eastAsia="zh-CN"/>
        </w:rPr>
      </w:pPr>
      <w:r w:rsidRPr="00532B67">
        <w:rPr>
          <w:rFonts w:ascii="Arial" w:hAnsi="Arial"/>
          <w:lang w:val="en-US" w:eastAsia="zh-CN"/>
        </w:rPr>
        <w:t xml:space="preserve">In case of SN terminated bearer, SRB is terminated directly on the SN so in this case, the measurements M4-M7 needs to be specifically measured at SN since the PDCP for SN is separate from MN. </w:t>
      </w:r>
      <w:r w:rsidR="006A0FB9">
        <w:rPr>
          <w:rFonts w:ascii="Arial" w:hAnsi="Arial"/>
          <w:lang w:val="en-US" w:eastAsia="zh-CN"/>
        </w:rPr>
        <w:t xml:space="preserve">If the SN need to report these measurements to MN always, it involves extra overhead in MN-SN signaling and coordination. It might be applicable in split bearer scenario that part of M4-M7 can be measured in the MN since the PDCP is located in MN but then we need to have a separate implementation for both split bearer and SN terminated bearer. </w:t>
      </w:r>
    </w:p>
    <w:p w14:paraId="42108CDE" w14:textId="0515BAAB" w:rsidR="006A0FB9" w:rsidRDefault="006A0FB9" w:rsidP="006A0FB9">
      <w:pPr>
        <w:ind w:left="360"/>
        <w:rPr>
          <w:rFonts w:ascii="Arial" w:hAnsi="Arial"/>
          <w:lang w:val="en-US" w:eastAsia="zh-CN"/>
        </w:rPr>
      </w:pPr>
    </w:p>
    <w:p w14:paraId="2DA6E752" w14:textId="77777777" w:rsidR="006A0FB9" w:rsidRPr="006A0FB9" w:rsidRDefault="006A0FB9" w:rsidP="006A0FB9">
      <w:pPr>
        <w:ind w:left="360"/>
        <w:rPr>
          <w:rFonts w:ascii="Arial" w:hAnsi="Arial"/>
          <w:lang w:val="en-US" w:eastAsia="zh-CN"/>
        </w:rPr>
      </w:pPr>
    </w:p>
    <w:p w14:paraId="5E38BC16" w14:textId="77777777" w:rsidR="0084067B" w:rsidRDefault="0084067B" w:rsidP="0084067B">
      <w:pPr>
        <w:rPr>
          <w:rFonts w:ascii="Arial" w:hAnsi="Arial"/>
          <w:lang w:val="en-US" w:eastAsia="zh-CN"/>
        </w:rPr>
      </w:pPr>
    </w:p>
    <w:p w14:paraId="419487DC" w14:textId="77777777" w:rsidR="0084067B" w:rsidRDefault="0084067B" w:rsidP="0084067B">
      <w:pPr>
        <w:pStyle w:val="Observation"/>
        <w:rPr>
          <w:lang w:val="en-US"/>
        </w:rPr>
      </w:pPr>
      <w:bookmarkStart w:id="2" w:name="_Toc4686572"/>
      <w:r>
        <w:rPr>
          <w:lang w:val="en-US"/>
        </w:rPr>
        <w:t xml:space="preserve">If </w:t>
      </w:r>
      <w:r w:rsidRPr="000B0E5D">
        <w:rPr>
          <w:lang w:val="en-US"/>
        </w:rPr>
        <w:t>MDT configuration is always provided by MN</w:t>
      </w:r>
      <w:r>
        <w:rPr>
          <w:lang w:val="en-US"/>
        </w:rPr>
        <w:t>, there is no coordination requirement between MN and SN regarding which node would configure the MDT configuration for SN.</w:t>
      </w:r>
      <w:bookmarkEnd w:id="2"/>
    </w:p>
    <w:p w14:paraId="17DB4A7E" w14:textId="77777777" w:rsidR="006A0FB9" w:rsidRDefault="0084067B" w:rsidP="0084067B">
      <w:pPr>
        <w:pStyle w:val="Observation"/>
        <w:rPr>
          <w:lang w:val="en-US"/>
        </w:rPr>
      </w:pPr>
      <w:bookmarkStart w:id="3" w:name="_Toc4686573"/>
      <w:r>
        <w:rPr>
          <w:lang w:val="en-US"/>
        </w:rPr>
        <w:t xml:space="preserve">If </w:t>
      </w:r>
      <w:r w:rsidRPr="000B0E5D">
        <w:rPr>
          <w:lang w:val="en-US"/>
        </w:rPr>
        <w:t>MDT configuration is always provided by MN</w:t>
      </w:r>
      <w:r>
        <w:rPr>
          <w:lang w:val="en-US"/>
        </w:rPr>
        <w:t>,</w:t>
      </w:r>
      <w:bookmarkEnd w:id="3"/>
      <w:r>
        <w:rPr>
          <w:lang w:val="en-US"/>
        </w:rPr>
        <w:t xml:space="preserve"> </w:t>
      </w:r>
    </w:p>
    <w:p w14:paraId="7A2CE407" w14:textId="5736FFA6" w:rsidR="0084067B" w:rsidRDefault="0084067B" w:rsidP="006A0FB9">
      <w:pPr>
        <w:pStyle w:val="Observation"/>
        <w:numPr>
          <w:ilvl w:val="0"/>
          <w:numId w:val="32"/>
        </w:numPr>
        <w:rPr>
          <w:lang w:val="en-US" w:eastAsia="zh-CN"/>
        </w:rPr>
      </w:pPr>
      <w:bookmarkStart w:id="4" w:name="_Toc4686574"/>
      <w:r>
        <w:rPr>
          <w:lang w:val="en-US" w:eastAsia="zh-CN"/>
        </w:rPr>
        <w:t>MN needs to provide MDT configuration for the SN, potentially on another RAT</w:t>
      </w:r>
      <w:bookmarkEnd w:id="4"/>
    </w:p>
    <w:p w14:paraId="1A81036E" w14:textId="77777777" w:rsidR="006A0FB9" w:rsidRDefault="006A0FB9" w:rsidP="006A0FB9">
      <w:pPr>
        <w:pStyle w:val="Observation"/>
        <w:numPr>
          <w:ilvl w:val="0"/>
          <w:numId w:val="32"/>
        </w:numPr>
        <w:rPr>
          <w:lang w:val="en-US" w:eastAsia="zh-CN"/>
        </w:rPr>
      </w:pPr>
      <w:bookmarkStart w:id="5" w:name="_Toc4686575"/>
      <w:r w:rsidRPr="00532B67">
        <w:rPr>
          <w:lang w:val="en-US" w:eastAsia="zh-CN"/>
        </w:rPr>
        <w:t>In case of SN terminated bearer, SRB is terminated directly on the SN so in this case, the measurements M4-M7 needs to be specifically measured at SN since the PDCP for SN is separate from MN.</w:t>
      </w:r>
      <w:bookmarkEnd w:id="5"/>
    </w:p>
    <w:p w14:paraId="1D67E174" w14:textId="749BDD2D" w:rsidR="006A0FB9" w:rsidRPr="006A0FB9" w:rsidRDefault="006A0FB9" w:rsidP="006A0FB9">
      <w:pPr>
        <w:pStyle w:val="Observation"/>
        <w:numPr>
          <w:ilvl w:val="0"/>
          <w:numId w:val="32"/>
        </w:numPr>
        <w:rPr>
          <w:lang w:val="en-US" w:eastAsia="zh-CN"/>
        </w:rPr>
      </w:pPr>
      <w:bookmarkStart w:id="6" w:name="_Toc4686576"/>
      <w:r w:rsidRPr="006A0FB9">
        <w:rPr>
          <w:lang w:val="en-US" w:eastAsia="zh-CN"/>
        </w:rPr>
        <w:t>Requires a separate implementation for both split bearer and SN terminated bearer.</w:t>
      </w:r>
      <w:bookmarkEnd w:id="6"/>
      <w:r w:rsidRPr="006A0FB9">
        <w:rPr>
          <w:lang w:val="en-US" w:eastAsia="zh-CN"/>
        </w:rPr>
        <w:t xml:space="preserve"> </w:t>
      </w:r>
    </w:p>
    <w:p w14:paraId="2734C9F8" w14:textId="77777777" w:rsidR="0084067B" w:rsidRDefault="0084067B" w:rsidP="0084067B">
      <w:pPr>
        <w:rPr>
          <w:rFonts w:ascii="Arial" w:hAnsi="Arial"/>
          <w:lang w:val="en-US" w:eastAsia="zh-CN"/>
        </w:rPr>
      </w:pPr>
    </w:p>
    <w:p w14:paraId="2F34F873" w14:textId="09391EB0" w:rsidR="0084067B" w:rsidRDefault="0084067B" w:rsidP="0084067B">
      <w:pPr>
        <w:rPr>
          <w:rFonts w:ascii="Arial" w:hAnsi="Arial"/>
          <w:lang w:val="en-US" w:eastAsia="zh-CN"/>
        </w:rPr>
      </w:pPr>
      <w:r>
        <w:rPr>
          <w:rFonts w:ascii="Arial" w:hAnsi="Arial"/>
          <w:lang w:val="en-US" w:eastAsia="zh-CN"/>
        </w:rPr>
        <w:t>The second and third option provides more flexibility</w:t>
      </w:r>
      <w:r w:rsidR="00532B67">
        <w:rPr>
          <w:rFonts w:ascii="Arial" w:hAnsi="Arial"/>
          <w:lang w:val="en-US" w:eastAsia="zh-CN"/>
        </w:rPr>
        <w:t xml:space="preserve"> in terms of MN and SN coordination and also cover the scenario of SN terminated bearer measurements. In this case, MN and SN can perform MDT measurements independently</w:t>
      </w:r>
      <w:r>
        <w:rPr>
          <w:rFonts w:ascii="Arial" w:hAnsi="Arial"/>
          <w:lang w:val="en-US" w:eastAsia="zh-CN"/>
        </w:rPr>
        <w:t xml:space="preserve"> but at the cost of more complexity in terms of MN-SN coordination for MDT configuration and also sharing SN MDT reports with MN. </w:t>
      </w:r>
    </w:p>
    <w:p w14:paraId="1E2C26F3" w14:textId="77777777" w:rsidR="0084067B" w:rsidRDefault="0084067B" w:rsidP="0084067B">
      <w:pPr>
        <w:rPr>
          <w:rFonts w:ascii="Arial" w:hAnsi="Arial"/>
          <w:lang w:val="en-US" w:eastAsia="zh-CN"/>
        </w:rPr>
      </w:pPr>
    </w:p>
    <w:p w14:paraId="1EDF0395" w14:textId="54A811B0" w:rsidR="0084067B" w:rsidRDefault="0084067B" w:rsidP="0084067B">
      <w:pPr>
        <w:pStyle w:val="Observation"/>
        <w:rPr>
          <w:lang w:val="en-US"/>
        </w:rPr>
      </w:pPr>
      <w:bookmarkStart w:id="7" w:name="_Toc4686577"/>
      <w:r>
        <w:rPr>
          <w:lang w:val="en-US"/>
        </w:rPr>
        <w:t xml:space="preserve">MDT configuration by both MN and SN </w:t>
      </w:r>
      <w:r w:rsidR="006A0FB9">
        <w:rPr>
          <w:lang w:val="en-US"/>
        </w:rPr>
        <w:t>covers both the split bearer and SN terminated bearer scenario and also</w:t>
      </w:r>
      <w:r w:rsidR="001619EB">
        <w:rPr>
          <w:lang w:val="en-US"/>
        </w:rPr>
        <w:t xml:space="preserve"> provides</w:t>
      </w:r>
      <w:r w:rsidR="006A0FB9">
        <w:rPr>
          <w:lang w:val="en-US"/>
        </w:rPr>
        <w:t xml:space="preserve"> more flexibility to independently configure MDT reports for MN and SN.</w:t>
      </w:r>
      <w:bookmarkEnd w:id="7"/>
    </w:p>
    <w:p w14:paraId="6C9933A8" w14:textId="57CA656C" w:rsidR="0084067B" w:rsidRDefault="0084067B" w:rsidP="0084067B">
      <w:pPr>
        <w:rPr>
          <w:rFonts w:ascii="Arial" w:hAnsi="Arial"/>
          <w:lang w:val="en-US" w:eastAsia="zh-CN"/>
        </w:rPr>
      </w:pPr>
    </w:p>
    <w:p w14:paraId="0AA1D25B" w14:textId="17396F51" w:rsidR="008A7376" w:rsidRDefault="008A7376" w:rsidP="0084067B">
      <w:pPr>
        <w:rPr>
          <w:rFonts w:ascii="Arial" w:hAnsi="Arial"/>
          <w:lang w:val="en-US" w:eastAsia="zh-CN"/>
        </w:rPr>
      </w:pPr>
      <w:r>
        <w:rPr>
          <w:rFonts w:ascii="Arial" w:hAnsi="Arial"/>
          <w:lang w:val="en-US" w:eastAsia="zh-CN"/>
        </w:rPr>
        <w:t>In case of only MN providing configuration for both MN and SN, MN needs to coordinate with SN for collecting measurements M4-M7 in case of SN terminated bearer</w:t>
      </w:r>
      <w:r w:rsidR="00592904">
        <w:rPr>
          <w:rFonts w:ascii="Arial" w:hAnsi="Arial"/>
          <w:lang w:val="en-US" w:eastAsia="zh-CN"/>
        </w:rPr>
        <w:t xml:space="preserve"> while it would receive the measurements M1, M2, M3m M8 and M9 directly from the UE</w:t>
      </w:r>
      <w:r>
        <w:rPr>
          <w:rFonts w:ascii="Arial" w:hAnsi="Arial"/>
          <w:lang w:val="en-US" w:eastAsia="zh-CN"/>
        </w:rPr>
        <w:t xml:space="preserve">. This would extra complexity </w:t>
      </w:r>
      <w:r w:rsidR="00592904">
        <w:rPr>
          <w:rFonts w:ascii="Arial" w:hAnsi="Arial"/>
          <w:lang w:val="en-US" w:eastAsia="zh-CN"/>
        </w:rPr>
        <w:t xml:space="preserve">since depending on if it is split bearer or SN terminated bearer, MN needs to collect different measurements from SN and then merge it into measurements received for SN from UE. </w:t>
      </w:r>
    </w:p>
    <w:p w14:paraId="117045B4" w14:textId="1B2EC49D" w:rsidR="00592904" w:rsidRDefault="00592904" w:rsidP="0084067B">
      <w:pPr>
        <w:rPr>
          <w:rFonts w:ascii="Arial" w:hAnsi="Arial"/>
          <w:lang w:val="en-US" w:eastAsia="zh-CN"/>
        </w:rPr>
      </w:pPr>
    </w:p>
    <w:p w14:paraId="713A9342" w14:textId="4FE113E3" w:rsidR="00592904" w:rsidRDefault="00592904" w:rsidP="00592904">
      <w:pPr>
        <w:pStyle w:val="Observation"/>
        <w:rPr>
          <w:lang w:val="en-US"/>
        </w:rPr>
      </w:pPr>
      <w:bookmarkStart w:id="8" w:name="_Toc4686578"/>
      <w:r>
        <w:rPr>
          <w:lang w:val="en-US"/>
        </w:rPr>
        <w:t>In case of SN terminated bearer with MN only configuring MDT, MN needs to collect multiple MDT measurements from SN and then merge it into measurements received for SN from UE to generate the complete SN report.</w:t>
      </w:r>
      <w:bookmarkEnd w:id="8"/>
      <w:r>
        <w:rPr>
          <w:lang w:val="en-US"/>
        </w:rPr>
        <w:t xml:space="preserve"> </w:t>
      </w:r>
    </w:p>
    <w:p w14:paraId="6C3973AE" w14:textId="77777777" w:rsidR="00592904" w:rsidRDefault="00592904" w:rsidP="0084067B">
      <w:pPr>
        <w:rPr>
          <w:rFonts w:ascii="Arial" w:hAnsi="Arial"/>
          <w:lang w:val="en-US" w:eastAsia="zh-CN"/>
        </w:rPr>
      </w:pPr>
    </w:p>
    <w:p w14:paraId="597AB15E" w14:textId="5550F4C5" w:rsidR="008A7376" w:rsidRDefault="00592904" w:rsidP="0084067B">
      <w:pPr>
        <w:rPr>
          <w:rFonts w:ascii="Arial" w:hAnsi="Arial"/>
          <w:lang w:val="en-US" w:eastAsia="zh-CN"/>
        </w:rPr>
      </w:pPr>
      <w:r>
        <w:rPr>
          <w:rFonts w:ascii="Arial" w:hAnsi="Arial"/>
          <w:lang w:val="en-US" w:eastAsia="zh-CN"/>
        </w:rPr>
        <w:lastRenderedPageBreak/>
        <w:t xml:space="preserve">Thus, only MN configuring MDT configuring for SN would involve significant coordination effort between MN and SN for MDT reports along with the complexity to merge the MDT measurements for SN from UE. </w:t>
      </w:r>
    </w:p>
    <w:p w14:paraId="2A0BC4FA" w14:textId="41A99266" w:rsidR="00592904" w:rsidRDefault="00592904" w:rsidP="0084067B">
      <w:pPr>
        <w:rPr>
          <w:rFonts w:ascii="Arial" w:hAnsi="Arial"/>
          <w:lang w:val="en-US" w:eastAsia="zh-CN"/>
        </w:rPr>
      </w:pPr>
    </w:p>
    <w:p w14:paraId="21622866" w14:textId="4DB4A69F" w:rsidR="00540D06" w:rsidRDefault="00540D06" w:rsidP="0084067B">
      <w:pPr>
        <w:rPr>
          <w:rFonts w:ascii="Arial" w:hAnsi="Arial"/>
          <w:lang w:val="en-US" w:eastAsia="zh-CN"/>
        </w:rPr>
      </w:pPr>
    </w:p>
    <w:p w14:paraId="26690C3D" w14:textId="7B59F9A6" w:rsidR="00540D06" w:rsidRDefault="00540D06" w:rsidP="0084067B">
      <w:pPr>
        <w:rPr>
          <w:rFonts w:ascii="Arial" w:hAnsi="Arial"/>
          <w:lang w:val="en-US" w:eastAsia="zh-CN"/>
        </w:rPr>
      </w:pPr>
      <w:r>
        <w:rPr>
          <w:rFonts w:ascii="Arial" w:hAnsi="Arial"/>
          <w:lang w:val="en-US" w:eastAsia="zh-CN"/>
        </w:rPr>
        <w:t xml:space="preserve">In case, only MN receive the MDT trigger and the UE is configured with MR-DC, MN should be able to forward the MDT configuration to SN. </w:t>
      </w:r>
    </w:p>
    <w:p w14:paraId="45CB5B20" w14:textId="03B424EA" w:rsidR="00540D06" w:rsidRDefault="00540D06" w:rsidP="0084067B">
      <w:pPr>
        <w:rPr>
          <w:rFonts w:ascii="Arial" w:hAnsi="Arial"/>
          <w:lang w:val="en-US" w:eastAsia="zh-CN"/>
        </w:rPr>
      </w:pPr>
    </w:p>
    <w:p w14:paraId="5346ED00" w14:textId="3E913263" w:rsidR="00540D06" w:rsidRPr="00A80B59" w:rsidRDefault="00540D06" w:rsidP="0084067B">
      <w:pPr>
        <w:pStyle w:val="Proposals"/>
        <w:rPr>
          <w:lang w:val="en-US" w:eastAsia="zh-CN"/>
        </w:rPr>
      </w:pPr>
      <w:r>
        <w:rPr>
          <w:lang w:val="en-US" w:eastAsia="zh-CN"/>
        </w:rPr>
        <w:t>In case</w:t>
      </w:r>
      <w:r w:rsidR="00A80B59">
        <w:rPr>
          <w:lang w:val="en-US" w:eastAsia="zh-CN"/>
        </w:rPr>
        <w:t xml:space="preserve"> </w:t>
      </w:r>
      <w:r>
        <w:rPr>
          <w:rFonts w:ascii="Arial" w:hAnsi="Arial"/>
          <w:lang w:val="en-US" w:eastAsia="zh-CN"/>
        </w:rPr>
        <w:t>only MN receive the MDT trigger and the UE is configured with MR-DC, MN should be able to forward the MDT configuration to SN.</w:t>
      </w:r>
    </w:p>
    <w:p w14:paraId="6A3B2DD3" w14:textId="77777777" w:rsidR="00540D06" w:rsidRDefault="00540D06" w:rsidP="0084067B">
      <w:pPr>
        <w:rPr>
          <w:rFonts w:ascii="Arial" w:hAnsi="Arial"/>
          <w:lang w:val="en-US" w:eastAsia="zh-CN"/>
        </w:rPr>
      </w:pPr>
    </w:p>
    <w:p w14:paraId="14116A25" w14:textId="5F023DEE" w:rsidR="0084067B" w:rsidRPr="0084067B" w:rsidRDefault="0084067B" w:rsidP="0084067B">
      <w:pPr>
        <w:pStyle w:val="Heading3"/>
        <w:numPr>
          <w:ilvl w:val="0"/>
          <w:numId w:val="27"/>
        </w:numPr>
        <w:rPr>
          <w:b/>
        </w:rPr>
      </w:pPr>
      <w:r w:rsidRPr="0084067B">
        <w:rPr>
          <w:b/>
        </w:rPr>
        <w:t>Trigger type support in MDT for MR-DC</w:t>
      </w:r>
    </w:p>
    <w:p w14:paraId="718AAAF9" w14:textId="77777777" w:rsidR="0084067B" w:rsidRDefault="0084067B" w:rsidP="0084067B">
      <w:pPr>
        <w:rPr>
          <w:rFonts w:ascii="Arial" w:hAnsi="Arial"/>
          <w:lang w:val="en-US" w:eastAsia="zh-CN"/>
        </w:rPr>
      </w:pPr>
    </w:p>
    <w:p w14:paraId="4CD26034" w14:textId="77777777" w:rsidR="007A4D43" w:rsidRDefault="0084067B" w:rsidP="0084067B">
      <w:pPr>
        <w:rPr>
          <w:rFonts w:ascii="Arial" w:hAnsi="Arial"/>
          <w:lang w:val="en-US" w:eastAsia="zh-CN"/>
        </w:rPr>
      </w:pPr>
      <w:r>
        <w:rPr>
          <w:rFonts w:ascii="Arial" w:hAnsi="Arial"/>
          <w:lang w:val="en-US" w:eastAsia="zh-CN"/>
        </w:rPr>
        <w:t xml:space="preserve">Another aspect to consider is the support for SN related measurements during logged </w:t>
      </w:r>
      <w:r w:rsidRPr="00540826">
        <w:rPr>
          <w:rFonts w:ascii="Arial" w:hAnsi="Arial"/>
          <w:lang w:val="en-US" w:eastAsia="zh-CN"/>
        </w:rPr>
        <w:t xml:space="preserve">measurements. </w:t>
      </w:r>
      <w:r w:rsidR="007A4D43">
        <w:rPr>
          <w:rFonts w:ascii="Arial" w:hAnsi="Arial"/>
          <w:lang w:val="en-US" w:eastAsia="zh-CN"/>
        </w:rPr>
        <w:t xml:space="preserve">First a brief overview of the types of MDT based on RRC state. </w:t>
      </w:r>
    </w:p>
    <w:p w14:paraId="43A37064" w14:textId="701B84BE" w:rsidR="007A4D43" w:rsidRDefault="007A4D43" w:rsidP="0084067B">
      <w:pPr>
        <w:rPr>
          <w:rFonts w:ascii="Arial" w:hAnsi="Arial"/>
          <w:lang w:val="en-US" w:eastAsia="zh-CN"/>
        </w:rPr>
      </w:pPr>
    </w:p>
    <w:p w14:paraId="62525E75" w14:textId="77777777" w:rsidR="007A4D43" w:rsidRPr="0042563F" w:rsidRDefault="007A4D43" w:rsidP="007A4D43">
      <w:pPr>
        <w:pStyle w:val="Heading2"/>
        <w:rPr>
          <w:b/>
          <w:sz w:val="22"/>
          <w:szCs w:val="22"/>
        </w:rPr>
      </w:pPr>
      <w:r w:rsidRPr="0042563F">
        <w:rPr>
          <w:b/>
          <w:sz w:val="22"/>
          <w:szCs w:val="22"/>
        </w:rPr>
        <w:t xml:space="preserve">MDT types based on RRC states: Logged MDT and Immediate MDT </w:t>
      </w:r>
    </w:p>
    <w:p w14:paraId="0CFE92D6" w14:textId="77777777" w:rsidR="007A4D43" w:rsidRDefault="007A4D43" w:rsidP="007A4D43">
      <w:pPr>
        <w:rPr>
          <w:rFonts w:ascii="Arial" w:hAnsi="Arial"/>
          <w:lang w:val="en-US" w:eastAsia="zh-CN"/>
        </w:rPr>
      </w:pPr>
      <w:r>
        <w:rPr>
          <w:rFonts w:ascii="Arial" w:hAnsi="Arial"/>
          <w:lang w:val="en-US" w:eastAsia="zh-CN"/>
        </w:rPr>
        <w:t xml:space="preserve">In general, there are two types of MDT measurement logging, i.e., Logged MDT and Immediate MDT. </w:t>
      </w:r>
    </w:p>
    <w:p w14:paraId="1D53D78A" w14:textId="77777777" w:rsidR="007A4D43" w:rsidRPr="00136B0B" w:rsidRDefault="007A4D43" w:rsidP="007A4D43">
      <w:pPr>
        <w:pStyle w:val="Heading2"/>
        <w:rPr>
          <w:b/>
          <w:sz w:val="22"/>
          <w:szCs w:val="22"/>
        </w:rPr>
      </w:pPr>
      <w:r>
        <w:rPr>
          <w:b/>
          <w:sz w:val="22"/>
          <w:szCs w:val="22"/>
        </w:rPr>
        <w:t xml:space="preserve">2.3 </w:t>
      </w:r>
      <w:r w:rsidRPr="00136B0B">
        <w:rPr>
          <w:b/>
          <w:sz w:val="22"/>
          <w:szCs w:val="22"/>
        </w:rPr>
        <w:t>Logged MDT</w:t>
      </w:r>
    </w:p>
    <w:p w14:paraId="34807AA9" w14:textId="77777777" w:rsidR="007A4D43" w:rsidRDefault="007A4D43" w:rsidP="007A4D43">
      <w:pPr>
        <w:rPr>
          <w:rFonts w:ascii="Arial" w:hAnsi="Arial"/>
          <w:lang w:val="en-US" w:eastAsia="zh-CN"/>
        </w:rPr>
      </w:pPr>
      <w:r>
        <w:rPr>
          <w:rFonts w:ascii="Arial" w:hAnsi="Arial"/>
          <w:lang w:val="en-US" w:eastAsia="zh-CN"/>
        </w:rPr>
        <w:t xml:space="preserve">A UE is configured to perform periodical MDT logging during RRC_IDLE state after receiving the MDT configurations from the network. The UE shall report the DL pilot strength measurements (RSRP/RSRQ) together with time information, detailed location information if available, and WLAN, Bluetooth to the network using the UE information framework when it moves back to RRC_CONNECTED state. The DL pilot strength measurement of Logged MDT is collected based on the existing measurements required for cell reselection purpose, without imposing UE to perform additional measurements. </w:t>
      </w:r>
    </w:p>
    <w:p w14:paraId="3FEE81B5" w14:textId="77777777" w:rsidR="007A4D43" w:rsidRDefault="007A4D43" w:rsidP="007A4D43">
      <w:pPr>
        <w:rPr>
          <w:rFonts w:ascii="Arial" w:hAnsi="Arial"/>
          <w:lang w:val="en-US" w:eastAsia="zh-CN"/>
        </w:rPr>
      </w:pPr>
    </w:p>
    <w:p w14:paraId="3BF2CE34" w14:textId="77777777" w:rsidR="007A4D43" w:rsidRDefault="007A4D43" w:rsidP="007A4D43">
      <w:pPr>
        <w:jc w:val="center"/>
        <w:rPr>
          <w:rFonts w:ascii="Arial" w:hAnsi="Arial"/>
          <w:lang w:val="en-US" w:eastAsia="zh-CN"/>
        </w:rPr>
      </w:pPr>
      <w:r>
        <w:rPr>
          <w:rFonts w:ascii="Arial" w:hAnsi="Arial"/>
          <w:lang w:val="en-US" w:eastAsia="zh-CN"/>
        </w:rPr>
        <w:t>Table 1. The measurement logging for Logged MDT</w:t>
      </w:r>
    </w:p>
    <w:tbl>
      <w:tblPr>
        <w:tblStyle w:val="TableGrid"/>
        <w:tblW w:w="0" w:type="auto"/>
        <w:tblLook w:val="0420" w:firstRow="1" w:lastRow="0" w:firstColumn="0" w:lastColumn="0" w:noHBand="0" w:noVBand="1"/>
      </w:tblPr>
      <w:tblGrid>
        <w:gridCol w:w="1029"/>
        <w:gridCol w:w="1141"/>
        <w:gridCol w:w="7459"/>
      </w:tblGrid>
      <w:tr w:rsidR="007A4D43" w:rsidRPr="00961C82" w14:paraId="3E914F56" w14:textId="77777777" w:rsidTr="008378A1">
        <w:trPr>
          <w:trHeight w:val="636"/>
        </w:trPr>
        <w:tc>
          <w:tcPr>
            <w:tcW w:w="0" w:type="auto"/>
            <w:hideMark/>
          </w:tcPr>
          <w:p w14:paraId="6CDD655F" w14:textId="77777777" w:rsidR="007A4D43" w:rsidRPr="00356967" w:rsidRDefault="007A4D43" w:rsidP="008378A1">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MDT mode</w:t>
            </w:r>
          </w:p>
        </w:tc>
        <w:tc>
          <w:tcPr>
            <w:tcW w:w="0" w:type="auto"/>
            <w:hideMark/>
          </w:tcPr>
          <w:p w14:paraId="0486EE78" w14:textId="77777777" w:rsidR="007A4D43" w:rsidRPr="00356967" w:rsidRDefault="007A4D43" w:rsidP="008378A1">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RRC states</w:t>
            </w:r>
          </w:p>
        </w:tc>
        <w:tc>
          <w:tcPr>
            <w:tcW w:w="0" w:type="auto"/>
            <w:hideMark/>
          </w:tcPr>
          <w:p w14:paraId="477715EF" w14:textId="77777777" w:rsidR="007A4D43" w:rsidRPr="00356967" w:rsidRDefault="007A4D43" w:rsidP="008378A1">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 xml:space="preserve">Measurement </w:t>
            </w:r>
            <w:r w:rsidRPr="00356967">
              <w:rPr>
                <w:rFonts w:ascii="Arial" w:eastAsia="Times New Roman" w:hAnsi="Arial" w:cs="Arial"/>
                <w:b/>
                <w:bCs/>
                <w:kern w:val="24"/>
                <w:sz w:val="18"/>
                <w:szCs w:val="36"/>
                <w:lang w:val="en-GB" w:eastAsia="sv-SE"/>
              </w:rPr>
              <w:t>quantities</w:t>
            </w:r>
          </w:p>
        </w:tc>
      </w:tr>
      <w:tr w:rsidR="007A4D43" w:rsidRPr="00B43F64" w14:paraId="296DB392" w14:textId="77777777" w:rsidTr="008378A1">
        <w:trPr>
          <w:trHeight w:val="636"/>
        </w:trPr>
        <w:tc>
          <w:tcPr>
            <w:tcW w:w="0" w:type="auto"/>
            <w:hideMark/>
          </w:tcPr>
          <w:p w14:paraId="679D6417" w14:textId="77777777" w:rsidR="007A4D43" w:rsidRPr="00356967" w:rsidRDefault="007A4D43" w:rsidP="008378A1">
            <w:pPr>
              <w:rPr>
                <w:rFonts w:ascii="Arial" w:eastAsia="Times New Roman" w:hAnsi="Arial" w:cs="Arial"/>
                <w:sz w:val="18"/>
                <w:szCs w:val="36"/>
                <w:lang w:eastAsia="sv-SE"/>
              </w:rPr>
            </w:pPr>
            <w:r w:rsidRPr="00356967">
              <w:rPr>
                <w:rFonts w:ascii="Arial" w:eastAsia="Times New Roman" w:hAnsi="Arial" w:cs="Arial"/>
                <w:color w:val="000000" w:themeColor="dark1"/>
                <w:kern w:val="24"/>
                <w:sz w:val="18"/>
                <w:szCs w:val="36"/>
                <w:lang w:val="en-US" w:eastAsia="sv-SE"/>
              </w:rPr>
              <w:t>Logged MDT</w:t>
            </w:r>
          </w:p>
        </w:tc>
        <w:tc>
          <w:tcPr>
            <w:tcW w:w="0" w:type="auto"/>
            <w:hideMark/>
          </w:tcPr>
          <w:p w14:paraId="1C15BBFF" w14:textId="77777777" w:rsidR="007A4D43" w:rsidRPr="00356967" w:rsidRDefault="007A4D43" w:rsidP="008378A1">
            <w:pPr>
              <w:rPr>
                <w:rFonts w:ascii="Arial" w:eastAsia="Times New Roman" w:hAnsi="Arial" w:cs="Arial"/>
                <w:sz w:val="18"/>
                <w:szCs w:val="36"/>
                <w:lang w:eastAsia="sv-SE"/>
              </w:rPr>
            </w:pPr>
            <w:r w:rsidRPr="00356967">
              <w:rPr>
                <w:rFonts w:ascii="Arial" w:eastAsia="Times New Roman" w:hAnsi="Arial" w:cs="Arial"/>
                <w:color w:val="000000" w:themeColor="dark1"/>
                <w:kern w:val="24"/>
                <w:sz w:val="18"/>
                <w:szCs w:val="36"/>
                <w:lang w:val="en-US" w:eastAsia="sv-SE"/>
              </w:rPr>
              <w:t>RRC_IDLE</w:t>
            </w:r>
          </w:p>
        </w:tc>
        <w:tc>
          <w:tcPr>
            <w:tcW w:w="0" w:type="auto"/>
            <w:hideMark/>
          </w:tcPr>
          <w:p w14:paraId="08D9DFDC" w14:textId="77777777" w:rsidR="007A4D43" w:rsidRPr="00356967" w:rsidRDefault="007A4D43" w:rsidP="008378A1">
            <w:pPr>
              <w:rPr>
                <w:rFonts w:ascii="Arial" w:eastAsia="Times New Roman" w:hAnsi="Arial" w:cs="Arial"/>
                <w:color w:val="000000" w:themeColor="dark1"/>
                <w:kern w:val="24"/>
                <w:sz w:val="18"/>
                <w:szCs w:val="32"/>
                <w:lang w:val="en-GB" w:eastAsia="sv-SE"/>
              </w:rPr>
            </w:pPr>
            <w:r w:rsidRPr="00356967">
              <w:rPr>
                <w:rFonts w:ascii="Arial" w:eastAsia="Times New Roman" w:hAnsi="Arial" w:cs="Arial"/>
                <w:color w:val="000000" w:themeColor="dark1"/>
                <w:kern w:val="24"/>
                <w:sz w:val="18"/>
                <w:szCs w:val="32"/>
                <w:lang w:val="en-GB" w:eastAsia="sv-SE"/>
              </w:rPr>
              <w:t>RSRP and RSRQ of the serving cell and available UE measurements for intra-frequency/inter-frequency/inter-RAT, time stamp and detailed location information if available.</w:t>
            </w:r>
          </w:p>
        </w:tc>
      </w:tr>
    </w:tbl>
    <w:p w14:paraId="0D2D6BF3" w14:textId="77777777" w:rsidR="007A4D43" w:rsidRDefault="007A4D43" w:rsidP="007A4D43">
      <w:pPr>
        <w:pStyle w:val="Heading2"/>
        <w:rPr>
          <w:b/>
          <w:sz w:val="22"/>
          <w:szCs w:val="22"/>
        </w:rPr>
      </w:pPr>
    </w:p>
    <w:p w14:paraId="3F34F1BC" w14:textId="27D0B7F1" w:rsidR="007A4D43" w:rsidRPr="00136B0B" w:rsidRDefault="007A4D43" w:rsidP="007A4D43">
      <w:pPr>
        <w:pStyle w:val="Heading2"/>
        <w:rPr>
          <w:b/>
          <w:sz w:val="22"/>
          <w:szCs w:val="22"/>
        </w:rPr>
      </w:pPr>
      <w:r>
        <w:rPr>
          <w:b/>
          <w:sz w:val="22"/>
          <w:szCs w:val="22"/>
        </w:rPr>
        <w:t xml:space="preserve">2.4 </w:t>
      </w:r>
      <w:r w:rsidRPr="00136B0B">
        <w:rPr>
          <w:b/>
          <w:sz w:val="22"/>
          <w:szCs w:val="22"/>
        </w:rPr>
        <w:t>Immediate MDT</w:t>
      </w:r>
    </w:p>
    <w:p w14:paraId="6D2A862C" w14:textId="77777777" w:rsidR="007A4D43" w:rsidRDefault="007A4D43" w:rsidP="007A4D43">
      <w:pPr>
        <w:rPr>
          <w:rFonts w:ascii="Arial" w:hAnsi="Arial"/>
          <w:lang w:val="en-US" w:eastAsia="zh-CN"/>
        </w:rPr>
      </w:pPr>
      <w:r>
        <w:rPr>
          <w:rFonts w:ascii="Arial" w:hAnsi="Arial"/>
          <w:lang w:val="en-US" w:eastAsia="zh-CN"/>
        </w:rPr>
        <w:t xml:space="preserve">Measurements for Immediate MDT purpose can be performed by </w:t>
      </w:r>
      <w:r w:rsidRPr="002C5E37">
        <w:rPr>
          <w:rFonts w:ascii="Arial" w:hAnsi="Arial"/>
          <w:lang w:val="en-US" w:eastAsia="zh-CN"/>
        </w:rPr>
        <w:t xml:space="preserve">RAN </w:t>
      </w:r>
      <w:r>
        <w:rPr>
          <w:rFonts w:ascii="Arial" w:hAnsi="Arial"/>
          <w:lang w:val="en-US" w:eastAsia="zh-CN"/>
        </w:rPr>
        <w:t>and UE. There are a number of measurements (M1-M9 defined in TS 37.320</w:t>
      </w:r>
      <w:r w:rsidRPr="00A62D9F">
        <w:rPr>
          <w:rFonts w:ascii="Arial" w:hAnsi="Arial"/>
          <w:lang w:val="en-US" w:eastAsia="zh-CN"/>
        </w:rPr>
        <w:t xml:space="preserve"> </w:t>
      </w:r>
      <w:r w:rsidRPr="00A62D9F">
        <w:rPr>
          <w:rFonts w:ascii="Arial" w:hAnsi="Arial"/>
          <w:lang w:val="en-US" w:eastAsia="zh-CN"/>
        </w:rPr>
        <w:fldChar w:fldCharType="begin"/>
      </w:r>
      <w:r w:rsidRPr="00A62D9F">
        <w:rPr>
          <w:rFonts w:ascii="Arial" w:hAnsi="Arial"/>
          <w:lang w:val="en-US" w:eastAsia="zh-CN"/>
        </w:rPr>
        <w:instrText xml:space="preserve"> REF _Ref1049183 \r \h </w:instrText>
      </w:r>
      <w:r>
        <w:rPr>
          <w:rFonts w:ascii="Arial" w:hAnsi="Arial"/>
          <w:lang w:val="en-US" w:eastAsia="zh-CN"/>
        </w:rPr>
        <w:instrText xml:space="preserve"> \* MERGEFORMAT </w:instrText>
      </w:r>
      <w:r w:rsidRPr="00A62D9F">
        <w:rPr>
          <w:rFonts w:ascii="Arial" w:hAnsi="Arial"/>
          <w:lang w:val="en-US" w:eastAsia="zh-CN"/>
        </w:rPr>
      </w:r>
      <w:r w:rsidRPr="00A62D9F">
        <w:rPr>
          <w:rFonts w:ascii="Arial" w:hAnsi="Arial"/>
          <w:lang w:val="en-US" w:eastAsia="zh-CN"/>
        </w:rPr>
        <w:fldChar w:fldCharType="separate"/>
      </w:r>
      <w:r w:rsidRPr="00A62D9F">
        <w:rPr>
          <w:rFonts w:ascii="Arial" w:hAnsi="Arial"/>
          <w:lang w:val="en-US" w:eastAsia="zh-CN"/>
        </w:rPr>
        <w:t>[2]</w:t>
      </w:r>
      <w:r w:rsidRPr="00A62D9F">
        <w:rPr>
          <w:rFonts w:ascii="Arial" w:hAnsi="Arial"/>
          <w:lang w:val="en-US" w:eastAsia="zh-CN"/>
        </w:rPr>
        <w:fldChar w:fldCharType="end"/>
      </w:r>
      <w:r>
        <w:rPr>
          <w:rFonts w:ascii="Arial" w:hAnsi="Arial"/>
          <w:lang w:val="en-US" w:eastAsia="zh-CN"/>
        </w:rPr>
        <w:t>) which are specified for RAN measurements and UE measurements.  F</w:t>
      </w:r>
      <w:r w:rsidRPr="002C5E37">
        <w:rPr>
          <w:rFonts w:ascii="Arial" w:hAnsi="Arial"/>
          <w:lang w:val="en-US" w:eastAsia="zh-CN"/>
        </w:rPr>
        <w:t>or UE measurements</w:t>
      </w:r>
      <w:r>
        <w:rPr>
          <w:rFonts w:ascii="Arial" w:hAnsi="Arial"/>
          <w:lang w:val="en-US" w:eastAsia="zh-CN"/>
        </w:rPr>
        <w:t>, t</w:t>
      </w:r>
      <w:r w:rsidRPr="002C5E37">
        <w:rPr>
          <w:rFonts w:ascii="Arial" w:hAnsi="Arial"/>
          <w:lang w:val="en-US" w:eastAsia="zh-CN"/>
        </w:rPr>
        <w:t xml:space="preserve">he </w:t>
      </w:r>
      <w:r>
        <w:rPr>
          <w:rFonts w:ascii="Arial" w:hAnsi="Arial"/>
          <w:lang w:val="en-US" w:eastAsia="zh-CN"/>
        </w:rPr>
        <w:t xml:space="preserve">MDT </w:t>
      </w:r>
      <w:r w:rsidRPr="002C5E37">
        <w:rPr>
          <w:rFonts w:ascii="Arial" w:hAnsi="Arial"/>
          <w:lang w:val="en-US" w:eastAsia="zh-CN"/>
        </w:rPr>
        <w:t>configuration is based on the existing RRC measurement procedures for configuration and reporting with some extensions for location information</w:t>
      </w:r>
      <w:r>
        <w:rPr>
          <w:rFonts w:ascii="Arial" w:hAnsi="Arial"/>
          <w:lang w:val="en-US" w:eastAsia="zh-CN"/>
        </w:rPr>
        <w:t>.</w:t>
      </w:r>
    </w:p>
    <w:p w14:paraId="136A2DC3" w14:textId="77777777" w:rsidR="007A4D43" w:rsidRDefault="007A4D43" w:rsidP="007A4D43">
      <w:pPr>
        <w:rPr>
          <w:rFonts w:ascii="Arial" w:hAnsi="Arial"/>
          <w:lang w:val="en-US" w:eastAsia="zh-CN"/>
        </w:rPr>
      </w:pPr>
    </w:p>
    <w:p w14:paraId="6B6A5B58" w14:textId="0B89B7DD" w:rsidR="007A4D43" w:rsidRDefault="007A4D43" w:rsidP="007A4D43">
      <w:pPr>
        <w:rPr>
          <w:rFonts w:ascii="Arial" w:hAnsi="Arial"/>
          <w:lang w:val="en-US" w:eastAsia="zh-CN"/>
        </w:rPr>
      </w:pPr>
      <w:r>
        <w:rPr>
          <w:rFonts w:ascii="Arial" w:hAnsi="Arial"/>
          <w:lang w:val="en-US" w:eastAsia="zh-CN"/>
        </w:rPr>
        <w:t>The measurement quantities for Immediate MDT are shown in the table below.</w:t>
      </w:r>
    </w:p>
    <w:p w14:paraId="3D5F5F1E" w14:textId="77777777" w:rsidR="00780DAA" w:rsidRDefault="00780DAA" w:rsidP="007A4D43">
      <w:pPr>
        <w:rPr>
          <w:rFonts w:ascii="Arial" w:hAnsi="Arial"/>
          <w:lang w:val="en-US" w:eastAsia="zh-CN"/>
        </w:rPr>
      </w:pPr>
    </w:p>
    <w:p w14:paraId="6A3F2013" w14:textId="77777777" w:rsidR="007A4D43" w:rsidRDefault="007A4D43" w:rsidP="007A4D43">
      <w:pPr>
        <w:rPr>
          <w:rFonts w:ascii="Arial" w:hAnsi="Arial"/>
          <w:lang w:val="en-US" w:eastAsia="zh-CN"/>
        </w:rPr>
      </w:pPr>
    </w:p>
    <w:p w14:paraId="12BE6254" w14:textId="77777777" w:rsidR="007A4D43" w:rsidRDefault="007A4D43" w:rsidP="007A4D43">
      <w:pPr>
        <w:jc w:val="center"/>
        <w:rPr>
          <w:rFonts w:ascii="Arial" w:hAnsi="Arial"/>
          <w:lang w:val="en-US" w:eastAsia="zh-CN"/>
        </w:rPr>
      </w:pPr>
      <w:r>
        <w:rPr>
          <w:rFonts w:ascii="Arial" w:hAnsi="Arial"/>
          <w:lang w:val="en-US" w:eastAsia="zh-CN"/>
        </w:rPr>
        <w:lastRenderedPageBreak/>
        <w:t>Table 2. The measurement quantities for Immediate MDT</w:t>
      </w:r>
    </w:p>
    <w:tbl>
      <w:tblPr>
        <w:tblStyle w:val="TableGrid"/>
        <w:tblW w:w="0" w:type="auto"/>
        <w:tblLook w:val="0420" w:firstRow="1" w:lastRow="0" w:firstColumn="0" w:lastColumn="0" w:noHBand="0" w:noVBand="1"/>
      </w:tblPr>
      <w:tblGrid>
        <w:gridCol w:w="1255"/>
        <w:gridCol w:w="1847"/>
        <w:gridCol w:w="6527"/>
      </w:tblGrid>
      <w:tr w:rsidR="007A4D43" w:rsidRPr="00961C82" w14:paraId="6A6F4A90" w14:textId="77777777" w:rsidTr="008378A1">
        <w:trPr>
          <w:trHeight w:val="636"/>
        </w:trPr>
        <w:tc>
          <w:tcPr>
            <w:tcW w:w="0" w:type="auto"/>
            <w:hideMark/>
          </w:tcPr>
          <w:p w14:paraId="2CCEF9CC" w14:textId="77777777" w:rsidR="007A4D43" w:rsidRPr="00CC0591" w:rsidRDefault="007A4D43" w:rsidP="008378A1">
            <w:pPr>
              <w:rPr>
                <w:rFonts w:ascii="Arial" w:eastAsia="Times New Roman" w:hAnsi="Arial" w:cs="Arial"/>
                <w:sz w:val="18"/>
                <w:szCs w:val="36"/>
                <w:lang w:eastAsia="sv-SE"/>
              </w:rPr>
            </w:pPr>
            <w:r w:rsidRPr="00CC0591">
              <w:rPr>
                <w:rFonts w:ascii="Arial" w:eastAsia="Times New Roman" w:hAnsi="Arial" w:cs="Arial"/>
                <w:b/>
                <w:bCs/>
                <w:kern w:val="24"/>
                <w:sz w:val="18"/>
                <w:szCs w:val="36"/>
                <w:lang w:val="en-US" w:eastAsia="sv-SE"/>
              </w:rPr>
              <w:t>MDT mode</w:t>
            </w:r>
          </w:p>
        </w:tc>
        <w:tc>
          <w:tcPr>
            <w:tcW w:w="0" w:type="auto"/>
            <w:hideMark/>
          </w:tcPr>
          <w:p w14:paraId="1B51D350" w14:textId="77777777" w:rsidR="007A4D43" w:rsidRPr="00CC0591" w:rsidRDefault="007A4D43" w:rsidP="008378A1">
            <w:pPr>
              <w:rPr>
                <w:rFonts w:ascii="Arial" w:eastAsia="Times New Roman" w:hAnsi="Arial" w:cs="Arial"/>
                <w:sz w:val="18"/>
                <w:szCs w:val="36"/>
                <w:lang w:eastAsia="sv-SE"/>
              </w:rPr>
            </w:pPr>
            <w:r w:rsidRPr="00CC0591">
              <w:rPr>
                <w:rFonts w:ascii="Arial" w:eastAsia="Times New Roman" w:hAnsi="Arial" w:cs="Arial"/>
                <w:b/>
                <w:bCs/>
                <w:kern w:val="24"/>
                <w:sz w:val="18"/>
                <w:szCs w:val="36"/>
                <w:lang w:val="en-US" w:eastAsia="sv-SE"/>
              </w:rPr>
              <w:t>RRC states</w:t>
            </w:r>
          </w:p>
        </w:tc>
        <w:tc>
          <w:tcPr>
            <w:tcW w:w="0" w:type="auto"/>
            <w:hideMark/>
          </w:tcPr>
          <w:p w14:paraId="2D24737D" w14:textId="77777777" w:rsidR="007A4D43" w:rsidRPr="00CC0591" w:rsidRDefault="007A4D43" w:rsidP="008378A1">
            <w:pPr>
              <w:rPr>
                <w:rFonts w:ascii="Arial" w:eastAsia="Times New Roman" w:hAnsi="Arial" w:cs="Arial"/>
                <w:sz w:val="18"/>
                <w:szCs w:val="36"/>
                <w:lang w:eastAsia="sv-SE"/>
              </w:rPr>
            </w:pPr>
            <w:r w:rsidRPr="00CC0591">
              <w:rPr>
                <w:rFonts w:ascii="Arial" w:eastAsia="Times New Roman" w:hAnsi="Arial" w:cs="Arial"/>
                <w:b/>
                <w:bCs/>
                <w:kern w:val="24"/>
                <w:sz w:val="18"/>
                <w:szCs w:val="36"/>
                <w:lang w:val="en-US" w:eastAsia="sv-SE"/>
              </w:rPr>
              <w:t xml:space="preserve">Measurement </w:t>
            </w:r>
            <w:r w:rsidRPr="00CC0591">
              <w:rPr>
                <w:rFonts w:ascii="Arial" w:eastAsia="Times New Roman" w:hAnsi="Arial" w:cs="Arial"/>
                <w:b/>
                <w:bCs/>
                <w:kern w:val="24"/>
                <w:sz w:val="18"/>
                <w:szCs w:val="36"/>
                <w:lang w:val="en-GB" w:eastAsia="sv-SE"/>
              </w:rPr>
              <w:t>quantities</w:t>
            </w:r>
          </w:p>
        </w:tc>
      </w:tr>
      <w:tr w:rsidR="007A4D43" w:rsidRPr="00B43F64" w14:paraId="7FFB68AB" w14:textId="77777777" w:rsidTr="008378A1">
        <w:trPr>
          <w:trHeight w:val="1124"/>
        </w:trPr>
        <w:tc>
          <w:tcPr>
            <w:tcW w:w="0" w:type="auto"/>
            <w:hideMark/>
          </w:tcPr>
          <w:p w14:paraId="4A8C7371" w14:textId="77777777" w:rsidR="007A4D43" w:rsidRPr="00CC0591" w:rsidRDefault="007A4D43" w:rsidP="008378A1">
            <w:pPr>
              <w:rPr>
                <w:rFonts w:ascii="Arial" w:eastAsia="Times New Roman" w:hAnsi="Arial" w:cs="Arial"/>
                <w:sz w:val="18"/>
                <w:szCs w:val="36"/>
                <w:lang w:eastAsia="sv-SE"/>
              </w:rPr>
            </w:pPr>
            <w:r w:rsidRPr="00CC0591">
              <w:rPr>
                <w:rFonts w:ascii="Arial" w:eastAsia="Times New Roman" w:hAnsi="Arial" w:cs="Arial"/>
                <w:color w:val="000000" w:themeColor="dark1"/>
                <w:kern w:val="24"/>
                <w:sz w:val="18"/>
                <w:szCs w:val="36"/>
                <w:lang w:val="en-US" w:eastAsia="sv-SE"/>
              </w:rPr>
              <w:t>Immediate MDT</w:t>
            </w:r>
          </w:p>
        </w:tc>
        <w:tc>
          <w:tcPr>
            <w:tcW w:w="0" w:type="auto"/>
            <w:hideMark/>
          </w:tcPr>
          <w:p w14:paraId="09359CEE" w14:textId="77777777" w:rsidR="007A4D43" w:rsidRPr="00CC0591" w:rsidRDefault="007A4D43" w:rsidP="008378A1">
            <w:pPr>
              <w:rPr>
                <w:rFonts w:ascii="Arial" w:eastAsia="Times New Roman" w:hAnsi="Arial" w:cs="Arial"/>
                <w:sz w:val="18"/>
                <w:szCs w:val="36"/>
                <w:lang w:eastAsia="sv-SE"/>
              </w:rPr>
            </w:pPr>
            <w:r w:rsidRPr="00CC0591">
              <w:rPr>
                <w:rFonts w:ascii="Arial" w:eastAsia="Times New Roman" w:hAnsi="Arial" w:cs="Arial"/>
                <w:color w:val="000000" w:themeColor="dark1"/>
                <w:kern w:val="24"/>
                <w:sz w:val="18"/>
                <w:szCs w:val="36"/>
                <w:lang w:val="en-US" w:eastAsia="sv-SE"/>
              </w:rPr>
              <w:t>RRC_CONNECTED</w:t>
            </w:r>
          </w:p>
        </w:tc>
        <w:tc>
          <w:tcPr>
            <w:tcW w:w="0" w:type="auto"/>
            <w:hideMark/>
          </w:tcPr>
          <w:p w14:paraId="68D218FF" w14:textId="77777777" w:rsidR="007A4D43" w:rsidRPr="00CC0591" w:rsidRDefault="007A4D43" w:rsidP="008378A1">
            <w:pPr>
              <w:rPr>
                <w:rFonts w:ascii="Arial" w:eastAsia="Times New Roman" w:hAnsi="Arial" w:cs="Arial"/>
                <w:color w:val="000000" w:themeColor="dark1"/>
                <w:kern w:val="24"/>
                <w:sz w:val="18"/>
                <w:szCs w:val="28"/>
                <w:lang w:val="en-GB" w:eastAsia="sv-SE"/>
              </w:rPr>
            </w:pPr>
            <w:r w:rsidRPr="00CC0591">
              <w:rPr>
                <w:rFonts w:ascii="Arial" w:eastAsia="Times New Roman" w:hAnsi="Arial" w:cs="Arial"/>
                <w:b/>
                <w:bCs/>
                <w:color w:val="000000" w:themeColor="dark1"/>
                <w:kern w:val="24"/>
                <w:sz w:val="18"/>
                <w:szCs w:val="28"/>
                <w:lang w:val="en-GB" w:eastAsia="sv-SE"/>
              </w:rPr>
              <w:t>M1</w:t>
            </w:r>
            <w:r w:rsidRPr="00CC0591">
              <w:rPr>
                <w:rFonts w:ascii="Arial" w:eastAsia="Times New Roman" w:hAnsi="Arial" w:cs="Arial"/>
                <w:color w:val="000000" w:themeColor="dark1"/>
                <w:kern w:val="24"/>
                <w:sz w:val="18"/>
                <w:szCs w:val="28"/>
                <w:lang w:val="en-GB" w:eastAsia="sv-SE"/>
              </w:rPr>
              <w:t>: RSRP and RSRQ measurement by UE.</w:t>
            </w:r>
          </w:p>
          <w:p w14:paraId="5F15D3DD" w14:textId="77777777" w:rsidR="007A4D43" w:rsidRPr="00CC0591" w:rsidRDefault="007A4D43" w:rsidP="008378A1">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M2</w:t>
            </w:r>
            <w:r w:rsidRPr="00CC0591">
              <w:rPr>
                <w:rFonts w:ascii="Arial" w:eastAsia="Times New Roman" w:hAnsi="Arial" w:cs="Arial"/>
                <w:color w:val="000000" w:themeColor="dark1"/>
                <w:kern w:val="24"/>
                <w:sz w:val="18"/>
                <w:szCs w:val="28"/>
                <w:lang w:val="en-GB" w:eastAsia="sv-SE"/>
              </w:rPr>
              <w:t>: Power Headroom measurement by UE.</w:t>
            </w:r>
          </w:p>
          <w:p w14:paraId="636DAE55" w14:textId="77777777" w:rsidR="007A4D43" w:rsidRPr="00CC0591" w:rsidRDefault="007A4D43" w:rsidP="008378A1">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M3</w:t>
            </w:r>
            <w:r w:rsidRPr="00CC0591">
              <w:rPr>
                <w:rFonts w:ascii="Arial" w:eastAsia="Times New Roman" w:hAnsi="Arial" w:cs="Arial"/>
                <w:color w:val="000000" w:themeColor="dark1"/>
                <w:kern w:val="24"/>
                <w:sz w:val="18"/>
                <w:szCs w:val="28"/>
                <w:lang w:val="en-GB" w:eastAsia="sv-SE"/>
              </w:rPr>
              <w:t xml:space="preserve">: Received Interference Power measurement by </w:t>
            </w:r>
            <w:proofErr w:type="spellStart"/>
            <w:r w:rsidRPr="00CC0591">
              <w:rPr>
                <w:rFonts w:ascii="Arial" w:eastAsia="Times New Roman" w:hAnsi="Arial" w:cs="Arial"/>
                <w:color w:val="000000" w:themeColor="dark1"/>
                <w:kern w:val="24"/>
                <w:sz w:val="18"/>
                <w:szCs w:val="28"/>
                <w:lang w:val="en-GB" w:eastAsia="sv-SE"/>
              </w:rPr>
              <w:t>eNB</w:t>
            </w:r>
            <w:proofErr w:type="spellEnd"/>
            <w:r w:rsidRPr="00CC0591">
              <w:rPr>
                <w:rFonts w:ascii="Arial" w:eastAsia="Times New Roman" w:hAnsi="Arial" w:cs="Arial"/>
                <w:color w:val="000000" w:themeColor="dark1"/>
                <w:kern w:val="24"/>
                <w:sz w:val="18"/>
                <w:szCs w:val="28"/>
                <w:lang w:val="en-GB" w:eastAsia="sv-SE"/>
              </w:rPr>
              <w:t>.</w:t>
            </w:r>
          </w:p>
          <w:p w14:paraId="01C5E60C" w14:textId="77777777" w:rsidR="007A4D43" w:rsidRPr="00CC0591" w:rsidRDefault="007A4D43" w:rsidP="008378A1">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M4</w:t>
            </w:r>
            <w:r w:rsidRPr="00CC0591">
              <w:rPr>
                <w:rFonts w:ascii="Arial" w:eastAsia="Times New Roman" w:hAnsi="Arial" w:cs="Arial"/>
                <w:color w:val="000000" w:themeColor="dark1"/>
                <w:kern w:val="24"/>
                <w:sz w:val="18"/>
                <w:szCs w:val="28"/>
                <w:lang w:val="en-GB" w:eastAsia="sv-SE"/>
              </w:rPr>
              <w:t xml:space="preserve">: Data Volume measurement separately for DL and UL, per QCI per UE, by </w:t>
            </w:r>
            <w:proofErr w:type="spellStart"/>
            <w:r w:rsidRPr="00CC0591">
              <w:rPr>
                <w:rFonts w:ascii="Arial" w:eastAsia="Times New Roman" w:hAnsi="Arial" w:cs="Arial"/>
                <w:color w:val="000000" w:themeColor="dark1"/>
                <w:kern w:val="24"/>
                <w:sz w:val="18"/>
                <w:szCs w:val="28"/>
                <w:lang w:val="en-GB" w:eastAsia="sv-SE"/>
              </w:rPr>
              <w:t>eNB</w:t>
            </w:r>
            <w:proofErr w:type="spellEnd"/>
            <w:r w:rsidRPr="00CC0591">
              <w:rPr>
                <w:rFonts w:ascii="Arial" w:eastAsia="Times New Roman" w:hAnsi="Arial" w:cs="Arial"/>
                <w:color w:val="000000" w:themeColor="dark1"/>
                <w:kern w:val="24"/>
                <w:sz w:val="18"/>
                <w:szCs w:val="28"/>
                <w:lang w:val="en-GB" w:eastAsia="sv-SE"/>
              </w:rPr>
              <w:t>.</w:t>
            </w:r>
          </w:p>
          <w:p w14:paraId="201714CE" w14:textId="77777777" w:rsidR="007A4D43" w:rsidRPr="00CC0591" w:rsidRDefault="007A4D43" w:rsidP="008378A1">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M5</w:t>
            </w:r>
            <w:r w:rsidRPr="00CC0591">
              <w:rPr>
                <w:rFonts w:ascii="Arial" w:eastAsia="Times New Roman" w:hAnsi="Arial" w:cs="Arial"/>
                <w:color w:val="000000" w:themeColor="dark1"/>
                <w:kern w:val="24"/>
                <w:sz w:val="18"/>
                <w:szCs w:val="28"/>
                <w:lang w:val="en-GB" w:eastAsia="sv-SE"/>
              </w:rPr>
              <w:t xml:space="preserve">: Scheduled IP Throughput for MDT measurement separately for DL and UL, per RAB per UE and per UE for the DL, per UE for the UL, by </w:t>
            </w:r>
            <w:proofErr w:type="spellStart"/>
            <w:r w:rsidRPr="00CC0591">
              <w:rPr>
                <w:rFonts w:ascii="Arial" w:eastAsia="Times New Roman" w:hAnsi="Arial" w:cs="Arial"/>
                <w:color w:val="000000" w:themeColor="dark1"/>
                <w:kern w:val="24"/>
                <w:sz w:val="18"/>
                <w:szCs w:val="28"/>
                <w:lang w:val="en-GB" w:eastAsia="sv-SE"/>
              </w:rPr>
              <w:t>eNB</w:t>
            </w:r>
            <w:proofErr w:type="spellEnd"/>
            <w:r w:rsidRPr="00CC0591">
              <w:rPr>
                <w:rFonts w:ascii="Arial" w:eastAsia="Times New Roman" w:hAnsi="Arial" w:cs="Arial"/>
                <w:color w:val="000000" w:themeColor="dark1"/>
                <w:kern w:val="24"/>
                <w:sz w:val="18"/>
                <w:szCs w:val="28"/>
                <w:lang w:val="en-GB" w:eastAsia="sv-SE"/>
              </w:rPr>
              <w:t>.</w:t>
            </w:r>
          </w:p>
          <w:p w14:paraId="3085F064" w14:textId="77777777" w:rsidR="007A4D43" w:rsidRPr="00CC0591" w:rsidRDefault="007A4D43" w:rsidP="008378A1">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M6</w:t>
            </w:r>
            <w:r w:rsidRPr="00CC0591">
              <w:rPr>
                <w:rFonts w:ascii="Arial" w:eastAsia="Times New Roman" w:hAnsi="Arial" w:cs="Arial"/>
                <w:color w:val="000000" w:themeColor="dark1"/>
                <w:kern w:val="24"/>
                <w:sz w:val="18"/>
                <w:szCs w:val="28"/>
                <w:lang w:val="en-GB" w:eastAsia="sv-SE"/>
              </w:rPr>
              <w:t xml:space="preserve">: Packet Delay measurement, separately for DL and UL, per QCI per UE, see UL PDCP Delay, by the UE, and Packet Delay in the DL per QCI, by the </w:t>
            </w:r>
            <w:proofErr w:type="spellStart"/>
            <w:r w:rsidRPr="00CC0591">
              <w:rPr>
                <w:rFonts w:ascii="Arial" w:eastAsia="Times New Roman" w:hAnsi="Arial" w:cs="Arial"/>
                <w:color w:val="000000" w:themeColor="dark1"/>
                <w:kern w:val="24"/>
                <w:sz w:val="18"/>
                <w:szCs w:val="28"/>
                <w:lang w:val="en-GB" w:eastAsia="sv-SE"/>
              </w:rPr>
              <w:t>eNB</w:t>
            </w:r>
            <w:proofErr w:type="spellEnd"/>
            <w:r w:rsidRPr="00CC0591">
              <w:rPr>
                <w:rFonts w:ascii="Arial" w:eastAsia="Times New Roman" w:hAnsi="Arial" w:cs="Arial"/>
                <w:color w:val="000000" w:themeColor="dark1"/>
                <w:kern w:val="24"/>
                <w:sz w:val="18"/>
                <w:szCs w:val="28"/>
                <w:lang w:val="en-GB" w:eastAsia="sv-SE"/>
              </w:rPr>
              <w:t>.</w:t>
            </w:r>
          </w:p>
          <w:p w14:paraId="1D63F6BC" w14:textId="77777777" w:rsidR="007A4D43" w:rsidRPr="00CC0591" w:rsidRDefault="007A4D43" w:rsidP="008378A1">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M7</w:t>
            </w:r>
            <w:r w:rsidRPr="00CC0591">
              <w:rPr>
                <w:rFonts w:ascii="Arial" w:eastAsia="Times New Roman" w:hAnsi="Arial" w:cs="Arial"/>
                <w:color w:val="000000" w:themeColor="dark1"/>
                <w:kern w:val="24"/>
                <w:sz w:val="18"/>
                <w:szCs w:val="28"/>
                <w:lang w:val="en-GB" w:eastAsia="sv-SE"/>
              </w:rPr>
              <w:t xml:space="preserve">: Packet Loss rate measurement, separately for DL and UL per QCI per UE, by the </w:t>
            </w:r>
            <w:proofErr w:type="spellStart"/>
            <w:r w:rsidRPr="00CC0591">
              <w:rPr>
                <w:rFonts w:ascii="Arial" w:eastAsia="Times New Roman" w:hAnsi="Arial" w:cs="Arial"/>
                <w:color w:val="000000" w:themeColor="dark1"/>
                <w:kern w:val="24"/>
                <w:sz w:val="18"/>
                <w:szCs w:val="28"/>
                <w:lang w:val="en-GB" w:eastAsia="sv-SE"/>
              </w:rPr>
              <w:t>eNB</w:t>
            </w:r>
            <w:proofErr w:type="spellEnd"/>
            <w:r w:rsidRPr="00CC0591">
              <w:rPr>
                <w:rFonts w:ascii="Arial" w:eastAsia="Times New Roman" w:hAnsi="Arial" w:cs="Arial"/>
                <w:color w:val="000000" w:themeColor="dark1"/>
                <w:kern w:val="24"/>
                <w:sz w:val="18"/>
                <w:szCs w:val="28"/>
                <w:lang w:val="en-GB" w:eastAsia="sv-SE"/>
              </w:rPr>
              <w:t>.</w:t>
            </w:r>
          </w:p>
          <w:p w14:paraId="1EFD4BF0" w14:textId="77777777" w:rsidR="007A4D43" w:rsidRPr="00CC0591" w:rsidRDefault="007A4D43" w:rsidP="008378A1">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M8</w:t>
            </w:r>
            <w:r w:rsidRPr="00CC0591">
              <w:rPr>
                <w:rFonts w:ascii="Arial" w:eastAsia="Times New Roman" w:hAnsi="Arial" w:cs="Arial"/>
                <w:color w:val="000000" w:themeColor="dark1"/>
                <w:kern w:val="24"/>
                <w:sz w:val="18"/>
                <w:szCs w:val="28"/>
                <w:lang w:val="en-GB" w:eastAsia="sv-SE"/>
              </w:rPr>
              <w:t>: RSSI measurement by UE.</w:t>
            </w:r>
          </w:p>
          <w:p w14:paraId="7656EE28" w14:textId="77777777" w:rsidR="007A4D43" w:rsidRPr="00CC0591" w:rsidRDefault="007A4D43" w:rsidP="008378A1">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M9</w:t>
            </w:r>
            <w:r w:rsidRPr="00CC0591">
              <w:rPr>
                <w:rFonts w:ascii="Arial" w:eastAsia="Times New Roman" w:hAnsi="Arial" w:cs="Arial"/>
                <w:color w:val="000000" w:themeColor="dark1"/>
                <w:kern w:val="24"/>
                <w:sz w:val="18"/>
                <w:szCs w:val="28"/>
                <w:lang w:val="en-GB" w:eastAsia="sv-SE"/>
              </w:rPr>
              <w:t>: RTT measurement by UE.</w:t>
            </w:r>
          </w:p>
        </w:tc>
      </w:tr>
    </w:tbl>
    <w:p w14:paraId="6AEB56F0" w14:textId="77777777" w:rsidR="007A4D43" w:rsidRDefault="007A4D43" w:rsidP="007A4D43">
      <w:pPr>
        <w:rPr>
          <w:rFonts w:ascii="Arial" w:hAnsi="Arial"/>
          <w:lang w:val="en-US" w:eastAsia="zh-CN"/>
        </w:rPr>
      </w:pPr>
    </w:p>
    <w:p w14:paraId="6AC053BF" w14:textId="77777777" w:rsidR="007A4D43" w:rsidRDefault="007A4D43" w:rsidP="0084067B">
      <w:pPr>
        <w:rPr>
          <w:rFonts w:ascii="Arial" w:hAnsi="Arial"/>
          <w:lang w:val="en-US" w:eastAsia="zh-CN"/>
        </w:rPr>
      </w:pPr>
    </w:p>
    <w:p w14:paraId="4C5FADA4" w14:textId="3DC181F5" w:rsidR="0084067B" w:rsidRPr="00540826" w:rsidRDefault="0084067B" w:rsidP="0084067B">
      <w:pPr>
        <w:rPr>
          <w:rFonts w:ascii="Arial" w:hAnsi="Arial"/>
          <w:lang w:val="en-US" w:eastAsia="zh-CN"/>
        </w:rPr>
      </w:pPr>
      <w:r w:rsidRPr="00540826">
        <w:rPr>
          <w:rFonts w:ascii="Arial" w:hAnsi="Arial"/>
          <w:lang w:val="en-US" w:eastAsia="zh-CN"/>
        </w:rPr>
        <w:t xml:space="preserve">Currently, the UE only measures on the MN cell when it is in Inactive or Idle state so the SN configuration during logged measurements does not add any value. </w:t>
      </w:r>
    </w:p>
    <w:p w14:paraId="0D953EED" w14:textId="77777777" w:rsidR="0084067B" w:rsidRPr="00540826" w:rsidRDefault="0084067B" w:rsidP="0084067B">
      <w:pPr>
        <w:rPr>
          <w:rFonts w:ascii="Arial" w:hAnsi="Arial"/>
          <w:lang w:val="en-US" w:eastAsia="zh-CN"/>
        </w:rPr>
      </w:pPr>
    </w:p>
    <w:p w14:paraId="319BD57A" w14:textId="77777777" w:rsidR="0084067B" w:rsidRPr="00540826" w:rsidRDefault="0084067B" w:rsidP="0084067B">
      <w:pPr>
        <w:pStyle w:val="Observation"/>
        <w:tabs>
          <w:tab w:val="clear" w:pos="360"/>
        </w:tabs>
        <w:rPr>
          <w:lang w:val="en-US"/>
        </w:rPr>
      </w:pPr>
      <w:bookmarkStart w:id="9" w:name="_Toc4686579"/>
      <w:r w:rsidRPr="00540826">
        <w:rPr>
          <w:lang w:val="en-US"/>
        </w:rPr>
        <w:t>UE only measures on the MN cell when it is in Inactive or Idle state so the SN configuration during logged measurements does not add any value.</w:t>
      </w:r>
      <w:bookmarkEnd w:id="9"/>
      <w:r w:rsidRPr="00540826">
        <w:rPr>
          <w:lang w:val="en-US"/>
        </w:rPr>
        <w:t xml:space="preserve"> </w:t>
      </w:r>
    </w:p>
    <w:p w14:paraId="4E113E27" w14:textId="77777777" w:rsidR="0084067B" w:rsidRDefault="0084067B" w:rsidP="0084067B">
      <w:pPr>
        <w:rPr>
          <w:rFonts w:ascii="Arial" w:hAnsi="Arial"/>
          <w:lang w:val="en-US" w:eastAsia="zh-CN"/>
        </w:rPr>
      </w:pPr>
    </w:p>
    <w:p w14:paraId="425978D2" w14:textId="76BCE2F4" w:rsidR="0084067B" w:rsidRDefault="0084067B" w:rsidP="0084067B">
      <w:pPr>
        <w:rPr>
          <w:rFonts w:ascii="Arial" w:hAnsi="Arial"/>
          <w:lang w:val="en-US" w:eastAsia="zh-CN"/>
        </w:rPr>
      </w:pPr>
      <w:r>
        <w:rPr>
          <w:rFonts w:ascii="Arial" w:hAnsi="Arial"/>
          <w:lang w:val="en-US" w:eastAsia="zh-CN"/>
        </w:rPr>
        <w:t xml:space="preserve">On the other hand, UE can measure the SN </w:t>
      </w:r>
      <w:r w:rsidR="007A4D43">
        <w:rPr>
          <w:rFonts w:ascii="Arial" w:hAnsi="Arial"/>
          <w:lang w:val="en-US" w:eastAsia="zh-CN"/>
        </w:rPr>
        <w:t>measurements</w:t>
      </w:r>
      <w:r>
        <w:rPr>
          <w:rFonts w:ascii="Arial" w:hAnsi="Arial"/>
          <w:lang w:val="en-US" w:eastAsia="zh-CN"/>
        </w:rPr>
        <w:t xml:space="preserve"> during connected state so MR-DC measurements in immediate MDT should be supported. </w:t>
      </w:r>
    </w:p>
    <w:p w14:paraId="56FD729B" w14:textId="77777777" w:rsidR="0084067B" w:rsidRDefault="0084067B" w:rsidP="0084067B">
      <w:pPr>
        <w:rPr>
          <w:rFonts w:ascii="Arial" w:hAnsi="Arial"/>
          <w:lang w:val="en-US" w:eastAsia="zh-CN"/>
        </w:rPr>
      </w:pPr>
    </w:p>
    <w:p w14:paraId="7D7CDF69" w14:textId="77777777" w:rsidR="0084067B" w:rsidRPr="004746EF" w:rsidRDefault="0084067B" w:rsidP="00A80B59">
      <w:pPr>
        <w:pStyle w:val="Proposals"/>
        <w:rPr>
          <w:lang w:val="en-US"/>
        </w:rPr>
      </w:pPr>
      <w:r w:rsidRPr="004746EF">
        <w:rPr>
          <w:lang w:val="en-US"/>
        </w:rPr>
        <w:t xml:space="preserve">MDT configuration including SN related measurements is not support for logged MDT. </w:t>
      </w:r>
    </w:p>
    <w:p w14:paraId="3A93B828" w14:textId="6965A271" w:rsidR="0084067B" w:rsidRDefault="0084067B" w:rsidP="0084067B">
      <w:pPr>
        <w:pStyle w:val="Proposals"/>
        <w:rPr>
          <w:lang w:val="en-US" w:eastAsia="zh-CN"/>
        </w:rPr>
      </w:pPr>
      <w:r>
        <w:rPr>
          <w:lang w:val="en-US" w:eastAsia="zh-CN"/>
        </w:rPr>
        <w:t xml:space="preserve">In MR-DC with immediate MDT, </w:t>
      </w:r>
      <w:r w:rsidR="00C716FB">
        <w:rPr>
          <w:lang w:val="en-US" w:eastAsia="zh-CN"/>
        </w:rPr>
        <w:t xml:space="preserve">both MN and </w:t>
      </w:r>
      <w:r w:rsidR="00592904">
        <w:rPr>
          <w:lang w:val="en-US" w:eastAsia="zh-CN"/>
        </w:rPr>
        <w:t>SN separately provides</w:t>
      </w:r>
      <w:r>
        <w:rPr>
          <w:lang w:val="en-US" w:eastAsia="zh-CN"/>
        </w:rPr>
        <w:t xml:space="preserve"> MDT</w:t>
      </w:r>
      <w:r w:rsidR="006A0FB9">
        <w:rPr>
          <w:lang w:val="en-US" w:eastAsia="zh-CN"/>
        </w:rPr>
        <w:t xml:space="preserve"> </w:t>
      </w:r>
      <w:r>
        <w:rPr>
          <w:lang w:val="en-US" w:eastAsia="zh-CN"/>
        </w:rPr>
        <w:t xml:space="preserve">configuration to the </w:t>
      </w:r>
      <w:r w:rsidR="00592904">
        <w:rPr>
          <w:lang w:val="en-US" w:eastAsia="zh-CN"/>
        </w:rPr>
        <w:t>UE and</w:t>
      </w:r>
      <w:r>
        <w:rPr>
          <w:lang w:val="en-US" w:eastAsia="zh-CN"/>
        </w:rPr>
        <w:t xml:space="preserve"> receive MDT reports from the UE. </w:t>
      </w:r>
    </w:p>
    <w:p w14:paraId="500C977E" w14:textId="77777777" w:rsidR="0084067B" w:rsidRDefault="0084067B" w:rsidP="0084067B">
      <w:pPr>
        <w:pStyle w:val="Proposals"/>
        <w:rPr>
          <w:lang w:val="en-US" w:eastAsia="zh-CN"/>
        </w:rPr>
      </w:pPr>
      <w:r>
        <w:rPr>
          <w:lang w:val="en-US" w:eastAsia="zh-CN"/>
        </w:rPr>
        <w:t xml:space="preserve">In MR-DC with immediate MDT, UE should be able to receive separate configuration for MN and SN. </w:t>
      </w:r>
    </w:p>
    <w:p w14:paraId="0E1CA920" w14:textId="4451075D" w:rsidR="0084067B" w:rsidRPr="00D61DD7" w:rsidRDefault="0084067B" w:rsidP="0084067B">
      <w:pPr>
        <w:pStyle w:val="Proposals"/>
        <w:rPr>
          <w:lang w:val="en-US" w:eastAsia="zh-CN"/>
        </w:rPr>
      </w:pPr>
      <w:r>
        <w:rPr>
          <w:lang w:val="en-US" w:eastAsia="zh-CN"/>
        </w:rPr>
        <w:t>In MR-DC with immediate MDT, UE should be able to provide separate MDT reports for MN and SN</w:t>
      </w:r>
      <w:r w:rsidR="000A5CCA">
        <w:rPr>
          <w:lang w:val="en-US" w:eastAsia="zh-CN"/>
        </w:rPr>
        <w:t xml:space="preserve"> either over SRB1/2 or SRB3. </w:t>
      </w:r>
    </w:p>
    <w:p w14:paraId="4DFD6915" w14:textId="0EC7459A" w:rsidR="00673120" w:rsidRDefault="00673120" w:rsidP="00F06021">
      <w:pPr>
        <w:rPr>
          <w:rFonts w:ascii="Arial" w:hAnsi="Arial"/>
          <w:lang w:val="en-US" w:eastAsia="zh-CN"/>
        </w:rPr>
      </w:pPr>
    </w:p>
    <w:p w14:paraId="2B1F873E" w14:textId="00E52648" w:rsidR="00F63A9D" w:rsidRPr="009D45D7" w:rsidRDefault="00F63A9D" w:rsidP="00F63A9D">
      <w:pPr>
        <w:rPr>
          <w:rFonts w:ascii="Arial" w:hAnsi="Arial"/>
          <w:lang w:val="en-US" w:eastAsia="zh-CN"/>
        </w:rPr>
      </w:pPr>
      <w:r w:rsidRPr="009D45D7">
        <w:rPr>
          <w:rFonts w:ascii="Arial" w:hAnsi="Arial"/>
          <w:lang w:val="en-US" w:eastAsia="zh-CN"/>
        </w:rPr>
        <w:t>Based on the above considerations, we would assess the multiple DC scenarios fo</w:t>
      </w:r>
      <w:r w:rsidR="00C716FB">
        <w:rPr>
          <w:rFonts w:ascii="Arial" w:hAnsi="Arial"/>
          <w:lang w:val="en-US" w:eastAsia="zh-CN"/>
        </w:rPr>
        <w:t>r</w:t>
      </w:r>
      <w:r w:rsidRPr="009D45D7">
        <w:rPr>
          <w:rFonts w:ascii="Arial" w:hAnsi="Arial"/>
          <w:lang w:val="en-US" w:eastAsia="zh-CN"/>
        </w:rPr>
        <w:t xml:space="preserve"> release 15 below. </w:t>
      </w:r>
    </w:p>
    <w:p w14:paraId="3FFEC02E" w14:textId="77777777" w:rsidR="00F63A9D" w:rsidRDefault="00F63A9D" w:rsidP="00F06021">
      <w:pPr>
        <w:rPr>
          <w:rFonts w:ascii="Arial" w:hAnsi="Arial"/>
          <w:lang w:val="en-US" w:eastAsia="zh-CN"/>
        </w:rPr>
      </w:pPr>
    </w:p>
    <w:p w14:paraId="22FAB79B" w14:textId="3F7C9C57" w:rsidR="00AF78DE" w:rsidRDefault="00AF78DE" w:rsidP="00AF78DE">
      <w:pPr>
        <w:pStyle w:val="Heading3"/>
      </w:pPr>
      <w:r>
        <w:t xml:space="preserve">2.1 </w:t>
      </w:r>
      <w:r w:rsidR="00EE1B59" w:rsidRPr="00673120">
        <w:t>Option 3</w:t>
      </w:r>
      <w:r w:rsidR="00C71F5E">
        <w:t xml:space="preserve"> (aka EN-DC)</w:t>
      </w:r>
    </w:p>
    <w:p w14:paraId="6ABE7A9D" w14:textId="77777777" w:rsidR="00AF78DE" w:rsidRDefault="00AF78DE" w:rsidP="00F06021">
      <w:pPr>
        <w:rPr>
          <w:rFonts w:ascii="Arial" w:hAnsi="Arial"/>
          <w:lang w:val="en-US" w:eastAsia="zh-CN"/>
        </w:rPr>
      </w:pPr>
    </w:p>
    <w:p w14:paraId="22367B76" w14:textId="43746B6B" w:rsidR="00E96406" w:rsidRDefault="00673120" w:rsidP="00F06021">
      <w:pPr>
        <w:rPr>
          <w:rFonts w:ascii="Arial" w:hAnsi="Arial"/>
          <w:lang w:val="en-US" w:eastAsia="zh-CN"/>
        </w:rPr>
      </w:pPr>
      <w:r>
        <w:rPr>
          <w:rFonts w:ascii="Arial" w:hAnsi="Arial"/>
          <w:lang w:val="en-US" w:eastAsia="zh-CN"/>
        </w:rPr>
        <w:t>T</w:t>
      </w:r>
      <w:r w:rsidR="00EE1B59">
        <w:rPr>
          <w:rFonts w:ascii="Arial" w:hAnsi="Arial"/>
          <w:lang w:val="en-US" w:eastAsia="zh-CN"/>
        </w:rPr>
        <w:t xml:space="preserve">his </w:t>
      </w:r>
      <w:r>
        <w:rPr>
          <w:rFonts w:ascii="Arial" w:hAnsi="Arial"/>
          <w:lang w:val="en-US" w:eastAsia="zh-CN"/>
        </w:rPr>
        <w:t xml:space="preserve">option </w:t>
      </w:r>
      <w:r w:rsidR="00EE1B59">
        <w:rPr>
          <w:rFonts w:ascii="Arial" w:hAnsi="Arial"/>
          <w:lang w:val="en-US" w:eastAsia="zh-CN"/>
        </w:rPr>
        <w:t>involves support for</w:t>
      </w:r>
      <w:r w:rsidR="00F05D71">
        <w:rPr>
          <w:rFonts w:ascii="Arial" w:hAnsi="Arial"/>
          <w:lang w:val="en-US" w:eastAsia="zh-CN"/>
        </w:rPr>
        <w:t xml:space="preserve"> configuration of </w:t>
      </w:r>
      <w:r>
        <w:rPr>
          <w:rFonts w:ascii="Arial" w:hAnsi="Arial"/>
          <w:lang w:val="en-US" w:eastAsia="zh-CN"/>
        </w:rPr>
        <w:t>MDT in both</w:t>
      </w:r>
      <w:r w:rsidR="00C71F5E">
        <w:rPr>
          <w:rFonts w:ascii="Arial" w:hAnsi="Arial"/>
          <w:lang w:val="en-US" w:eastAsia="zh-CN"/>
        </w:rPr>
        <w:t xml:space="preserve"> E-UTRA</w:t>
      </w:r>
      <w:r w:rsidR="00F05D71">
        <w:rPr>
          <w:rFonts w:ascii="Arial" w:hAnsi="Arial"/>
          <w:lang w:val="en-US" w:eastAsia="zh-CN"/>
        </w:rPr>
        <w:t xml:space="preserve"> (master cell)</w:t>
      </w:r>
      <w:r w:rsidR="00C71F5E">
        <w:rPr>
          <w:rFonts w:ascii="Arial" w:hAnsi="Arial"/>
          <w:lang w:val="en-US" w:eastAsia="zh-CN"/>
        </w:rPr>
        <w:t xml:space="preserve"> and NR</w:t>
      </w:r>
      <w:r w:rsidR="0040734C">
        <w:rPr>
          <w:rFonts w:ascii="Arial" w:hAnsi="Arial"/>
          <w:lang w:val="en-US" w:eastAsia="zh-CN"/>
        </w:rPr>
        <w:t xml:space="preserve"> (secondary cell)</w:t>
      </w:r>
      <w:r w:rsidR="00C71F5E">
        <w:rPr>
          <w:rFonts w:ascii="Arial" w:hAnsi="Arial"/>
          <w:lang w:val="en-US" w:eastAsia="zh-CN"/>
        </w:rPr>
        <w:t xml:space="preserve"> </w:t>
      </w:r>
      <w:r w:rsidR="00F05D71">
        <w:rPr>
          <w:rFonts w:ascii="Arial" w:hAnsi="Arial"/>
          <w:lang w:val="en-US" w:eastAsia="zh-CN"/>
        </w:rPr>
        <w:t xml:space="preserve">simultaneously, </w:t>
      </w:r>
      <w:r w:rsidR="00C71F5E">
        <w:rPr>
          <w:rFonts w:ascii="Arial" w:hAnsi="Arial"/>
          <w:lang w:val="en-US" w:eastAsia="zh-CN"/>
        </w:rPr>
        <w:t>with trigger coming from EPC.</w:t>
      </w:r>
      <w:r w:rsidR="00E96406">
        <w:rPr>
          <w:rFonts w:ascii="Arial" w:hAnsi="Arial"/>
          <w:lang w:val="en-US" w:eastAsia="zh-CN"/>
        </w:rPr>
        <w:t xml:space="preserve"> </w:t>
      </w:r>
      <w:r w:rsidR="00F63A9D">
        <w:rPr>
          <w:rFonts w:ascii="Arial" w:hAnsi="Arial"/>
          <w:lang w:val="en-US" w:eastAsia="zh-CN"/>
        </w:rPr>
        <w:t xml:space="preserve">Since, the trigger is coming from EPC and we already have standardized procedure defined for MDT trigger, the only delta in the MDT trigger would be to add MDT configuration for secondary cell groups which in this case would be for NR cell. </w:t>
      </w:r>
    </w:p>
    <w:p w14:paraId="6449BC04" w14:textId="7BBEBE9D" w:rsidR="00F63A9D" w:rsidRDefault="00F63A9D" w:rsidP="00F06021">
      <w:pPr>
        <w:rPr>
          <w:rFonts w:ascii="Arial" w:hAnsi="Arial"/>
          <w:lang w:val="en-US" w:eastAsia="zh-CN"/>
        </w:rPr>
      </w:pPr>
    </w:p>
    <w:p w14:paraId="5FA39315" w14:textId="77777777" w:rsidR="00F63A9D" w:rsidRDefault="00F63A9D" w:rsidP="00F06021">
      <w:pPr>
        <w:rPr>
          <w:rFonts w:ascii="Arial" w:hAnsi="Arial"/>
          <w:lang w:val="en-US" w:eastAsia="zh-CN"/>
        </w:rPr>
      </w:pPr>
    </w:p>
    <w:p w14:paraId="55364CC2" w14:textId="1E1FA032" w:rsidR="00E96406" w:rsidRDefault="00F63A9D" w:rsidP="00F63A9D">
      <w:pPr>
        <w:pStyle w:val="Observation"/>
        <w:rPr>
          <w:lang w:val="en-US"/>
        </w:rPr>
      </w:pPr>
      <w:bookmarkStart w:id="10" w:name="_Toc4686580"/>
      <w:r>
        <w:rPr>
          <w:lang w:val="en-US"/>
        </w:rPr>
        <w:lastRenderedPageBreak/>
        <w:t>Option 3 involves a delta in the MDT trigger to add MDT configuration for NR secondary cell groups</w:t>
      </w:r>
      <w:bookmarkEnd w:id="10"/>
    </w:p>
    <w:p w14:paraId="24220CEE" w14:textId="77777777" w:rsidR="00F63A9D" w:rsidRDefault="00F63A9D" w:rsidP="00F06021">
      <w:pPr>
        <w:rPr>
          <w:rFonts w:ascii="Arial" w:hAnsi="Arial"/>
          <w:lang w:val="en-US" w:eastAsia="zh-CN"/>
        </w:rPr>
      </w:pPr>
      <w:r>
        <w:rPr>
          <w:rFonts w:ascii="Arial" w:hAnsi="Arial"/>
          <w:lang w:val="en-US" w:eastAsia="zh-CN"/>
        </w:rPr>
        <w:t xml:space="preserve">From reporting point of view, UE also needs to </w:t>
      </w:r>
      <w:proofErr w:type="gramStart"/>
      <w:r>
        <w:rPr>
          <w:rFonts w:ascii="Arial" w:hAnsi="Arial"/>
          <w:lang w:val="en-US" w:eastAsia="zh-CN"/>
        </w:rPr>
        <w:t>enhanced</w:t>
      </w:r>
      <w:proofErr w:type="gramEnd"/>
      <w:r>
        <w:rPr>
          <w:rFonts w:ascii="Arial" w:hAnsi="Arial"/>
          <w:lang w:val="en-US" w:eastAsia="zh-CN"/>
        </w:rPr>
        <w:t xml:space="preserve"> the MDT report to include measurements for secondary cell group. </w:t>
      </w:r>
    </w:p>
    <w:p w14:paraId="220ABCA0" w14:textId="77777777" w:rsidR="00F63A9D" w:rsidRDefault="00F63A9D" w:rsidP="00F06021">
      <w:pPr>
        <w:rPr>
          <w:rFonts w:ascii="Arial" w:hAnsi="Arial"/>
          <w:lang w:val="en-US" w:eastAsia="zh-CN"/>
        </w:rPr>
      </w:pPr>
    </w:p>
    <w:p w14:paraId="10F30837" w14:textId="05240E90" w:rsidR="00F63A9D" w:rsidRDefault="00F63A9D" w:rsidP="00F63A9D">
      <w:pPr>
        <w:pStyle w:val="Observation"/>
        <w:rPr>
          <w:lang w:val="en-US"/>
        </w:rPr>
      </w:pPr>
      <w:bookmarkStart w:id="11" w:name="_Toc4686581"/>
      <w:r>
        <w:rPr>
          <w:lang w:val="en-US"/>
        </w:rPr>
        <w:t xml:space="preserve">Option 3 involves a delta in the MDT report to add </w:t>
      </w:r>
      <w:r w:rsidR="00CD3FD7">
        <w:rPr>
          <w:lang w:val="en-US"/>
        </w:rPr>
        <w:t>MDT measurements</w:t>
      </w:r>
      <w:r>
        <w:rPr>
          <w:lang w:val="en-US"/>
        </w:rPr>
        <w:t xml:space="preserve"> for NR secondary cell groups</w:t>
      </w:r>
      <w:r w:rsidR="00CD3FD7">
        <w:rPr>
          <w:lang w:val="en-US"/>
        </w:rPr>
        <w:t>.</w:t>
      </w:r>
      <w:bookmarkEnd w:id="11"/>
      <w:r w:rsidR="00CD3FD7">
        <w:rPr>
          <w:lang w:val="en-US"/>
        </w:rPr>
        <w:t xml:space="preserve"> </w:t>
      </w:r>
    </w:p>
    <w:p w14:paraId="615CCB97" w14:textId="4956CD31" w:rsidR="00C71F5E" w:rsidRDefault="00F63A9D" w:rsidP="00F06021">
      <w:pPr>
        <w:rPr>
          <w:rFonts w:ascii="Arial" w:hAnsi="Arial"/>
          <w:lang w:val="en-US" w:eastAsia="zh-CN"/>
        </w:rPr>
      </w:pPr>
      <w:r>
        <w:rPr>
          <w:rFonts w:ascii="Arial" w:hAnsi="Arial"/>
          <w:lang w:val="en-US" w:eastAsia="zh-CN"/>
        </w:rPr>
        <w:t xml:space="preserve"> </w:t>
      </w:r>
    </w:p>
    <w:p w14:paraId="1286D094" w14:textId="65366E06" w:rsidR="00C71F5E" w:rsidRDefault="00C71F5E" w:rsidP="00F06021">
      <w:pPr>
        <w:rPr>
          <w:rFonts w:ascii="Arial" w:hAnsi="Arial"/>
          <w:lang w:val="en-US" w:eastAsia="zh-CN"/>
        </w:rPr>
      </w:pPr>
    </w:p>
    <w:p w14:paraId="7427C3E1" w14:textId="09940F3F" w:rsidR="00F63A9D" w:rsidRDefault="00F63A9D" w:rsidP="00F63A9D">
      <w:pPr>
        <w:pStyle w:val="Proposals"/>
        <w:rPr>
          <w:lang w:val="en-US" w:eastAsia="zh-CN"/>
        </w:rPr>
      </w:pPr>
      <w:r>
        <w:rPr>
          <w:lang w:val="en-US" w:eastAsia="zh-CN"/>
        </w:rPr>
        <w:t xml:space="preserve">Enhance the E-UTRA MDT configuration and MDT report to include configuration for NR secondary cell group.  </w:t>
      </w:r>
    </w:p>
    <w:p w14:paraId="7201ADA5" w14:textId="77777777" w:rsidR="00F63A9D" w:rsidRDefault="00F63A9D" w:rsidP="00F06021">
      <w:pPr>
        <w:rPr>
          <w:rFonts w:ascii="Arial" w:hAnsi="Arial"/>
          <w:lang w:val="en-US" w:eastAsia="zh-CN"/>
        </w:rPr>
      </w:pPr>
    </w:p>
    <w:p w14:paraId="75EFFC0A" w14:textId="12A4F01D" w:rsidR="00C71F5E" w:rsidRDefault="00C71F5E" w:rsidP="00F06021">
      <w:pPr>
        <w:rPr>
          <w:rFonts w:ascii="Arial" w:hAnsi="Arial"/>
          <w:lang w:val="en-US" w:eastAsia="zh-CN"/>
        </w:rPr>
      </w:pPr>
    </w:p>
    <w:p w14:paraId="42E0A99D" w14:textId="77777777" w:rsidR="00AF78DE" w:rsidRDefault="00AF78DE" w:rsidP="0040734C">
      <w:pPr>
        <w:rPr>
          <w:rFonts w:ascii="Arial" w:hAnsi="Arial"/>
          <w:b/>
          <w:lang w:val="en-US" w:eastAsia="zh-CN"/>
        </w:rPr>
      </w:pPr>
      <w:r>
        <w:rPr>
          <w:rFonts w:ascii="Arial" w:hAnsi="Arial"/>
          <w:b/>
          <w:lang w:val="en-US" w:eastAsia="zh-CN"/>
        </w:rPr>
        <w:t xml:space="preserve">2.2 </w:t>
      </w:r>
      <w:r w:rsidR="00F05D71" w:rsidRPr="0040734C">
        <w:rPr>
          <w:rFonts w:ascii="Arial" w:hAnsi="Arial"/>
          <w:b/>
          <w:lang w:val="en-US" w:eastAsia="zh-CN"/>
        </w:rPr>
        <w:t>Option 4 (aka NE-DC)</w:t>
      </w:r>
      <w:r>
        <w:rPr>
          <w:rFonts w:ascii="Arial" w:hAnsi="Arial"/>
          <w:b/>
          <w:lang w:val="en-US" w:eastAsia="zh-CN"/>
        </w:rPr>
        <w:t xml:space="preserve"> </w:t>
      </w:r>
    </w:p>
    <w:p w14:paraId="5122D2D3" w14:textId="77777777" w:rsidR="00AF78DE" w:rsidRDefault="00AF78DE" w:rsidP="0040734C">
      <w:pPr>
        <w:rPr>
          <w:rFonts w:ascii="Arial" w:hAnsi="Arial"/>
          <w:lang w:val="en-US" w:eastAsia="zh-CN"/>
        </w:rPr>
      </w:pPr>
    </w:p>
    <w:p w14:paraId="29599776" w14:textId="534F5984" w:rsidR="0040734C" w:rsidRDefault="0040734C" w:rsidP="0040734C">
      <w:pPr>
        <w:rPr>
          <w:rFonts w:ascii="Arial" w:hAnsi="Arial"/>
          <w:lang w:val="en-US" w:eastAsia="zh-CN"/>
        </w:rPr>
      </w:pPr>
      <w:r>
        <w:rPr>
          <w:rFonts w:ascii="Arial" w:hAnsi="Arial"/>
          <w:lang w:val="en-US" w:eastAsia="zh-CN"/>
        </w:rPr>
        <w:t xml:space="preserve">This option involves support for configuration of MDT in both NR (master cell) and E-UTRA (secondary cell) simultaneously, with trigger coming from 5GC. This </w:t>
      </w:r>
      <w:r w:rsidR="00E96406">
        <w:rPr>
          <w:rFonts w:ascii="Arial" w:hAnsi="Arial"/>
          <w:lang w:val="en-US" w:eastAsia="zh-CN"/>
        </w:rPr>
        <w:t xml:space="preserve">option </w:t>
      </w:r>
      <w:r>
        <w:rPr>
          <w:rFonts w:ascii="Arial" w:hAnsi="Arial"/>
          <w:lang w:val="en-US" w:eastAsia="zh-CN"/>
        </w:rPr>
        <w:t xml:space="preserve">is a more natural step to start in terms of DC scenario support since it is an evolution of the current standardization activity for MDT in 5GC and NR as a priority. </w:t>
      </w:r>
    </w:p>
    <w:p w14:paraId="262A076E" w14:textId="356BBEB5" w:rsidR="00CD3FD7" w:rsidRDefault="00CD3FD7" w:rsidP="0040734C">
      <w:pPr>
        <w:rPr>
          <w:rFonts w:ascii="Arial" w:hAnsi="Arial"/>
          <w:lang w:val="en-US" w:eastAsia="zh-CN"/>
        </w:rPr>
      </w:pPr>
    </w:p>
    <w:p w14:paraId="0DDA8435" w14:textId="36F00DCF" w:rsidR="00CD3FD7" w:rsidRDefault="00CD3FD7" w:rsidP="00CD3FD7">
      <w:pPr>
        <w:pStyle w:val="Observation"/>
        <w:rPr>
          <w:lang w:val="en-US"/>
        </w:rPr>
      </w:pPr>
      <w:bookmarkStart w:id="12" w:name="_Toc4686582"/>
      <w:r>
        <w:rPr>
          <w:lang w:val="en-US"/>
        </w:rPr>
        <w:t>NE-DC is a natural step to start in terms of DC scenario support since it is an evolution of the current standardization activity for MDT in 5GC and NR as a priority.</w:t>
      </w:r>
      <w:bookmarkEnd w:id="12"/>
      <w:r>
        <w:rPr>
          <w:lang w:val="en-US"/>
        </w:rPr>
        <w:t xml:space="preserve"> </w:t>
      </w:r>
    </w:p>
    <w:p w14:paraId="130EA04D" w14:textId="77777777" w:rsidR="00CD3FD7" w:rsidRDefault="00CD3FD7" w:rsidP="00CD3FD7">
      <w:pPr>
        <w:rPr>
          <w:rFonts w:ascii="Arial" w:hAnsi="Arial"/>
          <w:lang w:val="en-US" w:eastAsia="zh-CN"/>
        </w:rPr>
      </w:pPr>
    </w:p>
    <w:p w14:paraId="09D75F8C" w14:textId="193F455E" w:rsidR="00716225" w:rsidRDefault="00CD3FD7" w:rsidP="00F06021">
      <w:pPr>
        <w:rPr>
          <w:rFonts w:ascii="Arial" w:hAnsi="Arial"/>
          <w:lang w:val="en-US" w:eastAsia="zh-CN"/>
        </w:rPr>
      </w:pPr>
      <w:r>
        <w:rPr>
          <w:rFonts w:ascii="Arial" w:hAnsi="Arial"/>
          <w:lang w:val="en-US" w:eastAsia="zh-CN"/>
        </w:rPr>
        <w:t xml:space="preserve">Since, the secondary cell group in case of NE-DC would be E-UTRA cell/cells, there would no beam specific information that needs to be included in MDT configuration but rather the release 14 specification of MDT configuration for E-UTRA cell could be reused. </w:t>
      </w:r>
    </w:p>
    <w:p w14:paraId="2B54F167" w14:textId="74BDD67B" w:rsidR="00CD3FD7" w:rsidRDefault="00CD3FD7" w:rsidP="00F06021">
      <w:pPr>
        <w:rPr>
          <w:rFonts w:ascii="Arial" w:hAnsi="Arial"/>
          <w:lang w:val="en-US" w:eastAsia="zh-CN"/>
        </w:rPr>
      </w:pPr>
    </w:p>
    <w:p w14:paraId="0DE5CCC0" w14:textId="0228F8E5" w:rsidR="000A5CCA" w:rsidRDefault="000A5CCA" w:rsidP="000A5CCA">
      <w:pPr>
        <w:pStyle w:val="Proposals"/>
        <w:rPr>
          <w:lang w:val="en-US" w:eastAsia="zh-CN"/>
        </w:rPr>
      </w:pPr>
      <w:r>
        <w:rPr>
          <w:lang w:val="en-US" w:eastAsia="zh-CN"/>
        </w:rPr>
        <w:t xml:space="preserve">Enhance the NR MDT configuration and MDT report to include configuration for E-UTRA secondary cell group.  </w:t>
      </w:r>
    </w:p>
    <w:p w14:paraId="31DA1343" w14:textId="377A6ED3" w:rsidR="00CD3FD7" w:rsidRDefault="00CD3FD7" w:rsidP="00CD3FD7">
      <w:pPr>
        <w:pStyle w:val="Proposals"/>
        <w:rPr>
          <w:lang w:val="en-US" w:eastAsia="zh-CN"/>
        </w:rPr>
      </w:pPr>
      <w:r>
        <w:rPr>
          <w:lang w:val="en-US" w:eastAsia="zh-CN"/>
        </w:rPr>
        <w:t>Reuse the release 14 specification of MDT configuration for E-UTRA secondary cell group cells</w:t>
      </w:r>
      <w:r w:rsidR="000A5CCA">
        <w:rPr>
          <w:lang w:val="en-US" w:eastAsia="zh-CN"/>
        </w:rPr>
        <w:t xml:space="preserve">. </w:t>
      </w:r>
    </w:p>
    <w:p w14:paraId="3877C1C2" w14:textId="6550F7EE" w:rsidR="000319D1" w:rsidRDefault="000319D1" w:rsidP="000319D1">
      <w:pPr>
        <w:rPr>
          <w:rFonts w:ascii="Arial" w:hAnsi="Arial"/>
          <w:lang w:val="en-US" w:eastAsia="zh-CN"/>
        </w:rPr>
      </w:pPr>
    </w:p>
    <w:p w14:paraId="6E445819" w14:textId="289A217A" w:rsidR="000319D1" w:rsidRDefault="000319D1" w:rsidP="000319D1">
      <w:pPr>
        <w:rPr>
          <w:rFonts w:ascii="Arial" w:hAnsi="Arial"/>
          <w:lang w:val="en-US" w:eastAsia="zh-CN"/>
        </w:rPr>
      </w:pPr>
    </w:p>
    <w:p w14:paraId="5CD55054" w14:textId="2A868E06" w:rsidR="00AF78DE" w:rsidRDefault="00AF78DE" w:rsidP="00AF78DE">
      <w:pPr>
        <w:rPr>
          <w:rFonts w:ascii="Arial" w:hAnsi="Arial"/>
          <w:b/>
          <w:lang w:val="en-US" w:eastAsia="zh-CN"/>
        </w:rPr>
      </w:pPr>
      <w:proofErr w:type="gramStart"/>
      <w:r>
        <w:rPr>
          <w:rFonts w:ascii="Arial" w:hAnsi="Arial"/>
          <w:b/>
          <w:lang w:val="en-US" w:eastAsia="zh-CN"/>
        </w:rPr>
        <w:t xml:space="preserve">2.3  </w:t>
      </w:r>
      <w:r w:rsidRPr="00673120">
        <w:rPr>
          <w:rFonts w:ascii="Arial" w:hAnsi="Arial"/>
          <w:b/>
          <w:lang w:val="en-US" w:eastAsia="zh-CN"/>
        </w:rPr>
        <w:t>Option</w:t>
      </w:r>
      <w:proofErr w:type="gramEnd"/>
      <w:r w:rsidRPr="00673120">
        <w:rPr>
          <w:rFonts w:ascii="Arial" w:hAnsi="Arial"/>
          <w:b/>
          <w:lang w:val="en-US" w:eastAsia="zh-CN"/>
        </w:rPr>
        <w:t xml:space="preserve"> 7</w:t>
      </w:r>
      <w:r>
        <w:rPr>
          <w:rFonts w:ascii="Arial" w:hAnsi="Arial"/>
          <w:b/>
          <w:lang w:val="en-US" w:eastAsia="zh-CN"/>
        </w:rPr>
        <w:t xml:space="preserve"> (aka NGEN-DC)</w:t>
      </w:r>
    </w:p>
    <w:p w14:paraId="7E777C4E" w14:textId="77777777" w:rsidR="00AF78DE" w:rsidRDefault="00AF78DE" w:rsidP="00AF78DE">
      <w:pPr>
        <w:rPr>
          <w:rFonts w:ascii="Arial" w:hAnsi="Arial"/>
          <w:lang w:val="en-US" w:eastAsia="zh-CN"/>
        </w:rPr>
      </w:pPr>
      <w:r>
        <w:rPr>
          <w:rFonts w:ascii="Arial" w:hAnsi="Arial"/>
          <w:lang w:val="en-US" w:eastAsia="zh-CN"/>
        </w:rPr>
        <w:t xml:space="preserve">  </w:t>
      </w:r>
    </w:p>
    <w:p w14:paraId="48E8BBB7" w14:textId="573C73F0" w:rsidR="00AF78DE" w:rsidRDefault="00AF78DE" w:rsidP="00AF78DE">
      <w:pPr>
        <w:rPr>
          <w:rFonts w:ascii="Arial" w:hAnsi="Arial"/>
          <w:lang w:val="en-US" w:eastAsia="zh-CN"/>
        </w:rPr>
      </w:pPr>
      <w:r>
        <w:rPr>
          <w:rFonts w:ascii="Arial" w:hAnsi="Arial"/>
          <w:lang w:val="en-US" w:eastAsia="zh-CN"/>
        </w:rPr>
        <w:t xml:space="preserve">This option is unique in the sense that it covers 5G core as well as E-UTRA which complicates in the sense that we cannot reuse the 5GC MDT triggers agreed for NR since it would contain beam specific configuration as well as the legacy LTE mechanism cannot be used since that is based on EPC. Thus, this option requires to first standardize the MDT mechanism for option 5 (LTE connected to 5GC) and then the dual connectivity scenario. Since, option 5 comes together with LTE, it should be treated once the MDT mechanism is standardized. </w:t>
      </w:r>
    </w:p>
    <w:p w14:paraId="23762D3B" w14:textId="77777777" w:rsidR="00AF78DE" w:rsidRDefault="00AF78DE" w:rsidP="00AF78DE">
      <w:pPr>
        <w:rPr>
          <w:rFonts w:ascii="Arial" w:hAnsi="Arial"/>
          <w:lang w:val="en-US" w:eastAsia="zh-CN"/>
        </w:rPr>
      </w:pPr>
    </w:p>
    <w:p w14:paraId="07B1EA6F" w14:textId="77777777" w:rsidR="00AF78DE" w:rsidRDefault="00AF78DE" w:rsidP="00AF78DE">
      <w:pPr>
        <w:pStyle w:val="Observation"/>
        <w:rPr>
          <w:lang w:val="en-US"/>
        </w:rPr>
      </w:pPr>
      <w:bookmarkStart w:id="13" w:name="_Toc4686583"/>
      <w:r>
        <w:rPr>
          <w:lang w:val="en-US"/>
        </w:rPr>
        <w:t xml:space="preserve">For option 5, we cannot reuse the 5GC MDT triggers agreed for NR since it would contain beam specific configuration as well as the legacy LTE mechanism </w:t>
      </w:r>
      <w:proofErr w:type="spellStart"/>
      <w:r>
        <w:rPr>
          <w:lang w:val="en-US"/>
        </w:rPr>
        <w:t>can not</w:t>
      </w:r>
      <w:proofErr w:type="spellEnd"/>
      <w:r>
        <w:rPr>
          <w:lang w:val="en-US"/>
        </w:rPr>
        <w:t xml:space="preserve"> be used since that is based on EPC.</w:t>
      </w:r>
      <w:bookmarkEnd w:id="13"/>
    </w:p>
    <w:p w14:paraId="4F7B4810" w14:textId="77777777" w:rsidR="00AF78DE" w:rsidRDefault="00AF78DE" w:rsidP="00AF78DE">
      <w:pPr>
        <w:rPr>
          <w:rFonts w:ascii="Arial" w:hAnsi="Arial"/>
          <w:lang w:val="en-US" w:eastAsia="zh-CN"/>
        </w:rPr>
      </w:pPr>
    </w:p>
    <w:p w14:paraId="4788804E" w14:textId="77777777" w:rsidR="00AF78DE" w:rsidRDefault="00AF78DE" w:rsidP="00AF78DE">
      <w:pPr>
        <w:pStyle w:val="Proposal"/>
        <w:rPr>
          <w:lang w:val="en-US"/>
        </w:rPr>
      </w:pPr>
      <w:bookmarkStart w:id="14" w:name="_Toc4432822"/>
      <w:bookmarkStart w:id="15" w:name="_Toc4531513"/>
      <w:r>
        <w:rPr>
          <w:lang w:val="en-US"/>
        </w:rPr>
        <w:t>MDT mechanism for Option 7 should be considered after concluding MDT for option 5.</w:t>
      </w:r>
      <w:bookmarkEnd w:id="14"/>
      <w:bookmarkEnd w:id="15"/>
      <w:r>
        <w:rPr>
          <w:lang w:val="en-US"/>
        </w:rPr>
        <w:t xml:space="preserve"> </w:t>
      </w:r>
    </w:p>
    <w:p w14:paraId="3C0311F9" w14:textId="77777777" w:rsidR="00AF78DE" w:rsidRDefault="00AF78DE" w:rsidP="000319D1">
      <w:pPr>
        <w:rPr>
          <w:rFonts w:ascii="Arial" w:hAnsi="Arial"/>
          <w:lang w:val="en-US" w:eastAsia="zh-CN"/>
        </w:rPr>
      </w:pPr>
    </w:p>
    <w:p w14:paraId="3A875FF4" w14:textId="77777777" w:rsidR="00C01F33" w:rsidRPr="00CE0424" w:rsidRDefault="00C01F33" w:rsidP="00CE0424">
      <w:pPr>
        <w:pStyle w:val="Heading1"/>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bookmarkStart w:id="16" w:name="_GoBack"/>
    <w:bookmarkEnd w:id="16"/>
    <w:p w14:paraId="03B7DEE5" w14:textId="1FD2754D" w:rsidR="00780DAA"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4686570" w:history="1">
        <w:r w:rsidR="00780DAA" w:rsidRPr="00C32CD2">
          <w:rPr>
            <w:rStyle w:val="Hyperlink"/>
            <w:noProof/>
            <w:lang w:val="en-US"/>
          </w:rPr>
          <w:t>Observation 1</w:t>
        </w:r>
        <w:r w:rsidR="00780DAA">
          <w:rPr>
            <w:rFonts w:asciiTheme="minorHAnsi" w:eastAsiaTheme="minorEastAsia" w:hAnsiTheme="minorHAnsi"/>
            <w:b w:val="0"/>
            <w:noProof/>
            <w:lang w:eastAsia="en-US"/>
          </w:rPr>
          <w:tab/>
        </w:r>
        <w:r w:rsidR="00780DAA" w:rsidRPr="00C32CD2">
          <w:rPr>
            <w:rStyle w:val="Hyperlink"/>
            <w:noProof/>
            <w:lang w:val="en-US"/>
          </w:rPr>
          <w:t>OAM is aware about the support for dual connectivity in a specific RAN node but OAM does not have visibility about the dual connectivity configuration on individual UE.</w:t>
        </w:r>
      </w:hyperlink>
    </w:p>
    <w:p w14:paraId="3FEE9863" w14:textId="36B26FC2" w:rsidR="00780DAA" w:rsidRDefault="00780DAA">
      <w:pPr>
        <w:pStyle w:val="TableofFigures"/>
        <w:tabs>
          <w:tab w:val="right" w:leader="dot" w:pos="9629"/>
        </w:tabs>
        <w:rPr>
          <w:rFonts w:asciiTheme="minorHAnsi" w:eastAsiaTheme="minorEastAsia" w:hAnsiTheme="minorHAnsi"/>
          <w:b w:val="0"/>
          <w:noProof/>
          <w:lang w:eastAsia="en-US"/>
        </w:rPr>
      </w:pPr>
      <w:hyperlink w:anchor="_Toc4686571" w:history="1">
        <w:r w:rsidRPr="00C32CD2">
          <w:rPr>
            <w:rStyle w:val="Hyperlink"/>
            <w:noProof/>
            <w:lang w:val="en-US"/>
          </w:rPr>
          <w:t>Observation 2</w:t>
        </w:r>
        <w:r>
          <w:rPr>
            <w:rFonts w:asciiTheme="minorHAnsi" w:eastAsiaTheme="minorEastAsia" w:hAnsiTheme="minorHAnsi"/>
            <w:b w:val="0"/>
            <w:noProof/>
            <w:lang w:eastAsia="en-US"/>
          </w:rPr>
          <w:tab/>
        </w:r>
        <w:r w:rsidRPr="00C32CD2">
          <w:rPr>
            <w:rStyle w:val="Hyperlink"/>
            <w:noProof/>
            <w:lang w:val="en-US"/>
          </w:rPr>
          <w:t>Logged MDT only involves UE specific measurements, but Immediate MDT involves measurements from both UE and the RAN node, specifically measurements M4-M7 are specific to RAN node.</w:t>
        </w:r>
      </w:hyperlink>
    </w:p>
    <w:p w14:paraId="3F58D359" w14:textId="2D9C43D0" w:rsidR="00780DAA" w:rsidRDefault="00780DAA">
      <w:pPr>
        <w:pStyle w:val="TableofFigures"/>
        <w:tabs>
          <w:tab w:val="right" w:leader="dot" w:pos="9629"/>
        </w:tabs>
        <w:rPr>
          <w:rFonts w:asciiTheme="minorHAnsi" w:eastAsiaTheme="minorEastAsia" w:hAnsiTheme="minorHAnsi"/>
          <w:b w:val="0"/>
          <w:noProof/>
          <w:lang w:eastAsia="en-US"/>
        </w:rPr>
      </w:pPr>
      <w:hyperlink w:anchor="_Toc4686572" w:history="1">
        <w:r w:rsidRPr="00C32CD2">
          <w:rPr>
            <w:rStyle w:val="Hyperlink"/>
            <w:noProof/>
            <w:lang w:val="en-US"/>
          </w:rPr>
          <w:t>Observation 3</w:t>
        </w:r>
        <w:r>
          <w:rPr>
            <w:rFonts w:asciiTheme="minorHAnsi" w:eastAsiaTheme="minorEastAsia" w:hAnsiTheme="minorHAnsi"/>
            <w:b w:val="0"/>
            <w:noProof/>
            <w:lang w:eastAsia="en-US"/>
          </w:rPr>
          <w:tab/>
        </w:r>
        <w:r w:rsidRPr="00C32CD2">
          <w:rPr>
            <w:rStyle w:val="Hyperlink"/>
            <w:noProof/>
            <w:lang w:val="en-US"/>
          </w:rPr>
          <w:t>If MDT configuration is always provided by MN, there is no coordination requirement between MN and SN regarding which node would configure the MDT configuration for SN.</w:t>
        </w:r>
      </w:hyperlink>
    </w:p>
    <w:p w14:paraId="4DB0DED0" w14:textId="28F4DBA6" w:rsidR="00780DAA" w:rsidRDefault="00780DAA">
      <w:pPr>
        <w:pStyle w:val="TableofFigures"/>
        <w:tabs>
          <w:tab w:val="right" w:leader="dot" w:pos="9629"/>
        </w:tabs>
        <w:rPr>
          <w:rFonts w:asciiTheme="minorHAnsi" w:eastAsiaTheme="minorEastAsia" w:hAnsiTheme="minorHAnsi"/>
          <w:b w:val="0"/>
          <w:noProof/>
          <w:lang w:eastAsia="en-US"/>
        </w:rPr>
      </w:pPr>
      <w:hyperlink w:anchor="_Toc4686573" w:history="1">
        <w:r w:rsidRPr="00C32CD2">
          <w:rPr>
            <w:rStyle w:val="Hyperlink"/>
            <w:noProof/>
            <w:lang w:val="en-US"/>
          </w:rPr>
          <w:t>Observation 4</w:t>
        </w:r>
        <w:r>
          <w:rPr>
            <w:rFonts w:asciiTheme="minorHAnsi" w:eastAsiaTheme="minorEastAsia" w:hAnsiTheme="minorHAnsi"/>
            <w:b w:val="0"/>
            <w:noProof/>
            <w:lang w:eastAsia="en-US"/>
          </w:rPr>
          <w:tab/>
        </w:r>
        <w:r w:rsidRPr="00C32CD2">
          <w:rPr>
            <w:rStyle w:val="Hyperlink"/>
            <w:noProof/>
            <w:lang w:val="en-US"/>
          </w:rPr>
          <w:t>If MDT configuration is always provided by MN,</w:t>
        </w:r>
      </w:hyperlink>
    </w:p>
    <w:p w14:paraId="1560B778" w14:textId="625DB89D" w:rsidR="00780DAA" w:rsidRDefault="00780DAA">
      <w:pPr>
        <w:pStyle w:val="TableofFigures"/>
        <w:tabs>
          <w:tab w:val="right" w:leader="dot" w:pos="9629"/>
        </w:tabs>
        <w:rPr>
          <w:rFonts w:asciiTheme="minorHAnsi" w:eastAsiaTheme="minorEastAsia" w:hAnsiTheme="minorHAnsi"/>
          <w:b w:val="0"/>
          <w:noProof/>
          <w:lang w:eastAsia="en-US"/>
        </w:rPr>
      </w:pPr>
      <w:hyperlink w:anchor="_Toc4686574" w:history="1">
        <w:r w:rsidRPr="00C32CD2">
          <w:rPr>
            <w:rStyle w:val="Hyperlink"/>
            <w:rFonts w:ascii="Symbol" w:hAnsi="Symbol"/>
            <w:noProof/>
            <w:lang w:val="en-US"/>
          </w:rPr>
          <w:t></w:t>
        </w:r>
        <w:r>
          <w:rPr>
            <w:rFonts w:asciiTheme="minorHAnsi" w:eastAsiaTheme="minorEastAsia" w:hAnsiTheme="minorHAnsi"/>
            <w:b w:val="0"/>
            <w:noProof/>
            <w:lang w:eastAsia="en-US"/>
          </w:rPr>
          <w:tab/>
        </w:r>
        <w:r w:rsidRPr="00C32CD2">
          <w:rPr>
            <w:rStyle w:val="Hyperlink"/>
            <w:noProof/>
            <w:lang w:val="en-US"/>
          </w:rPr>
          <w:t>MN needs to provide MDT configuration for the SN, potentially on another RAT</w:t>
        </w:r>
      </w:hyperlink>
    </w:p>
    <w:p w14:paraId="3A6B2B45" w14:textId="15FB0E0B" w:rsidR="00780DAA" w:rsidRDefault="00780DAA">
      <w:pPr>
        <w:pStyle w:val="TableofFigures"/>
        <w:tabs>
          <w:tab w:val="right" w:leader="dot" w:pos="9629"/>
        </w:tabs>
        <w:rPr>
          <w:rFonts w:asciiTheme="minorHAnsi" w:eastAsiaTheme="minorEastAsia" w:hAnsiTheme="minorHAnsi"/>
          <w:b w:val="0"/>
          <w:noProof/>
          <w:lang w:eastAsia="en-US"/>
        </w:rPr>
      </w:pPr>
      <w:hyperlink w:anchor="_Toc4686575" w:history="1">
        <w:r w:rsidRPr="00C32CD2">
          <w:rPr>
            <w:rStyle w:val="Hyperlink"/>
            <w:rFonts w:ascii="Symbol" w:hAnsi="Symbol"/>
            <w:noProof/>
            <w:lang w:val="en-US"/>
          </w:rPr>
          <w:t></w:t>
        </w:r>
        <w:r>
          <w:rPr>
            <w:rFonts w:asciiTheme="minorHAnsi" w:eastAsiaTheme="minorEastAsia" w:hAnsiTheme="minorHAnsi"/>
            <w:b w:val="0"/>
            <w:noProof/>
            <w:lang w:eastAsia="en-US"/>
          </w:rPr>
          <w:tab/>
        </w:r>
        <w:r w:rsidRPr="00C32CD2">
          <w:rPr>
            <w:rStyle w:val="Hyperlink"/>
            <w:noProof/>
            <w:lang w:val="en-US"/>
          </w:rPr>
          <w:t>In case of SN terminated bearer, SRB is terminated directly on the SN so in this case, the measurements M4-M7 needs to be specifically measured at SN since the PDCP for SN is separate from MN.</w:t>
        </w:r>
      </w:hyperlink>
    </w:p>
    <w:p w14:paraId="3C67C424" w14:textId="217A5E8A" w:rsidR="00780DAA" w:rsidRDefault="00780DAA">
      <w:pPr>
        <w:pStyle w:val="TableofFigures"/>
        <w:tabs>
          <w:tab w:val="right" w:leader="dot" w:pos="9629"/>
        </w:tabs>
        <w:rPr>
          <w:rFonts w:asciiTheme="minorHAnsi" w:eastAsiaTheme="minorEastAsia" w:hAnsiTheme="minorHAnsi"/>
          <w:b w:val="0"/>
          <w:noProof/>
          <w:lang w:eastAsia="en-US"/>
        </w:rPr>
      </w:pPr>
      <w:hyperlink w:anchor="_Toc4686576" w:history="1">
        <w:r w:rsidRPr="00C32CD2">
          <w:rPr>
            <w:rStyle w:val="Hyperlink"/>
            <w:rFonts w:ascii="Symbol" w:hAnsi="Symbol"/>
            <w:noProof/>
            <w:lang w:val="en-US"/>
          </w:rPr>
          <w:t></w:t>
        </w:r>
        <w:r>
          <w:rPr>
            <w:rFonts w:asciiTheme="minorHAnsi" w:eastAsiaTheme="minorEastAsia" w:hAnsiTheme="minorHAnsi"/>
            <w:b w:val="0"/>
            <w:noProof/>
            <w:lang w:eastAsia="en-US"/>
          </w:rPr>
          <w:tab/>
        </w:r>
        <w:r w:rsidRPr="00C32CD2">
          <w:rPr>
            <w:rStyle w:val="Hyperlink"/>
            <w:noProof/>
            <w:lang w:val="en-US"/>
          </w:rPr>
          <w:t>Requires a separate implementation for both split bearer and SN terminated bearer.</w:t>
        </w:r>
      </w:hyperlink>
    </w:p>
    <w:p w14:paraId="73DC7D41" w14:textId="31180FD2" w:rsidR="00780DAA" w:rsidRDefault="00780DAA">
      <w:pPr>
        <w:pStyle w:val="TableofFigures"/>
        <w:tabs>
          <w:tab w:val="right" w:leader="dot" w:pos="9629"/>
        </w:tabs>
        <w:rPr>
          <w:rFonts w:asciiTheme="minorHAnsi" w:eastAsiaTheme="minorEastAsia" w:hAnsiTheme="minorHAnsi"/>
          <w:b w:val="0"/>
          <w:noProof/>
          <w:lang w:eastAsia="en-US"/>
        </w:rPr>
      </w:pPr>
      <w:hyperlink w:anchor="_Toc4686577" w:history="1">
        <w:r w:rsidRPr="00C32CD2">
          <w:rPr>
            <w:rStyle w:val="Hyperlink"/>
            <w:noProof/>
            <w:lang w:val="en-US"/>
          </w:rPr>
          <w:t>Observation 5</w:t>
        </w:r>
        <w:r>
          <w:rPr>
            <w:rFonts w:asciiTheme="minorHAnsi" w:eastAsiaTheme="minorEastAsia" w:hAnsiTheme="minorHAnsi"/>
            <w:b w:val="0"/>
            <w:noProof/>
            <w:lang w:eastAsia="en-US"/>
          </w:rPr>
          <w:tab/>
        </w:r>
        <w:r w:rsidRPr="00C32CD2">
          <w:rPr>
            <w:rStyle w:val="Hyperlink"/>
            <w:noProof/>
            <w:lang w:val="en-US"/>
          </w:rPr>
          <w:t>MDT configuration by both MN and SN covers both the split bearer and SN terminated bearer scenario and also provides more flexibility to independently configure MDT reports for MN and SN.</w:t>
        </w:r>
      </w:hyperlink>
    </w:p>
    <w:p w14:paraId="6CBE2132" w14:textId="0F56C8C4" w:rsidR="00780DAA" w:rsidRDefault="00780DAA">
      <w:pPr>
        <w:pStyle w:val="TableofFigures"/>
        <w:tabs>
          <w:tab w:val="right" w:leader="dot" w:pos="9629"/>
        </w:tabs>
        <w:rPr>
          <w:rFonts w:asciiTheme="minorHAnsi" w:eastAsiaTheme="minorEastAsia" w:hAnsiTheme="minorHAnsi"/>
          <w:b w:val="0"/>
          <w:noProof/>
          <w:lang w:eastAsia="en-US"/>
        </w:rPr>
      </w:pPr>
      <w:hyperlink w:anchor="_Toc4686578" w:history="1">
        <w:r w:rsidRPr="00C32CD2">
          <w:rPr>
            <w:rStyle w:val="Hyperlink"/>
            <w:noProof/>
            <w:lang w:val="en-US"/>
          </w:rPr>
          <w:t>Observation 6</w:t>
        </w:r>
        <w:r>
          <w:rPr>
            <w:rFonts w:asciiTheme="minorHAnsi" w:eastAsiaTheme="minorEastAsia" w:hAnsiTheme="minorHAnsi"/>
            <w:b w:val="0"/>
            <w:noProof/>
            <w:lang w:eastAsia="en-US"/>
          </w:rPr>
          <w:tab/>
        </w:r>
        <w:r w:rsidRPr="00C32CD2">
          <w:rPr>
            <w:rStyle w:val="Hyperlink"/>
            <w:noProof/>
            <w:lang w:val="en-US"/>
          </w:rPr>
          <w:t>In case of SN terminated bearer with MN only configuring MDT, MN needs to collect multiple MDT measurements from SN and then merge it into measurements received for SN from UE to generate the complete SN report.</w:t>
        </w:r>
      </w:hyperlink>
    </w:p>
    <w:p w14:paraId="550C5B4C" w14:textId="0D81C6E8" w:rsidR="00780DAA" w:rsidRDefault="00780DAA">
      <w:pPr>
        <w:pStyle w:val="TableofFigures"/>
        <w:tabs>
          <w:tab w:val="right" w:leader="dot" w:pos="9629"/>
        </w:tabs>
        <w:rPr>
          <w:rFonts w:asciiTheme="minorHAnsi" w:eastAsiaTheme="minorEastAsia" w:hAnsiTheme="minorHAnsi"/>
          <w:b w:val="0"/>
          <w:noProof/>
          <w:lang w:eastAsia="en-US"/>
        </w:rPr>
      </w:pPr>
      <w:hyperlink w:anchor="_Toc4686579" w:history="1">
        <w:r w:rsidRPr="00C32CD2">
          <w:rPr>
            <w:rStyle w:val="Hyperlink"/>
            <w:noProof/>
            <w:lang w:val="en-US"/>
          </w:rPr>
          <w:t>Observation 7</w:t>
        </w:r>
        <w:r>
          <w:rPr>
            <w:rFonts w:asciiTheme="minorHAnsi" w:eastAsiaTheme="minorEastAsia" w:hAnsiTheme="minorHAnsi"/>
            <w:b w:val="0"/>
            <w:noProof/>
            <w:lang w:eastAsia="en-US"/>
          </w:rPr>
          <w:tab/>
        </w:r>
        <w:r w:rsidRPr="00C32CD2">
          <w:rPr>
            <w:rStyle w:val="Hyperlink"/>
            <w:noProof/>
            <w:lang w:val="en-US"/>
          </w:rPr>
          <w:t>UE only measures on the MN cell when it is in Inactive or Idle state so the SN configuration during logged measurements does not add any value.</w:t>
        </w:r>
      </w:hyperlink>
    </w:p>
    <w:p w14:paraId="56174E3F" w14:textId="2ADCB862" w:rsidR="00780DAA" w:rsidRDefault="00780DAA">
      <w:pPr>
        <w:pStyle w:val="TableofFigures"/>
        <w:tabs>
          <w:tab w:val="right" w:leader="dot" w:pos="9629"/>
        </w:tabs>
        <w:rPr>
          <w:rFonts w:asciiTheme="minorHAnsi" w:eastAsiaTheme="minorEastAsia" w:hAnsiTheme="minorHAnsi"/>
          <w:b w:val="0"/>
          <w:noProof/>
          <w:lang w:eastAsia="en-US"/>
        </w:rPr>
      </w:pPr>
      <w:hyperlink w:anchor="_Toc4686580" w:history="1">
        <w:r w:rsidRPr="00C32CD2">
          <w:rPr>
            <w:rStyle w:val="Hyperlink"/>
            <w:noProof/>
            <w:lang w:val="en-US"/>
          </w:rPr>
          <w:t>Observation 8</w:t>
        </w:r>
        <w:r>
          <w:rPr>
            <w:rFonts w:asciiTheme="minorHAnsi" w:eastAsiaTheme="minorEastAsia" w:hAnsiTheme="minorHAnsi"/>
            <w:b w:val="0"/>
            <w:noProof/>
            <w:lang w:eastAsia="en-US"/>
          </w:rPr>
          <w:tab/>
        </w:r>
        <w:r w:rsidRPr="00C32CD2">
          <w:rPr>
            <w:rStyle w:val="Hyperlink"/>
            <w:noProof/>
            <w:lang w:val="en-US"/>
          </w:rPr>
          <w:t>Option 3 involves a delta in the MDT trigger to add MDT configuration for NR secondary cell groups</w:t>
        </w:r>
      </w:hyperlink>
    </w:p>
    <w:p w14:paraId="5721A658" w14:textId="6BB8F351" w:rsidR="00780DAA" w:rsidRDefault="00780DAA">
      <w:pPr>
        <w:pStyle w:val="TableofFigures"/>
        <w:tabs>
          <w:tab w:val="right" w:leader="dot" w:pos="9629"/>
        </w:tabs>
        <w:rPr>
          <w:rFonts w:asciiTheme="minorHAnsi" w:eastAsiaTheme="minorEastAsia" w:hAnsiTheme="minorHAnsi"/>
          <w:b w:val="0"/>
          <w:noProof/>
          <w:lang w:eastAsia="en-US"/>
        </w:rPr>
      </w:pPr>
      <w:hyperlink w:anchor="_Toc4686581" w:history="1">
        <w:r w:rsidRPr="00C32CD2">
          <w:rPr>
            <w:rStyle w:val="Hyperlink"/>
            <w:noProof/>
            <w:lang w:val="en-US"/>
          </w:rPr>
          <w:t>Observation 9</w:t>
        </w:r>
        <w:r>
          <w:rPr>
            <w:rFonts w:asciiTheme="minorHAnsi" w:eastAsiaTheme="minorEastAsia" w:hAnsiTheme="minorHAnsi"/>
            <w:b w:val="0"/>
            <w:noProof/>
            <w:lang w:eastAsia="en-US"/>
          </w:rPr>
          <w:tab/>
        </w:r>
        <w:r w:rsidRPr="00C32CD2">
          <w:rPr>
            <w:rStyle w:val="Hyperlink"/>
            <w:noProof/>
            <w:lang w:val="en-US"/>
          </w:rPr>
          <w:t>Option 3 involves a delta in the MDT report to add MDT measurements for NR secondary cell groups.</w:t>
        </w:r>
      </w:hyperlink>
    </w:p>
    <w:p w14:paraId="40F7678B" w14:textId="1AAEF8E5" w:rsidR="00780DAA" w:rsidRDefault="00780DAA">
      <w:pPr>
        <w:pStyle w:val="TableofFigures"/>
        <w:tabs>
          <w:tab w:val="left" w:pos="1985"/>
          <w:tab w:val="right" w:leader="dot" w:pos="9629"/>
        </w:tabs>
        <w:rPr>
          <w:rFonts w:asciiTheme="minorHAnsi" w:eastAsiaTheme="minorEastAsia" w:hAnsiTheme="minorHAnsi"/>
          <w:b w:val="0"/>
          <w:noProof/>
          <w:lang w:eastAsia="en-US"/>
        </w:rPr>
      </w:pPr>
      <w:hyperlink w:anchor="_Toc4686582" w:history="1">
        <w:r w:rsidRPr="00C32CD2">
          <w:rPr>
            <w:rStyle w:val="Hyperlink"/>
            <w:noProof/>
            <w:lang w:val="en-US"/>
          </w:rPr>
          <w:t>Observation 10</w:t>
        </w:r>
        <w:r>
          <w:rPr>
            <w:rFonts w:asciiTheme="minorHAnsi" w:eastAsiaTheme="minorEastAsia" w:hAnsiTheme="minorHAnsi"/>
            <w:b w:val="0"/>
            <w:noProof/>
            <w:lang w:eastAsia="en-US"/>
          </w:rPr>
          <w:tab/>
        </w:r>
        <w:r w:rsidRPr="00C32CD2">
          <w:rPr>
            <w:rStyle w:val="Hyperlink"/>
            <w:noProof/>
            <w:lang w:val="en-US"/>
          </w:rPr>
          <w:t>NE-DC is a natural step to start in terms of DC scenario support since it is an evolution of the current standardization activity for MDT in 5GC and NR as a priority.</w:t>
        </w:r>
      </w:hyperlink>
    </w:p>
    <w:p w14:paraId="6E4C16B6" w14:textId="1E823B57" w:rsidR="00780DAA" w:rsidRDefault="00780DAA">
      <w:pPr>
        <w:pStyle w:val="TableofFigures"/>
        <w:tabs>
          <w:tab w:val="left" w:pos="1985"/>
          <w:tab w:val="right" w:leader="dot" w:pos="9629"/>
        </w:tabs>
        <w:rPr>
          <w:rFonts w:asciiTheme="minorHAnsi" w:eastAsiaTheme="minorEastAsia" w:hAnsiTheme="minorHAnsi"/>
          <w:b w:val="0"/>
          <w:noProof/>
          <w:lang w:eastAsia="en-US"/>
        </w:rPr>
      </w:pPr>
      <w:hyperlink w:anchor="_Toc4686583" w:history="1">
        <w:r w:rsidRPr="00C32CD2">
          <w:rPr>
            <w:rStyle w:val="Hyperlink"/>
            <w:noProof/>
            <w:lang w:val="en-US"/>
          </w:rPr>
          <w:t>Observation 11</w:t>
        </w:r>
        <w:r>
          <w:rPr>
            <w:rFonts w:asciiTheme="minorHAnsi" w:eastAsiaTheme="minorEastAsia" w:hAnsiTheme="minorHAnsi"/>
            <w:b w:val="0"/>
            <w:noProof/>
            <w:lang w:eastAsia="en-US"/>
          </w:rPr>
          <w:tab/>
        </w:r>
        <w:r w:rsidRPr="00C32CD2">
          <w:rPr>
            <w:rStyle w:val="Hyperlink"/>
            <w:noProof/>
            <w:lang w:val="en-US"/>
          </w:rPr>
          <w:t>For option 5, we cannot reuse the 5GC MDT triggers agreed for NR since it would contain beam specific configuration as well as the legacy LTE mechanism can not be used since that is based on EPC.</w:t>
        </w:r>
      </w:hyperlink>
    </w:p>
    <w:p w14:paraId="1897C4C1" w14:textId="6B57006A" w:rsidR="006E1C82" w:rsidRDefault="006F6582" w:rsidP="008E065E">
      <w:pPr>
        <w:pStyle w:val="BodyText"/>
        <w:rPr>
          <w:b/>
          <w:bCs/>
        </w:rPr>
      </w:pPr>
      <w:r>
        <w:rPr>
          <w:b/>
          <w:bCs/>
        </w:rPr>
        <w:fldChar w:fldCharType="end"/>
      </w:r>
    </w:p>
    <w:p w14:paraId="41BB4B5C" w14:textId="38ADBB1D" w:rsidR="006E1C82"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7BF0221F" w14:textId="13C46EBC" w:rsidR="00386F3B" w:rsidRDefault="00386F3B" w:rsidP="006E1C82">
      <w:pPr>
        <w:pStyle w:val="BodyText"/>
        <w:rPr>
          <w:lang w:val="en-US"/>
        </w:rPr>
      </w:pPr>
    </w:p>
    <w:p w14:paraId="6AB54012" w14:textId="77777777" w:rsidR="00A80B59" w:rsidRPr="004F14D5" w:rsidRDefault="00A80B59" w:rsidP="00A80B59">
      <w:pPr>
        <w:pStyle w:val="TableofFigures"/>
        <w:tabs>
          <w:tab w:val="left" w:pos="1418"/>
          <w:tab w:val="right" w:leader="dot" w:pos="9629"/>
        </w:tabs>
        <w:ind w:left="1276" w:hanging="1276"/>
        <w:rPr>
          <w:rStyle w:val="Hyperlink"/>
          <w:noProof/>
          <w:color w:val="000000" w:themeColor="text1"/>
          <w:u w:val="none"/>
          <w:lang w:val="en-US"/>
        </w:rPr>
      </w:pPr>
      <w:r w:rsidRPr="004F14D5">
        <w:rPr>
          <w:rStyle w:val="Hyperlink"/>
          <w:noProof/>
          <w:color w:val="000000" w:themeColor="text1"/>
          <w:u w:val="none"/>
          <w:lang w:val="en-US"/>
        </w:rPr>
        <w:t xml:space="preserve">Proposal 1 OAM can include configuration for secondary cell group (SCG) in  the MDT triggers for immediate MDT. </w:t>
      </w:r>
    </w:p>
    <w:p w14:paraId="4667D55F" w14:textId="77777777" w:rsidR="00A80B59" w:rsidRPr="004F14D5" w:rsidRDefault="00A80B59" w:rsidP="00A80B59">
      <w:pPr>
        <w:pStyle w:val="TableofFigures"/>
        <w:tabs>
          <w:tab w:val="left" w:pos="1418"/>
          <w:tab w:val="right" w:leader="dot" w:pos="9629"/>
        </w:tabs>
        <w:ind w:left="1276" w:hanging="1276"/>
        <w:rPr>
          <w:rStyle w:val="Hyperlink"/>
          <w:noProof/>
          <w:color w:val="000000" w:themeColor="text1"/>
          <w:u w:val="none"/>
          <w:lang w:val="en-US"/>
        </w:rPr>
      </w:pPr>
      <w:r w:rsidRPr="004F14D5">
        <w:rPr>
          <w:rStyle w:val="Hyperlink"/>
          <w:noProof/>
          <w:color w:val="000000" w:themeColor="text1"/>
          <w:u w:val="none"/>
          <w:lang w:val="en-US"/>
        </w:rPr>
        <w:t>Proposal 2 UE only applies the configuration for secondary cell group (SCG) in the MDT triggers if it supports dual connectivity and is currently configured with a secondary cell group (SCG)</w:t>
      </w:r>
    </w:p>
    <w:p w14:paraId="18716765" w14:textId="77777777" w:rsidR="00A80B59" w:rsidRPr="004F14D5" w:rsidRDefault="00A80B59" w:rsidP="00A80B59">
      <w:pPr>
        <w:pStyle w:val="TableofFigures"/>
        <w:tabs>
          <w:tab w:val="left" w:pos="1418"/>
          <w:tab w:val="right" w:leader="dot" w:pos="9629"/>
        </w:tabs>
        <w:ind w:left="1276" w:hanging="1276"/>
        <w:rPr>
          <w:noProof/>
          <w:color w:val="000000" w:themeColor="text1"/>
          <w:lang w:val="en-US"/>
        </w:rPr>
      </w:pPr>
      <w:bookmarkStart w:id="17" w:name="_Toc4531260"/>
      <w:r w:rsidRPr="004F14D5">
        <w:rPr>
          <w:rStyle w:val="Hyperlink"/>
          <w:noProof/>
          <w:color w:val="000000" w:themeColor="text1"/>
          <w:u w:val="none"/>
          <w:lang w:val="en-US"/>
        </w:rPr>
        <w:t>Proposal 3  In case only MN receive the MDT trigger and the UE is configured with MR-DC, MN should be able to forward the MDT configuration to SN.</w:t>
      </w:r>
      <w:bookmarkEnd w:id="17"/>
    </w:p>
    <w:p w14:paraId="519844EA" w14:textId="77777777" w:rsidR="00A80B59" w:rsidRPr="004F14D5" w:rsidRDefault="00A80B59" w:rsidP="00A80B59">
      <w:pPr>
        <w:pStyle w:val="TableofFigures"/>
        <w:tabs>
          <w:tab w:val="left" w:pos="1418"/>
          <w:tab w:val="right" w:leader="dot" w:pos="9629"/>
        </w:tabs>
        <w:ind w:left="1276" w:hanging="1276"/>
        <w:rPr>
          <w:rStyle w:val="Hyperlink"/>
          <w:noProof/>
          <w:color w:val="000000" w:themeColor="text1"/>
          <w:u w:val="none"/>
          <w:lang w:val="en-US"/>
        </w:rPr>
      </w:pPr>
      <w:r w:rsidRPr="004F14D5">
        <w:rPr>
          <w:rStyle w:val="Hyperlink"/>
          <w:noProof/>
          <w:color w:val="000000" w:themeColor="text1"/>
          <w:u w:val="none"/>
          <w:lang w:val="en-US"/>
        </w:rPr>
        <w:t xml:space="preserve">Proposal 4 MDT configuration including SN related measurements is not support for logged MDT. </w:t>
      </w:r>
    </w:p>
    <w:p w14:paraId="599899D3" w14:textId="77777777" w:rsidR="00A80B59" w:rsidRPr="004F14D5" w:rsidRDefault="00A80B59" w:rsidP="00A80B59">
      <w:pPr>
        <w:pStyle w:val="TableofFigures"/>
        <w:tabs>
          <w:tab w:val="left" w:pos="1418"/>
          <w:tab w:val="right" w:leader="dot" w:pos="9629"/>
        </w:tabs>
        <w:ind w:left="1276" w:hanging="1276"/>
        <w:rPr>
          <w:rStyle w:val="Hyperlink"/>
          <w:noProof/>
          <w:color w:val="000000" w:themeColor="text1"/>
          <w:u w:val="none"/>
          <w:lang w:val="en-US"/>
        </w:rPr>
      </w:pPr>
      <w:r>
        <w:rPr>
          <w:rStyle w:val="Hyperlink"/>
          <w:noProof/>
          <w:color w:val="000000" w:themeColor="text1"/>
          <w:lang w:val="en-US"/>
        </w:rPr>
        <w:t>P</w:t>
      </w:r>
      <w:r w:rsidRPr="004F14D5">
        <w:rPr>
          <w:rStyle w:val="Hyperlink"/>
          <w:noProof/>
          <w:color w:val="000000" w:themeColor="text1"/>
          <w:u w:val="none"/>
          <w:lang w:val="en-US"/>
        </w:rPr>
        <w:t xml:space="preserve">roposal 5 In MR-DC with immediate MDT, both MN and SN separately provides MDT configuration to the UE and also receive MDT reports from the UE. </w:t>
      </w:r>
    </w:p>
    <w:p w14:paraId="4E52252B" w14:textId="77777777" w:rsidR="00A80B59" w:rsidRPr="004F14D5" w:rsidRDefault="00A80B59" w:rsidP="00A80B59">
      <w:pPr>
        <w:pStyle w:val="TableofFigures"/>
        <w:tabs>
          <w:tab w:val="left" w:pos="1418"/>
          <w:tab w:val="right" w:leader="dot" w:pos="9629"/>
        </w:tabs>
        <w:ind w:left="1276" w:hanging="1276"/>
        <w:rPr>
          <w:rStyle w:val="Hyperlink"/>
          <w:noProof/>
          <w:color w:val="000000" w:themeColor="text1"/>
          <w:u w:val="none"/>
          <w:lang w:val="en-US"/>
        </w:rPr>
      </w:pPr>
      <w:r>
        <w:rPr>
          <w:rStyle w:val="Hyperlink"/>
          <w:noProof/>
          <w:color w:val="000000" w:themeColor="text1"/>
          <w:lang w:val="en-US"/>
        </w:rPr>
        <w:t>P</w:t>
      </w:r>
      <w:r w:rsidRPr="004F14D5">
        <w:rPr>
          <w:rStyle w:val="Hyperlink"/>
          <w:noProof/>
          <w:color w:val="000000" w:themeColor="text1"/>
          <w:u w:val="none"/>
          <w:lang w:val="en-US"/>
        </w:rPr>
        <w:t xml:space="preserve">roposal 6 In MR-DC with immediate MDT, UE should be able to receive separate configuration for MN and SN. </w:t>
      </w:r>
    </w:p>
    <w:p w14:paraId="4068C394" w14:textId="77777777" w:rsidR="00A80B59" w:rsidRPr="004F14D5" w:rsidRDefault="00A80B59" w:rsidP="00A80B59">
      <w:pPr>
        <w:pStyle w:val="TableofFigures"/>
        <w:tabs>
          <w:tab w:val="left" w:pos="1418"/>
          <w:tab w:val="right" w:leader="dot" w:pos="9629"/>
        </w:tabs>
        <w:ind w:left="1276" w:hanging="1276"/>
        <w:rPr>
          <w:rStyle w:val="Hyperlink"/>
          <w:noProof/>
          <w:color w:val="000000" w:themeColor="text1"/>
          <w:u w:val="none"/>
          <w:lang w:val="en-US"/>
        </w:rPr>
      </w:pPr>
      <w:r>
        <w:rPr>
          <w:rStyle w:val="Hyperlink"/>
          <w:noProof/>
          <w:color w:val="000000" w:themeColor="text1"/>
          <w:lang w:val="en-US"/>
        </w:rPr>
        <w:t>P</w:t>
      </w:r>
      <w:r w:rsidRPr="004F14D5">
        <w:rPr>
          <w:rStyle w:val="Hyperlink"/>
          <w:noProof/>
          <w:color w:val="000000" w:themeColor="text1"/>
          <w:u w:val="none"/>
          <w:lang w:val="en-US"/>
        </w:rPr>
        <w:t xml:space="preserve">roposal 7 In MR-DC with immediate MDT, UE should be able to provide separate MDT reports for MN and SN either over SRB1/2 or SRB3. </w:t>
      </w:r>
    </w:p>
    <w:p w14:paraId="0E23E042" w14:textId="77777777" w:rsidR="00A80B59" w:rsidRPr="004F14D5" w:rsidRDefault="00A80B59" w:rsidP="00A80B59">
      <w:pPr>
        <w:pStyle w:val="TableofFigures"/>
        <w:tabs>
          <w:tab w:val="left" w:pos="1418"/>
          <w:tab w:val="right" w:leader="dot" w:pos="9629"/>
        </w:tabs>
        <w:ind w:left="1276" w:hanging="1276"/>
        <w:rPr>
          <w:rStyle w:val="Hyperlink"/>
          <w:noProof/>
          <w:color w:val="000000" w:themeColor="text1"/>
          <w:u w:val="none"/>
          <w:lang w:val="en-US"/>
        </w:rPr>
      </w:pPr>
      <w:r>
        <w:rPr>
          <w:rStyle w:val="Hyperlink"/>
          <w:noProof/>
          <w:color w:val="000000" w:themeColor="text1"/>
          <w:lang w:val="en-US"/>
        </w:rPr>
        <w:t>P</w:t>
      </w:r>
      <w:r w:rsidRPr="004F14D5">
        <w:rPr>
          <w:rStyle w:val="Hyperlink"/>
          <w:noProof/>
          <w:color w:val="000000" w:themeColor="text1"/>
          <w:u w:val="none"/>
          <w:lang w:val="en-US"/>
        </w:rPr>
        <w:t xml:space="preserve">roposal 8 Enhance the E-UTRA MDT configuration and MDT report to include configuration for NR secondary cell group.  </w:t>
      </w:r>
    </w:p>
    <w:p w14:paraId="115EEF23" w14:textId="77777777" w:rsidR="00A80B59" w:rsidRPr="004F14D5" w:rsidRDefault="00A80B59" w:rsidP="00A80B59">
      <w:pPr>
        <w:pStyle w:val="TableofFigures"/>
        <w:tabs>
          <w:tab w:val="left" w:pos="1418"/>
          <w:tab w:val="right" w:leader="dot" w:pos="9629"/>
        </w:tabs>
        <w:ind w:left="1276" w:hanging="1276"/>
        <w:rPr>
          <w:rStyle w:val="Hyperlink"/>
          <w:noProof/>
          <w:color w:val="000000" w:themeColor="text1"/>
          <w:u w:val="none"/>
          <w:lang w:val="en-US"/>
        </w:rPr>
      </w:pPr>
      <w:r>
        <w:rPr>
          <w:rStyle w:val="Hyperlink"/>
          <w:noProof/>
          <w:color w:val="000000" w:themeColor="text1"/>
          <w:lang w:val="en-US"/>
        </w:rPr>
        <w:t>P</w:t>
      </w:r>
      <w:r w:rsidRPr="004F14D5">
        <w:rPr>
          <w:rStyle w:val="Hyperlink"/>
          <w:noProof/>
          <w:color w:val="000000" w:themeColor="text1"/>
          <w:u w:val="none"/>
          <w:lang w:val="en-US"/>
        </w:rPr>
        <w:t xml:space="preserve">roposal 9 Enhance the NR MDT configuration and MDT report to include configuration for E-UTRA secondary cell group.  </w:t>
      </w:r>
    </w:p>
    <w:p w14:paraId="0208DD2C" w14:textId="77777777" w:rsidR="00A80B59" w:rsidRPr="004F14D5" w:rsidRDefault="00A80B59" w:rsidP="00A80B59">
      <w:pPr>
        <w:pStyle w:val="TableofFigures"/>
        <w:tabs>
          <w:tab w:val="left" w:pos="1418"/>
          <w:tab w:val="right" w:leader="dot" w:pos="9629"/>
        </w:tabs>
        <w:ind w:left="1276" w:hanging="1276"/>
        <w:rPr>
          <w:rStyle w:val="Hyperlink"/>
          <w:noProof/>
          <w:color w:val="000000" w:themeColor="text1"/>
          <w:u w:val="none"/>
          <w:lang w:val="en-US"/>
        </w:rPr>
      </w:pPr>
      <w:r>
        <w:rPr>
          <w:rStyle w:val="Hyperlink"/>
          <w:noProof/>
          <w:color w:val="000000" w:themeColor="text1"/>
          <w:lang w:val="en-US"/>
        </w:rPr>
        <w:t>P</w:t>
      </w:r>
      <w:r w:rsidRPr="004F14D5">
        <w:rPr>
          <w:rStyle w:val="Hyperlink"/>
          <w:noProof/>
          <w:color w:val="000000" w:themeColor="text1"/>
          <w:u w:val="none"/>
          <w:lang w:val="en-US"/>
        </w:rPr>
        <w:t xml:space="preserve">roposal 10 Reuse the release 14 specification of MDT configuration for E-UTRA secondary cell group cells. </w:t>
      </w:r>
    </w:p>
    <w:p w14:paraId="71D8E3DB" w14:textId="29199117" w:rsidR="00A80B59" w:rsidRPr="000E5792" w:rsidRDefault="00A80B59" w:rsidP="00A80B59">
      <w:pPr>
        <w:pStyle w:val="TableofFigures"/>
        <w:tabs>
          <w:tab w:val="left" w:pos="1418"/>
          <w:tab w:val="right" w:leader="dot" w:pos="9629"/>
        </w:tabs>
        <w:ind w:left="1276" w:hanging="1276"/>
        <w:rPr>
          <w:rStyle w:val="Hyperlink"/>
          <w:noProof/>
          <w:color w:val="000000" w:themeColor="text1"/>
          <w:u w:val="none"/>
          <w:lang w:val="en-US"/>
        </w:rPr>
      </w:pPr>
      <w:r w:rsidRPr="00A80B59">
        <w:rPr>
          <w:rStyle w:val="Hyperlink"/>
          <w:noProof/>
          <w:color w:val="000000" w:themeColor="text1"/>
          <w:u w:val="none"/>
          <w:lang w:val="en-US"/>
        </w:rPr>
        <w:t>Proposal 11 MDT mechanism for Option 7 should be considered after concluding MDT for option 5</w:t>
      </w:r>
    </w:p>
    <w:p w14:paraId="249E738F" w14:textId="6DC3EFC4" w:rsidR="00725B1A" w:rsidRDefault="00725B1A" w:rsidP="00B71638">
      <w:pPr>
        <w:rPr>
          <w:lang w:val="en-US" w:eastAsia="zh-CN"/>
        </w:rPr>
      </w:pPr>
    </w:p>
    <w:p w14:paraId="296A31B4" w14:textId="1D1ED754" w:rsidR="00AF318C" w:rsidRDefault="00F507D1" w:rsidP="00A80B59">
      <w:pPr>
        <w:pStyle w:val="Heading1"/>
        <w:ind w:left="0" w:firstLine="0"/>
      </w:pPr>
      <w:bookmarkStart w:id="18" w:name="_In-sequence_SDU_delivery"/>
      <w:bookmarkEnd w:id="18"/>
      <w:r w:rsidRPr="00CE0424">
        <w:t>References</w:t>
      </w:r>
    </w:p>
    <w:p w14:paraId="4205AC1B" w14:textId="57ADF889" w:rsidR="008D5D3F" w:rsidRPr="008D5D3F" w:rsidRDefault="008D5D3F" w:rsidP="00F7764F">
      <w:pPr>
        <w:pStyle w:val="Reference"/>
        <w:spacing w:after="160"/>
        <w:jc w:val="left"/>
        <w:rPr>
          <w:lang w:val="en-US"/>
        </w:rPr>
      </w:pPr>
      <w:bookmarkStart w:id="19" w:name="_Ref3297915"/>
      <w:bookmarkStart w:id="20" w:name="_Ref517363293"/>
      <w:bookmarkStart w:id="21" w:name="_Ref1041610"/>
      <w:bookmarkStart w:id="22" w:name="_Ref1049082"/>
      <w:r w:rsidRPr="00253A9B">
        <w:rPr>
          <w:lang w:val="en-US"/>
        </w:rPr>
        <w:t>R2-1900652, MDT Overview, Ericsson</w:t>
      </w:r>
      <w:r w:rsidR="00C11E5B" w:rsidRPr="00253A9B">
        <w:rPr>
          <w:lang w:val="en-US"/>
        </w:rPr>
        <w:t xml:space="preserve">, </w:t>
      </w:r>
      <w:r w:rsidR="00253A9B" w:rsidRPr="00253A9B">
        <w:rPr>
          <w:lang w:val="en-US"/>
        </w:rPr>
        <w:t>R</w:t>
      </w:r>
      <w:r w:rsidR="00253A9B">
        <w:rPr>
          <w:lang w:val="en-US"/>
        </w:rPr>
        <w:t>AN2 #105</w:t>
      </w:r>
      <w:r w:rsidR="00F7327D">
        <w:rPr>
          <w:lang w:val="en-US"/>
        </w:rPr>
        <w:t xml:space="preserve">, </w:t>
      </w:r>
      <w:r w:rsidR="00D46D0D" w:rsidRPr="00D46D0D">
        <w:rPr>
          <w:lang w:val="en-US"/>
        </w:rPr>
        <w:t>Athens, Greece, 25 Feb – 1 Mar 2019</w:t>
      </w:r>
      <w:bookmarkEnd w:id="19"/>
    </w:p>
    <w:p w14:paraId="725A2AF3" w14:textId="77777777" w:rsidR="00810BF5" w:rsidRDefault="00810BF5" w:rsidP="00810BF5">
      <w:pPr>
        <w:pStyle w:val="Reference"/>
        <w:spacing w:after="160"/>
        <w:jc w:val="left"/>
        <w:rPr>
          <w:lang w:val="en-US"/>
        </w:rPr>
      </w:pPr>
      <w:bookmarkStart w:id="23" w:name="_Ref1049183"/>
      <w:bookmarkEnd w:id="20"/>
      <w:bookmarkEnd w:id="21"/>
      <w:bookmarkEnd w:id="22"/>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23"/>
    </w:p>
    <w:p w14:paraId="4337818A" w14:textId="48377BB0" w:rsidR="00F7764F" w:rsidRPr="00B463E4" w:rsidRDefault="00B463E4" w:rsidP="00F7764F">
      <w:pPr>
        <w:pStyle w:val="Reference"/>
        <w:spacing w:after="160"/>
        <w:jc w:val="left"/>
        <w:rPr>
          <w:lang w:val="en-US"/>
        </w:rPr>
      </w:pPr>
      <w:bookmarkStart w:id="24" w:name="_Ref517365773"/>
      <w:bookmarkStart w:id="25" w:name="_Ref1042952"/>
      <w:r w:rsidRPr="00F7764F">
        <w:rPr>
          <w:rFonts w:cs="Arial"/>
          <w:lang w:val="en-US"/>
        </w:rPr>
        <w:t>TS 3</w:t>
      </w:r>
      <w:r>
        <w:rPr>
          <w:rFonts w:cs="Arial"/>
          <w:lang w:val="en-US"/>
        </w:rPr>
        <w:t>6</w:t>
      </w:r>
      <w:r w:rsidRPr="00F7764F">
        <w:rPr>
          <w:rFonts w:cs="Arial"/>
          <w:lang w:val="en-US"/>
        </w:rPr>
        <w:t>.3</w:t>
      </w:r>
      <w:r>
        <w:rPr>
          <w:rFonts w:cs="Arial"/>
          <w:lang w:val="en-US"/>
        </w:rPr>
        <w:t>31</w:t>
      </w:r>
      <w:r w:rsidRPr="00F7764F">
        <w:rPr>
          <w:lang w:val="en-US"/>
        </w:rPr>
        <w:t xml:space="preserve">, </w:t>
      </w:r>
      <w:r w:rsidRPr="00435D31">
        <w:rPr>
          <w:lang w:val="en-US"/>
        </w:rPr>
        <w:t>Evolved Universal Terrestrial Radio Access (E-UTRA); Radio Resource Control (RRC); Protocol specification</w:t>
      </w:r>
      <w:r w:rsidRPr="00F7764F">
        <w:rPr>
          <w:lang w:val="en-US"/>
        </w:rPr>
        <w:t xml:space="preserve">, 3GPP, </w:t>
      </w:r>
      <w:r w:rsidRPr="00910FA8">
        <w:rPr>
          <w:lang w:val="en-US"/>
        </w:rPr>
        <w:t>V15.</w:t>
      </w:r>
      <w:r>
        <w:rPr>
          <w:lang w:val="en-US"/>
        </w:rPr>
        <w:t>4</w:t>
      </w:r>
      <w:r w:rsidRPr="00910FA8">
        <w:rPr>
          <w:lang w:val="en-US"/>
        </w:rPr>
        <w:t>.0, 201</w:t>
      </w:r>
      <w:r>
        <w:rPr>
          <w:lang w:val="en-US"/>
        </w:rPr>
        <w:t>9</w:t>
      </w:r>
      <w:r w:rsidRPr="00910FA8">
        <w:rPr>
          <w:lang w:val="en-US"/>
        </w:rPr>
        <w:t>-0</w:t>
      </w:r>
      <w:r>
        <w:rPr>
          <w:lang w:val="en-US"/>
        </w:rPr>
        <w:t>2</w:t>
      </w:r>
      <w:bookmarkEnd w:id="24"/>
      <w:bookmarkEnd w:id="25"/>
    </w:p>
    <w:sectPr w:rsidR="00F7764F" w:rsidRPr="00B463E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89475" w14:textId="77777777" w:rsidR="00AF3CC3" w:rsidRDefault="00AF3CC3">
      <w:r>
        <w:separator/>
      </w:r>
    </w:p>
  </w:endnote>
  <w:endnote w:type="continuationSeparator" w:id="0">
    <w:p w14:paraId="0234C223" w14:textId="77777777" w:rsidR="00AF3CC3" w:rsidRDefault="00AF3CC3">
      <w:r>
        <w:continuationSeparator/>
      </w:r>
    </w:p>
  </w:endnote>
  <w:endnote w:type="continuationNotice" w:id="1">
    <w:p w14:paraId="092DEE54" w14:textId="77777777" w:rsidR="00AF3CC3" w:rsidRDefault="00AF3C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Capital TT">
    <w:panose1 w:val="02000503000000020004"/>
    <w:charset w:val="00"/>
    <w:family w:val="auto"/>
    <w:pitch w:val="variable"/>
    <w:sig w:usb0="80000027"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ED8F0" w14:textId="77777777" w:rsidR="00AF3CC3" w:rsidRDefault="00AF3CC3">
      <w:r>
        <w:separator/>
      </w:r>
    </w:p>
  </w:footnote>
  <w:footnote w:type="continuationSeparator" w:id="0">
    <w:p w14:paraId="250F01CB" w14:textId="77777777" w:rsidR="00AF3CC3" w:rsidRDefault="00AF3CC3">
      <w:r>
        <w:continuationSeparator/>
      </w:r>
    </w:p>
  </w:footnote>
  <w:footnote w:type="continuationNotice" w:id="1">
    <w:p w14:paraId="508192F7" w14:textId="77777777" w:rsidR="00AF3CC3" w:rsidRDefault="00AF3C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86723"/>
    <w:multiLevelType w:val="hybridMultilevel"/>
    <w:tmpl w:val="D37279F0"/>
    <w:lvl w:ilvl="0" w:tplc="9306B6FC">
      <w:start w:val="1"/>
      <w:numFmt w:val="bullet"/>
      <w:lvlText w:val="–"/>
      <w:lvlJc w:val="left"/>
      <w:pPr>
        <w:tabs>
          <w:tab w:val="num" w:pos="720"/>
        </w:tabs>
        <w:ind w:left="720" w:hanging="360"/>
      </w:pPr>
      <w:rPr>
        <w:rFonts w:ascii="Ericsson Capital TT" w:hAnsi="Ericsson Capital TT" w:hint="default"/>
      </w:rPr>
    </w:lvl>
    <w:lvl w:ilvl="1" w:tplc="6178C068">
      <w:start w:val="1"/>
      <w:numFmt w:val="bullet"/>
      <w:lvlText w:val="–"/>
      <w:lvlJc w:val="left"/>
      <w:pPr>
        <w:tabs>
          <w:tab w:val="num" w:pos="1440"/>
        </w:tabs>
        <w:ind w:left="1440" w:hanging="360"/>
      </w:pPr>
      <w:rPr>
        <w:rFonts w:ascii="Ericsson Capital TT" w:hAnsi="Ericsson Capital TT" w:hint="default"/>
      </w:rPr>
    </w:lvl>
    <w:lvl w:ilvl="2" w:tplc="E97615CC">
      <w:numFmt w:val="bullet"/>
      <w:lvlText w:val="›"/>
      <w:lvlJc w:val="left"/>
      <w:pPr>
        <w:tabs>
          <w:tab w:val="num" w:pos="2160"/>
        </w:tabs>
        <w:ind w:left="2160" w:hanging="360"/>
      </w:pPr>
      <w:rPr>
        <w:rFonts w:ascii="Ericsson Capital TT" w:hAnsi="Ericsson Capital TT" w:hint="default"/>
      </w:rPr>
    </w:lvl>
    <w:lvl w:ilvl="3" w:tplc="98CE9426" w:tentative="1">
      <w:start w:val="1"/>
      <w:numFmt w:val="bullet"/>
      <w:lvlText w:val="–"/>
      <w:lvlJc w:val="left"/>
      <w:pPr>
        <w:tabs>
          <w:tab w:val="num" w:pos="2880"/>
        </w:tabs>
        <w:ind w:left="2880" w:hanging="360"/>
      </w:pPr>
      <w:rPr>
        <w:rFonts w:ascii="Ericsson Capital TT" w:hAnsi="Ericsson Capital TT" w:hint="default"/>
      </w:rPr>
    </w:lvl>
    <w:lvl w:ilvl="4" w:tplc="F86ABC2E" w:tentative="1">
      <w:start w:val="1"/>
      <w:numFmt w:val="bullet"/>
      <w:lvlText w:val="–"/>
      <w:lvlJc w:val="left"/>
      <w:pPr>
        <w:tabs>
          <w:tab w:val="num" w:pos="3600"/>
        </w:tabs>
        <w:ind w:left="3600" w:hanging="360"/>
      </w:pPr>
      <w:rPr>
        <w:rFonts w:ascii="Ericsson Capital TT" w:hAnsi="Ericsson Capital TT" w:hint="default"/>
      </w:rPr>
    </w:lvl>
    <w:lvl w:ilvl="5" w:tplc="CA9C7286" w:tentative="1">
      <w:start w:val="1"/>
      <w:numFmt w:val="bullet"/>
      <w:lvlText w:val="–"/>
      <w:lvlJc w:val="left"/>
      <w:pPr>
        <w:tabs>
          <w:tab w:val="num" w:pos="4320"/>
        </w:tabs>
        <w:ind w:left="4320" w:hanging="360"/>
      </w:pPr>
      <w:rPr>
        <w:rFonts w:ascii="Ericsson Capital TT" w:hAnsi="Ericsson Capital TT" w:hint="default"/>
      </w:rPr>
    </w:lvl>
    <w:lvl w:ilvl="6" w:tplc="0240B428" w:tentative="1">
      <w:start w:val="1"/>
      <w:numFmt w:val="bullet"/>
      <w:lvlText w:val="–"/>
      <w:lvlJc w:val="left"/>
      <w:pPr>
        <w:tabs>
          <w:tab w:val="num" w:pos="5040"/>
        </w:tabs>
        <w:ind w:left="5040" w:hanging="360"/>
      </w:pPr>
      <w:rPr>
        <w:rFonts w:ascii="Ericsson Capital TT" w:hAnsi="Ericsson Capital TT" w:hint="default"/>
      </w:rPr>
    </w:lvl>
    <w:lvl w:ilvl="7" w:tplc="02EA022C" w:tentative="1">
      <w:start w:val="1"/>
      <w:numFmt w:val="bullet"/>
      <w:lvlText w:val="–"/>
      <w:lvlJc w:val="left"/>
      <w:pPr>
        <w:tabs>
          <w:tab w:val="num" w:pos="5760"/>
        </w:tabs>
        <w:ind w:left="5760" w:hanging="360"/>
      </w:pPr>
      <w:rPr>
        <w:rFonts w:ascii="Ericsson Capital TT" w:hAnsi="Ericsson Capital TT" w:hint="default"/>
      </w:rPr>
    </w:lvl>
    <w:lvl w:ilvl="8" w:tplc="BD46DD7A" w:tentative="1">
      <w:start w:val="1"/>
      <w:numFmt w:val="bullet"/>
      <w:lvlText w:val="–"/>
      <w:lvlJc w:val="left"/>
      <w:pPr>
        <w:tabs>
          <w:tab w:val="num" w:pos="6480"/>
        </w:tabs>
        <w:ind w:left="6480" w:hanging="360"/>
      </w:pPr>
      <w:rPr>
        <w:rFonts w:ascii="Ericsson Capital TT" w:hAnsi="Ericsson Capital TT" w:hint="default"/>
      </w:rPr>
    </w:lvl>
  </w:abstractNum>
  <w:abstractNum w:abstractNumId="2" w15:restartNumberingAfterBreak="0">
    <w:nsid w:val="04D45C03"/>
    <w:multiLevelType w:val="hybridMultilevel"/>
    <w:tmpl w:val="42E4718E"/>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C12264"/>
    <w:multiLevelType w:val="multilevel"/>
    <w:tmpl w:val="05F03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8769C9"/>
    <w:multiLevelType w:val="hybridMultilevel"/>
    <w:tmpl w:val="AF2E0B18"/>
    <w:lvl w:ilvl="0" w:tplc="55E6EA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DF03B4"/>
    <w:multiLevelType w:val="multilevel"/>
    <w:tmpl w:val="6896C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5464CF"/>
    <w:multiLevelType w:val="hybridMultilevel"/>
    <w:tmpl w:val="6FE8A21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B6E0B"/>
    <w:multiLevelType w:val="hybridMultilevel"/>
    <w:tmpl w:val="B4D4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DE029C"/>
    <w:multiLevelType w:val="hybridMultilevel"/>
    <w:tmpl w:val="405A278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7BC6F87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7B2917"/>
    <w:multiLevelType w:val="hybridMultilevel"/>
    <w:tmpl w:val="01D22076"/>
    <w:lvl w:ilvl="0" w:tplc="C97C47FC">
      <w:start w:val="1"/>
      <w:numFmt w:val="bullet"/>
      <w:lvlText w:val="›"/>
      <w:lvlJc w:val="left"/>
      <w:pPr>
        <w:tabs>
          <w:tab w:val="num" w:pos="720"/>
        </w:tabs>
        <w:ind w:left="720" w:hanging="360"/>
      </w:pPr>
      <w:rPr>
        <w:rFonts w:ascii="Arial" w:hAnsi="Arial" w:hint="default"/>
      </w:rPr>
    </w:lvl>
    <w:lvl w:ilvl="1" w:tplc="19A88916" w:tentative="1">
      <w:start w:val="1"/>
      <w:numFmt w:val="bullet"/>
      <w:lvlText w:val="›"/>
      <w:lvlJc w:val="left"/>
      <w:pPr>
        <w:tabs>
          <w:tab w:val="num" w:pos="1440"/>
        </w:tabs>
        <w:ind w:left="1440" w:hanging="360"/>
      </w:pPr>
      <w:rPr>
        <w:rFonts w:ascii="Arial" w:hAnsi="Arial" w:hint="default"/>
      </w:rPr>
    </w:lvl>
    <w:lvl w:ilvl="2" w:tplc="97C01B04" w:tentative="1">
      <w:start w:val="1"/>
      <w:numFmt w:val="bullet"/>
      <w:lvlText w:val="›"/>
      <w:lvlJc w:val="left"/>
      <w:pPr>
        <w:tabs>
          <w:tab w:val="num" w:pos="2160"/>
        </w:tabs>
        <w:ind w:left="2160" w:hanging="360"/>
      </w:pPr>
      <w:rPr>
        <w:rFonts w:ascii="Arial" w:hAnsi="Arial" w:hint="default"/>
      </w:rPr>
    </w:lvl>
    <w:lvl w:ilvl="3" w:tplc="ED78D320" w:tentative="1">
      <w:start w:val="1"/>
      <w:numFmt w:val="bullet"/>
      <w:lvlText w:val="›"/>
      <w:lvlJc w:val="left"/>
      <w:pPr>
        <w:tabs>
          <w:tab w:val="num" w:pos="2880"/>
        </w:tabs>
        <w:ind w:left="2880" w:hanging="360"/>
      </w:pPr>
      <w:rPr>
        <w:rFonts w:ascii="Arial" w:hAnsi="Arial" w:hint="default"/>
      </w:rPr>
    </w:lvl>
    <w:lvl w:ilvl="4" w:tplc="003094C0" w:tentative="1">
      <w:start w:val="1"/>
      <w:numFmt w:val="bullet"/>
      <w:lvlText w:val="›"/>
      <w:lvlJc w:val="left"/>
      <w:pPr>
        <w:tabs>
          <w:tab w:val="num" w:pos="3600"/>
        </w:tabs>
        <w:ind w:left="3600" w:hanging="360"/>
      </w:pPr>
      <w:rPr>
        <w:rFonts w:ascii="Arial" w:hAnsi="Arial" w:hint="default"/>
      </w:rPr>
    </w:lvl>
    <w:lvl w:ilvl="5" w:tplc="38EC1FF4" w:tentative="1">
      <w:start w:val="1"/>
      <w:numFmt w:val="bullet"/>
      <w:lvlText w:val="›"/>
      <w:lvlJc w:val="left"/>
      <w:pPr>
        <w:tabs>
          <w:tab w:val="num" w:pos="4320"/>
        </w:tabs>
        <w:ind w:left="4320" w:hanging="360"/>
      </w:pPr>
      <w:rPr>
        <w:rFonts w:ascii="Arial" w:hAnsi="Arial" w:hint="default"/>
      </w:rPr>
    </w:lvl>
    <w:lvl w:ilvl="6" w:tplc="56045328" w:tentative="1">
      <w:start w:val="1"/>
      <w:numFmt w:val="bullet"/>
      <w:lvlText w:val="›"/>
      <w:lvlJc w:val="left"/>
      <w:pPr>
        <w:tabs>
          <w:tab w:val="num" w:pos="5040"/>
        </w:tabs>
        <w:ind w:left="5040" w:hanging="360"/>
      </w:pPr>
      <w:rPr>
        <w:rFonts w:ascii="Arial" w:hAnsi="Arial" w:hint="default"/>
      </w:rPr>
    </w:lvl>
    <w:lvl w:ilvl="7" w:tplc="7AB02CDA" w:tentative="1">
      <w:start w:val="1"/>
      <w:numFmt w:val="bullet"/>
      <w:lvlText w:val="›"/>
      <w:lvlJc w:val="left"/>
      <w:pPr>
        <w:tabs>
          <w:tab w:val="num" w:pos="5760"/>
        </w:tabs>
        <w:ind w:left="5760" w:hanging="360"/>
      </w:pPr>
      <w:rPr>
        <w:rFonts w:ascii="Arial" w:hAnsi="Arial" w:hint="default"/>
      </w:rPr>
    </w:lvl>
    <w:lvl w:ilvl="8" w:tplc="EF3435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EA5876"/>
    <w:multiLevelType w:val="hybridMultilevel"/>
    <w:tmpl w:val="C2722090"/>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335CC8"/>
    <w:multiLevelType w:val="hybridMultilevel"/>
    <w:tmpl w:val="63287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26C19C8"/>
    <w:multiLevelType w:val="hybridMultilevel"/>
    <w:tmpl w:val="90D2628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66103C98"/>
    <w:multiLevelType w:val="hybridMultilevel"/>
    <w:tmpl w:val="6FE8A21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378D2"/>
    <w:multiLevelType w:val="hybridMultilevel"/>
    <w:tmpl w:val="DE26D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AB320E"/>
    <w:multiLevelType w:val="hybridMultilevel"/>
    <w:tmpl w:val="03A8A186"/>
    <w:lvl w:ilvl="0" w:tplc="1C9CD2E4">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596943"/>
    <w:multiLevelType w:val="hybridMultilevel"/>
    <w:tmpl w:val="F368A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66108C"/>
    <w:multiLevelType w:val="hybridMultilevel"/>
    <w:tmpl w:val="13F87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0"/>
  </w:num>
  <w:num w:numId="4">
    <w:abstractNumId w:val="19"/>
  </w:num>
  <w:num w:numId="5">
    <w:abstractNumId w:val="20"/>
  </w:num>
  <w:num w:numId="6">
    <w:abstractNumId w:val="21"/>
  </w:num>
  <w:num w:numId="7">
    <w:abstractNumId w:val="6"/>
  </w:num>
  <w:num w:numId="8">
    <w:abstractNumId w:val="8"/>
  </w:num>
  <w:num w:numId="9">
    <w:abstractNumId w:val="5"/>
  </w:num>
  <w:num w:numId="10">
    <w:abstractNumId w:val="27"/>
  </w:num>
  <w:num w:numId="11">
    <w:abstractNumId w:val="10"/>
  </w:num>
  <w:num w:numId="12">
    <w:abstractNumId w:val="2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3"/>
  </w:num>
  <w:num w:numId="16">
    <w:abstractNumId w:val="26"/>
  </w:num>
  <w:num w:numId="17">
    <w:abstractNumId w:val="16"/>
  </w:num>
  <w:num w:numId="18">
    <w:abstractNumId w:val="2"/>
  </w:num>
  <w:num w:numId="19">
    <w:abstractNumId w:val="17"/>
  </w:num>
  <w:num w:numId="20">
    <w:abstractNumId w:val="12"/>
  </w:num>
  <w:num w:numId="21">
    <w:abstractNumId w:val="28"/>
  </w:num>
  <w:num w:numId="22">
    <w:abstractNumId w:val="9"/>
  </w:num>
  <w:num w:numId="23">
    <w:abstractNumId w:val="29"/>
  </w:num>
  <w:num w:numId="24">
    <w:abstractNumId w:val="11"/>
  </w:num>
  <w:num w:numId="25">
    <w:abstractNumId w:val="23"/>
  </w:num>
  <w:num w:numId="26">
    <w:abstractNumId w:val="14"/>
  </w:num>
  <w:num w:numId="27">
    <w:abstractNumId w:val="4"/>
  </w:num>
  <w:num w:numId="28">
    <w:abstractNumId w:val="14"/>
    <w:lvlOverride w:ilvl="0">
      <w:startOverride w:val="1"/>
    </w:lvlOverride>
  </w:num>
  <w:num w:numId="29">
    <w:abstractNumId w:val="15"/>
  </w:num>
  <w:num w:numId="30">
    <w:abstractNumId w:val="1"/>
  </w:num>
  <w:num w:numId="31">
    <w:abstractNumId w:val="24"/>
  </w:num>
  <w:num w:numId="32">
    <w:abstractNumId w:val="22"/>
  </w:num>
  <w:num w:numId="33">
    <w:abstractNumId w:val="14"/>
  </w:num>
  <w:num w:numId="34">
    <w:abstractNumId w:val="14"/>
  </w:num>
  <w:num w:numId="35">
    <w:abstractNumId w:val="3"/>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A37"/>
    <w:rsid w:val="0000564C"/>
    <w:rsid w:val="0000577E"/>
    <w:rsid w:val="000057E2"/>
    <w:rsid w:val="00005809"/>
    <w:rsid w:val="00006446"/>
    <w:rsid w:val="00006896"/>
    <w:rsid w:val="00007A13"/>
    <w:rsid w:val="00007CDC"/>
    <w:rsid w:val="00011B28"/>
    <w:rsid w:val="00015D15"/>
    <w:rsid w:val="0001621F"/>
    <w:rsid w:val="00017F55"/>
    <w:rsid w:val="00020005"/>
    <w:rsid w:val="00020638"/>
    <w:rsid w:val="00022CAD"/>
    <w:rsid w:val="000240CD"/>
    <w:rsid w:val="0002564D"/>
    <w:rsid w:val="00025ECA"/>
    <w:rsid w:val="00026A80"/>
    <w:rsid w:val="0003088C"/>
    <w:rsid w:val="000309CB"/>
    <w:rsid w:val="000319D1"/>
    <w:rsid w:val="000325B8"/>
    <w:rsid w:val="0003372F"/>
    <w:rsid w:val="00033E6C"/>
    <w:rsid w:val="00034C15"/>
    <w:rsid w:val="000356D3"/>
    <w:rsid w:val="00035B26"/>
    <w:rsid w:val="00035F03"/>
    <w:rsid w:val="00036BA1"/>
    <w:rsid w:val="000408A8"/>
    <w:rsid w:val="000420DD"/>
    <w:rsid w:val="000422E2"/>
    <w:rsid w:val="00042EE6"/>
    <w:rsid w:val="00042F22"/>
    <w:rsid w:val="0004374C"/>
    <w:rsid w:val="000444EF"/>
    <w:rsid w:val="000461C9"/>
    <w:rsid w:val="00046EC1"/>
    <w:rsid w:val="00051D41"/>
    <w:rsid w:val="00052A07"/>
    <w:rsid w:val="000534E3"/>
    <w:rsid w:val="00053DDD"/>
    <w:rsid w:val="000556D8"/>
    <w:rsid w:val="00055D39"/>
    <w:rsid w:val="0005606A"/>
    <w:rsid w:val="000561F1"/>
    <w:rsid w:val="0005651C"/>
    <w:rsid w:val="00057117"/>
    <w:rsid w:val="00057F45"/>
    <w:rsid w:val="00060176"/>
    <w:rsid w:val="000615EE"/>
    <w:rsid w:val="000616E7"/>
    <w:rsid w:val="000638F5"/>
    <w:rsid w:val="000641EE"/>
    <w:rsid w:val="0006487E"/>
    <w:rsid w:val="00065E1A"/>
    <w:rsid w:val="0006639D"/>
    <w:rsid w:val="00070CCA"/>
    <w:rsid w:val="000714A2"/>
    <w:rsid w:val="00072AC2"/>
    <w:rsid w:val="000736B2"/>
    <w:rsid w:val="00074D13"/>
    <w:rsid w:val="0007606E"/>
    <w:rsid w:val="00077137"/>
    <w:rsid w:val="000771D1"/>
    <w:rsid w:val="00077915"/>
    <w:rsid w:val="00077E5F"/>
    <w:rsid w:val="0008036A"/>
    <w:rsid w:val="00081918"/>
    <w:rsid w:val="00081AE6"/>
    <w:rsid w:val="00082855"/>
    <w:rsid w:val="0008288A"/>
    <w:rsid w:val="000831C6"/>
    <w:rsid w:val="000855EB"/>
    <w:rsid w:val="00085B52"/>
    <w:rsid w:val="000866F2"/>
    <w:rsid w:val="0009009F"/>
    <w:rsid w:val="00090C2B"/>
    <w:rsid w:val="00091557"/>
    <w:rsid w:val="000924C1"/>
    <w:rsid w:val="000924F0"/>
    <w:rsid w:val="000928A7"/>
    <w:rsid w:val="00093474"/>
    <w:rsid w:val="00093F01"/>
    <w:rsid w:val="0009510F"/>
    <w:rsid w:val="00096E04"/>
    <w:rsid w:val="0009737F"/>
    <w:rsid w:val="000A0542"/>
    <w:rsid w:val="000A138B"/>
    <w:rsid w:val="000A1B7B"/>
    <w:rsid w:val="000A273C"/>
    <w:rsid w:val="000A3456"/>
    <w:rsid w:val="000A3670"/>
    <w:rsid w:val="000A3764"/>
    <w:rsid w:val="000A3E2D"/>
    <w:rsid w:val="000A56F2"/>
    <w:rsid w:val="000A5CCA"/>
    <w:rsid w:val="000B0986"/>
    <w:rsid w:val="000B0E5D"/>
    <w:rsid w:val="000B19AA"/>
    <w:rsid w:val="000B1EE9"/>
    <w:rsid w:val="000B2719"/>
    <w:rsid w:val="000B3A8F"/>
    <w:rsid w:val="000B4AB9"/>
    <w:rsid w:val="000B58C3"/>
    <w:rsid w:val="000B61E9"/>
    <w:rsid w:val="000C165A"/>
    <w:rsid w:val="000C18B5"/>
    <w:rsid w:val="000C1E77"/>
    <w:rsid w:val="000C2B1F"/>
    <w:rsid w:val="000C2E19"/>
    <w:rsid w:val="000C3720"/>
    <w:rsid w:val="000C4E4C"/>
    <w:rsid w:val="000C5587"/>
    <w:rsid w:val="000C5C90"/>
    <w:rsid w:val="000D09F6"/>
    <w:rsid w:val="000D0C3B"/>
    <w:rsid w:val="000D0D07"/>
    <w:rsid w:val="000D4797"/>
    <w:rsid w:val="000D546E"/>
    <w:rsid w:val="000E0527"/>
    <w:rsid w:val="000E11A4"/>
    <w:rsid w:val="000E1E92"/>
    <w:rsid w:val="000E1FF9"/>
    <w:rsid w:val="000E56DD"/>
    <w:rsid w:val="000E5792"/>
    <w:rsid w:val="000E72C6"/>
    <w:rsid w:val="000E74FC"/>
    <w:rsid w:val="000E7A83"/>
    <w:rsid w:val="000F06D6"/>
    <w:rsid w:val="000F0EB1"/>
    <w:rsid w:val="000F1106"/>
    <w:rsid w:val="000F3BE9"/>
    <w:rsid w:val="000F3F6C"/>
    <w:rsid w:val="000F412D"/>
    <w:rsid w:val="000F45C0"/>
    <w:rsid w:val="000F6DF3"/>
    <w:rsid w:val="000F7583"/>
    <w:rsid w:val="001005FF"/>
    <w:rsid w:val="00102911"/>
    <w:rsid w:val="00102E4B"/>
    <w:rsid w:val="001053F2"/>
    <w:rsid w:val="00105B7D"/>
    <w:rsid w:val="001062FB"/>
    <w:rsid w:val="001063E6"/>
    <w:rsid w:val="001104BA"/>
    <w:rsid w:val="00110683"/>
    <w:rsid w:val="00110947"/>
    <w:rsid w:val="00111905"/>
    <w:rsid w:val="00112E84"/>
    <w:rsid w:val="00113CF4"/>
    <w:rsid w:val="00113E4D"/>
    <w:rsid w:val="00113F45"/>
    <w:rsid w:val="001153EA"/>
    <w:rsid w:val="00115643"/>
    <w:rsid w:val="00116765"/>
    <w:rsid w:val="00116CA1"/>
    <w:rsid w:val="001206B2"/>
    <w:rsid w:val="0012171C"/>
    <w:rsid w:val="001219F5"/>
    <w:rsid w:val="00121A20"/>
    <w:rsid w:val="00122031"/>
    <w:rsid w:val="0012377F"/>
    <w:rsid w:val="00124314"/>
    <w:rsid w:val="00124DAC"/>
    <w:rsid w:val="00126630"/>
    <w:rsid w:val="00126B4A"/>
    <w:rsid w:val="00131085"/>
    <w:rsid w:val="00132FD0"/>
    <w:rsid w:val="00133F5A"/>
    <w:rsid w:val="001344C0"/>
    <w:rsid w:val="001346FA"/>
    <w:rsid w:val="00135252"/>
    <w:rsid w:val="00136B0B"/>
    <w:rsid w:val="001376DD"/>
    <w:rsid w:val="00137AB5"/>
    <w:rsid w:val="00137F0B"/>
    <w:rsid w:val="00140278"/>
    <w:rsid w:val="00140A40"/>
    <w:rsid w:val="00143633"/>
    <w:rsid w:val="00143F6E"/>
    <w:rsid w:val="00143F94"/>
    <w:rsid w:val="00146824"/>
    <w:rsid w:val="001501CE"/>
    <w:rsid w:val="00151E23"/>
    <w:rsid w:val="001526E0"/>
    <w:rsid w:val="00152B6A"/>
    <w:rsid w:val="00154A26"/>
    <w:rsid w:val="001551B5"/>
    <w:rsid w:val="00156D03"/>
    <w:rsid w:val="00157AB3"/>
    <w:rsid w:val="00157C51"/>
    <w:rsid w:val="001610A3"/>
    <w:rsid w:val="00161966"/>
    <w:rsid w:val="001619EB"/>
    <w:rsid w:val="001642E7"/>
    <w:rsid w:val="001648C4"/>
    <w:rsid w:val="001657CC"/>
    <w:rsid w:val="001659C1"/>
    <w:rsid w:val="001663E0"/>
    <w:rsid w:val="00166654"/>
    <w:rsid w:val="00173A8E"/>
    <w:rsid w:val="0017502C"/>
    <w:rsid w:val="00175077"/>
    <w:rsid w:val="00175C28"/>
    <w:rsid w:val="0018143F"/>
    <w:rsid w:val="00181FF8"/>
    <w:rsid w:val="00182841"/>
    <w:rsid w:val="00182A51"/>
    <w:rsid w:val="001855A4"/>
    <w:rsid w:val="00185BE0"/>
    <w:rsid w:val="00190846"/>
    <w:rsid w:val="00190AC1"/>
    <w:rsid w:val="0019181C"/>
    <w:rsid w:val="001925BC"/>
    <w:rsid w:val="0019341A"/>
    <w:rsid w:val="00193756"/>
    <w:rsid w:val="00194D2A"/>
    <w:rsid w:val="00197DF9"/>
    <w:rsid w:val="001A14D3"/>
    <w:rsid w:val="001A1632"/>
    <w:rsid w:val="001A1987"/>
    <w:rsid w:val="001A1A2B"/>
    <w:rsid w:val="001A1C22"/>
    <w:rsid w:val="001A2564"/>
    <w:rsid w:val="001A2D8C"/>
    <w:rsid w:val="001A52F0"/>
    <w:rsid w:val="001A6173"/>
    <w:rsid w:val="001A6CBA"/>
    <w:rsid w:val="001A724A"/>
    <w:rsid w:val="001A7B71"/>
    <w:rsid w:val="001B018A"/>
    <w:rsid w:val="001B0D97"/>
    <w:rsid w:val="001B1FCD"/>
    <w:rsid w:val="001B21C8"/>
    <w:rsid w:val="001B34E7"/>
    <w:rsid w:val="001B354C"/>
    <w:rsid w:val="001B4243"/>
    <w:rsid w:val="001B5A5D"/>
    <w:rsid w:val="001B6BB6"/>
    <w:rsid w:val="001C0D3A"/>
    <w:rsid w:val="001C1CE5"/>
    <w:rsid w:val="001C341D"/>
    <w:rsid w:val="001C3B18"/>
    <w:rsid w:val="001C3D2A"/>
    <w:rsid w:val="001C6FE2"/>
    <w:rsid w:val="001D333C"/>
    <w:rsid w:val="001D4A45"/>
    <w:rsid w:val="001D51BA"/>
    <w:rsid w:val="001D53E7"/>
    <w:rsid w:val="001D62A1"/>
    <w:rsid w:val="001D6342"/>
    <w:rsid w:val="001D6D53"/>
    <w:rsid w:val="001D6EBC"/>
    <w:rsid w:val="001E1E83"/>
    <w:rsid w:val="001E2ACF"/>
    <w:rsid w:val="001E4C00"/>
    <w:rsid w:val="001E58E2"/>
    <w:rsid w:val="001E7567"/>
    <w:rsid w:val="001E7ABD"/>
    <w:rsid w:val="001E7AED"/>
    <w:rsid w:val="001F3916"/>
    <w:rsid w:val="001F3EA4"/>
    <w:rsid w:val="001F54C5"/>
    <w:rsid w:val="001F662C"/>
    <w:rsid w:val="001F7074"/>
    <w:rsid w:val="00200490"/>
    <w:rsid w:val="0020077B"/>
    <w:rsid w:val="00201E15"/>
    <w:rsid w:val="00201F3A"/>
    <w:rsid w:val="0020236C"/>
    <w:rsid w:val="00203BAD"/>
    <w:rsid w:val="00203DCE"/>
    <w:rsid w:val="00203F96"/>
    <w:rsid w:val="00205961"/>
    <w:rsid w:val="00205FFD"/>
    <w:rsid w:val="002069B2"/>
    <w:rsid w:val="00207393"/>
    <w:rsid w:val="00207FA3"/>
    <w:rsid w:val="00211157"/>
    <w:rsid w:val="0021117F"/>
    <w:rsid w:val="00211863"/>
    <w:rsid w:val="00212732"/>
    <w:rsid w:val="0021483C"/>
    <w:rsid w:val="0021498D"/>
    <w:rsid w:val="00214DA8"/>
    <w:rsid w:val="00214EEE"/>
    <w:rsid w:val="00215423"/>
    <w:rsid w:val="00215521"/>
    <w:rsid w:val="002158FA"/>
    <w:rsid w:val="00215E54"/>
    <w:rsid w:val="00220479"/>
    <w:rsid w:val="00220600"/>
    <w:rsid w:val="002224DB"/>
    <w:rsid w:val="00222526"/>
    <w:rsid w:val="002231D9"/>
    <w:rsid w:val="00223294"/>
    <w:rsid w:val="00223FCB"/>
    <w:rsid w:val="002252C3"/>
    <w:rsid w:val="00225C54"/>
    <w:rsid w:val="00225D96"/>
    <w:rsid w:val="00227AE2"/>
    <w:rsid w:val="0023019D"/>
    <w:rsid w:val="00230765"/>
    <w:rsid w:val="00230D18"/>
    <w:rsid w:val="002319E4"/>
    <w:rsid w:val="00231D32"/>
    <w:rsid w:val="00232485"/>
    <w:rsid w:val="00232E5E"/>
    <w:rsid w:val="00235632"/>
    <w:rsid w:val="00235872"/>
    <w:rsid w:val="002411C6"/>
    <w:rsid w:val="00241559"/>
    <w:rsid w:val="00242E7E"/>
    <w:rsid w:val="002435B3"/>
    <w:rsid w:val="002458EB"/>
    <w:rsid w:val="002500C8"/>
    <w:rsid w:val="00250505"/>
    <w:rsid w:val="00251539"/>
    <w:rsid w:val="00253A9B"/>
    <w:rsid w:val="00254D5F"/>
    <w:rsid w:val="00255342"/>
    <w:rsid w:val="00257543"/>
    <w:rsid w:val="002617E7"/>
    <w:rsid w:val="00262550"/>
    <w:rsid w:val="00262A00"/>
    <w:rsid w:val="00264135"/>
    <w:rsid w:val="00264228"/>
    <w:rsid w:val="00264334"/>
    <w:rsid w:val="0026473E"/>
    <w:rsid w:val="00266214"/>
    <w:rsid w:val="002679FC"/>
    <w:rsid w:val="00267C83"/>
    <w:rsid w:val="00270151"/>
    <w:rsid w:val="00270AA4"/>
    <w:rsid w:val="00270E2B"/>
    <w:rsid w:val="0027144F"/>
    <w:rsid w:val="00271813"/>
    <w:rsid w:val="00271F3A"/>
    <w:rsid w:val="00272DAB"/>
    <w:rsid w:val="00273278"/>
    <w:rsid w:val="002737F4"/>
    <w:rsid w:val="00274101"/>
    <w:rsid w:val="0027625D"/>
    <w:rsid w:val="002805F5"/>
    <w:rsid w:val="00280751"/>
    <w:rsid w:val="00280A23"/>
    <w:rsid w:val="0028280A"/>
    <w:rsid w:val="0028288A"/>
    <w:rsid w:val="00282EFA"/>
    <w:rsid w:val="002835F1"/>
    <w:rsid w:val="002845D1"/>
    <w:rsid w:val="00286ACD"/>
    <w:rsid w:val="00287838"/>
    <w:rsid w:val="002907B5"/>
    <w:rsid w:val="0029181A"/>
    <w:rsid w:val="00291C07"/>
    <w:rsid w:val="00292B63"/>
    <w:rsid w:val="00292EB7"/>
    <w:rsid w:val="00293377"/>
    <w:rsid w:val="002936E2"/>
    <w:rsid w:val="0029534B"/>
    <w:rsid w:val="0029534F"/>
    <w:rsid w:val="00296227"/>
    <w:rsid w:val="002968FF"/>
    <w:rsid w:val="00296F44"/>
    <w:rsid w:val="0029777D"/>
    <w:rsid w:val="00297A32"/>
    <w:rsid w:val="002A055E"/>
    <w:rsid w:val="002A0670"/>
    <w:rsid w:val="002A106B"/>
    <w:rsid w:val="002A1D4E"/>
    <w:rsid w:val="002A2869"/>
    <w:rsid w:val="002A2DC6"/>
    <w:rsid w:val="002A5162"/>
    <w:rsid w:val="002A533B"/>
    <w:rsid w:val="002B0C81"/>
    <w:rsid w:val="002B24D6"/>
    <w:rsid w:val="002B36FC"/>
    <w:rsid w:val="002B56B7"/>
    <w:rsid w:val="002B6E44"/>
    <w:rsid w:val="002B76EE"/>
    <w:rsid w:val="002B78CF"/>
    <w:rsid w:val="002C186B"/>
    <w:rsid w:val="002C41E6"/>
    <w:rsid w:val="002C5E37"/>
    <w:rsid w:val="002C7E64"/>
    <w:rsid w:val="002D0459"/>
    <w:rsid w:val="002D071A"/>
    <w:rsid w:val="002D1461"/>
    <w:rsid w:val="002D34B2"/>
    <w:rsid w:val="002D37C3"/>
    <w:rsid w:val="002D4803"/>
    <w:rsid w:val="002D48B0"/>
    <w:rsid w:val="002D51FB"/>
    <w:rsid w:val="002D5B37"/>
    <w:rsid w:val="002D5DC6"/>
    <w:rsid w:val="002D713D"/>
    <w:rsid w:val="002D7637"/>
    <w:rsid w:val="002E0FDA"/>
    <w:rsid w:val="002E13A0"/>
    <w:rsid w:val="002E17F2"/>
    <w:rsid w:val="002E29F1"/>
    <w:rsid w:val="002E2CD5"/>
    <w:rsid w:val="002E3112"/>
    <w:rsid w:val="002E4A6D"/>
    <w:rsid w:val="002E4C52"/>
    <w:rsid w:val="002E6DE7"/>
    <w:rsid w:val="002E7CAE"/>
    <w:rsid w:val="002F1DAA"/>
    <w:rsid w:val="002F2771"/>
    <w:rsid w:val="002F2F38"/>
    <w:rsid w:val="002F37A9"/>
    <w:rsid w:val="002F476B"/>
    <w:rsid w:val="002F477A"/>
    <w:rsid w:val="002F5BB8"/>
    <w:rsid w:val="002F6676"/>
    <w:rsid w:val="00300CCC"/>
    <w:rsid w:val="003018B8"/>
    <w:rsid w:val="00301CE6"/>
    <w:rsid w:val="0030256B"/>
    <w:rsid w:val="0030308D"/>
    <w:rsid w:val="00303E81"/>
    <w:rsid w:val="00304A6D"/>
    <w:rsid w:val="0030501F"/>
    <w:rsid w:val="003055B0"/>
    <w:rsid w:val="00305D68"/>
    <w:rsid w:val="00307BA1"/>
    <w:rsid w:val="00311702"/>
    <w:rsid w:val="00311E82"/>
    <w:rsid w:val="0031257D"/>
    <w:rsid w:val="00312AA1"/>
    <w:rsid w:val="00313D74"/>
    <w:rsid w:val="00313FD6"/>
    <w:rsid w:val="0031430D"/>
    <w:rsid w:val="003143BD"/>
    <w:rsid w:val="00314A3F"/>
    <w:rsid w:val="00315363"/>
    <w:rsid w:val="003162CB"/>
    <w:rsid w:val="00317D28"/>
    <w:rsid w:val="003203ED"/>
    <w:rsid w:val="00322C9F"/>
    <w:rsid w:val="00322D61"/>
    <w:rsid w:val="00322F28"/>
    <w:rsid w:val="00324D23"/>
    <w:rsid w:val="003273C4"/>
    <w:rsid w:val="00331751"/>
    <w:rsid w:val="003321FF"/>
    <w:rsid w:val="003335CE"/>
    <w:rsid w:val="003335F7"/>
    <w:rsid w:val="00334579"/>
    <w:rsid w:val="00335858"/>
    <w:rsid w:val="00336BDA"/>
    <w:rsid w:val="00341928"/>
    <w:rsid w:val="00342057"/>
    <w:rsid w:val="003426A4"/>
    <w:rsid w:val="00342BD7"/>
    <w:rsid w:val="003446EE"/>
    <w:rsid w:val="00344B48"/>
    <w:rsid w:val="00346DB5"/>
    <w:rsid w:val="003477B1"/>
    <w:rsid w:val="00350CA1"/>
    <w:rsid w:val="00352876"/>
    <w:rsid w:val="00352967"/>
    <w:rsid w:val="003534BF"/>
    <w:rsid w:val="00354B04"/>
    <w:rsid w:val="003551E5"/>
    <w:rsid w:val="0035616D"/>
    <w:rsid w:val="00356967"/>
    <w:rsid w:val="00356D37"/>
    <w:rsid w:val="00356E94"/>
    <w:rsid w:val="00357380"/>
    <w:rsid w:val="00357A18"/>
    <w:rsid w:val="003602D9"/>
    <w:rsid w:val="003604CE"/>
    <w:rsid w:val="00362160"/>
    <w:rsid w:val="00362479"/>
    <w:rsid w:val="00363034"/>
    <w:rsid w:val="003654BB"/>
    <w:rsid w:val="00365827"/>
    <w:rsid w:val="003665BD"/>
    <w:rsid w:val="00370200"/>
    <w:rsid w:val="00370E47"/>
    <w:rsid w:val="003741F8"/>
    <w:rsid w:val="003742AC"/>
    <w:rsid w:val="003747DE"/>
    <w:rsid w:val="00374A3C"/>
    <w:rsid w:val="00374F68"/>
    <w:rsid w:val="0037713D"/>
    <w:rsid w:val="00377BE8"/>
    <w:rsid w:val="00377CE1"/>
    <w:rsid w:val="0038146B"/>
    <w:rsid w:val="003831D0"/>
    <w:rsid w:val="0038596D"/>
    <w:rsid w:val="00385BF0"/>
    <w:rsid w:val="00386F3B"/>
    <w:rsid w:val="0038738F"/>
    <w:rsid w:val="003908F2"/>
    <w:rsid w:val="00390FF5"/>
    <w:rsid w:val="003924AF"/>
    <w:rsid w:val="003939FF"/>
    <w:rsid w:val="00395703"/>
    <w:rsid w:val="00395AA0"/>
    <w:rsid w:val="003964D2"/>
    <w:rsid w:val="003A15E9"/>
    <w:rsid w:val="003A1948"/>
    <w:rsid w:val="003A2223"/>
    <w:rsid w:val="003A2339"/>
    <w:rsid w:val="003A2A0F"/>
    <w:rsid w:val="003A45A1"/>
    <w:rsid w:val="003A5B0A"/>
    <w:rsid w:val="003A640F"/>
    <w:rsid w:val="003A6BAC"/>
    <w:rsid w:val="003A70A4"/>
    <w:rsid w:val="003A7EF3"/>
    <w:rsid w:val="003B0CE3"/>
    <w:rsid w:val="003B159C"/>
    <w:rsid w:val="003B25D6"/>
    <w:rsid w:val="003B2767"/>
    <w:rsid w:val="003B2878"/>
    <w:rsid w:val="003B2F7A"/>
    <w:rsid w:val="003B369F"/>
    <w:rsid w:val="003B36A3"/>
    <w:rsid w:val="003B4E47"/>
    <w:rsid w:val="003B60DB"/>
    <w:rsid w:val="003B64BB"/>
    <w:rsid w:val="003B7FE5"/>
    <w:rsid w:val="003C0863"/>
    <w:rsid w:val="003C0B61"/>
    <w:rsid w:val="003C11C8"/>
    <w:rsid w:val="003C2702"/>
    <w:rsid w:val="003C34F3"/>
    <w:rsid w:val="003C4608"/>
    <w:rsid w:val="003C5DC8"/>
    <w:rsid w:val="003C619A"/>
    <w:rsid w:val="003C700E"/>
    <w:rsid w:val="003C7806"/>
    <w:rsid w:val="003D109F"/>
    <w:rsid w:val="003D2478"/>
    <w:rsid w:val="003D2F15"/>
    <w:rsid w:val="003D3385"/>
    <w:rsid w:val="003D3938"/>
    <w:rsid w:val="003D3C45"/>
    <w:rsid w:val="003D5280"/>
    <w:rsid w:val="003D5B1F"/>
    <w:rsid w:val="003D611A"/>
    <w:rsid w:val="003E11EF"/>
    <w:rsid w:val="003E15FA"/>
    <w:rsid w:val="003E1A7E"/>
    <w:rsid w:val="003E2133"/>
    <w:rsid w:val="003E5315"/>
    <w:rsid w:val="003E55E4"/>
    <w:rsid w:val="003E66E7"/>
    <w:rsid w:val="003E69E1"/>
    <w:rsid w:val="003E74E3"/>
    <w:rsid w:val="003F05C7"/>
    <w:rsid w:val="003F0F3F"/>
    <w:rsid w:val="003F2CD4"/>
    <w:rsid w:val="003F3698"/>
    <w:rsid w:val="003F480E"/>
    <w:rsid w:val="003F4D1D"/>
    <w:rsid w:val="003F5569"/>
    <w:rsid w:val="003F6478"/>
    <w:rsid w:val="003F6BBE"/>
    <w:rsid w:val="003F6C80"/>
    <w:rsid w:val="003F79E7"/>
    <w:rsid w:val="004000E8"/>
    <w:rsid w:val="004019AD"/>
    <w:rsid w:val="00402E2B"/>
    <w:rsid w:val="00403206"/>
    <w:rsid w:val="00404B3B"/>
    <w:rsid w:val="0040512B"/>
    <w:rsid w:val="004055DE"/>
    <w:rsid w:val="00405CA5"/>
    <w:rsid w:val="00406CB2"/>
    <w:rsid w:val="0040734C"/>
    <w:rsid w:val="00407CD3"/>
    <w:rsid w:val="00410134"/>
    <w:rsid w:val="00410B72"/>
    <w:rsid w:val="00410F18"/>
    <w:rsid w:val="00411685"/>
    <w:rsid w:val="0041263E"/>
    <w:rsid w:val="00413AAC"/>
    <w:rsid w:val="00413E92"/>
    <w:rsid w:val="00415AEE"/>
    <w:rsid w:val="0041782F"/>
    <w:rsid w:val="00420123"/>
    <w:rsid w:val="00421105"/>
    <w:rsid w:val="00422AA4"/>
    <w:rsid w:val="00422CF2"/>
    <w:rsid w:val="004242F4"/>
    <w:rsid w:val="004244F6"/>
    <w:rsid w:val="0042563F"/>
    <w:rsid w:val="00427248"/>
    <w:rsid w:val="0043011B"/>
    <w:rsid w:val="0043429B"/>
    <w:rsid w:val="00435701"/>
    <w:rsid w:val="004359DC"/>
    <w:rsid w:val="00435D31"/>
    <w:rsid w:val="00436405"/>
    <w:rsid w:val="00437447"/>
    <w:rsid w:val="0044020C"/>
    <w:rsid w:val="00441A92"/>
    <w:rsid w:val="00442ADE"/>
    <w:rsid w:val="004431DC"/>
    <w:rsid w:val="00443E49"/>
    <w:rsid w:val="00444F56"/>
    <w:rsid w:val="00446488"/>
    <w:rsid w:val="004517AA"/>
    <w:rsid w:val="00452CAC"/>
    <w:rsid w:val="004534F8"/>
    <w:rsid w:val="0045365A"/>
    <w:rsid w:val="004538D2"/>
    <w:rsid w:val="004559D4"/>
    <w:rsid w:val="00457565"/>
    <w:rsid w:val="00457B71"/>
    <w:rsid w:val="00461CE9"/>
    <w:rsid w:val="00463691"/>
    <w:rsid w:val="00466460"/>
    <w:rsid w:val="004669E2"/>
    <w:rsid w:val="00466A7E"/>
    <w:rsid w:val="00466D25"/>
    <w:rsid w:val="0046747A"/>
    <w:rsid w:val="00470C31"/>
    <w:rsid w:val="00471DE0"/>
    <w:rsid w:val="004734D0"/>
    <w:rsid w:val="004746EF"/>
    <w:rsid w:val="0047556B"/>
    <w:rsid w:val="004762E8"/>
    <w:rsid w:val="00476BA3"/>
    <w:rsid w:val="00477768"/>
    <w:rsid w:val="0048503F"/>
    <w:rsid w:val="00487D61"/>
    <w:rsid w:val="0049017D"/>
    <w:rsid w:val="0049082A"/>
    <w:rsid w:val="00492BC5"/>
    <w:rsid w:val="00494DBD"/>
    <w:rsid w:val="004957F3"/>
    <w:rsid w:val="00495FA0"/>
    <w:rsid w:val="00496220"/>
    <w:rsid w:val="004964F1"/>
    <w:rsid w:val="00497101"/>
    <w:rsid w:val="00497EC5"/>
    <w:rsid w:val="004A16BC"/>
    <w:rsid w:val="004A2B94"/>
    <w:rsid w:val="004A3267"/>
    <w:rsid w:val="004A3422"/>
    <w:rsid w:val="004A34F3"/>
    <w:rsid w:val="004A3EC5"/>
    <w:rsid w:val="004A4B38"/>
    <w:rsid w:val="004A64EE"/>
    <w:rsid w:val="004A68A6"/>
    <w:rsid w:val="004B117C"/>
    <w:rsid w:val="004B27C3"/>
    <w:rsid w:val="004B2A4A"/>
    <w:rsid w:val="004B5A8B"/>
    <w:rsid w:val="004B657C"/>
    <w:rsid w:val="004B6F6A"/>
    <w:rsid w:val="004B7024"/>
    <w:rsid w:val="004B7C0C"/>
    <w:rsid w:val="004C01FB"/>
    <w:rsid w:val="004C3898"/>
    <w:rsid w:val="004C566E"/>
    <w:rsid w:val="004C6615"/>
    <w:rsid w:val="004D0C57"/>
    <w:rsid w:val="004D13DB"/>
    <w:rsid w:val="004D36B1"/>
    <w:rsid w:val="004D79EC"/>
    <w:rsid w:val="004D7AD6"/>
    <w:rsid w:val="004D7EBD"/>
    <w:rsid w:val="004E025B"/>
    <w:rsid w:val="004E069A"/>
    <w:rsid w:val="004E2680"/>
    <w:rsid w:val="004E28F9"/>
    <w:rsid w:val="004E42DD"/>
    <w:rsid w:val="004E462E"/>
    <w:rsid w:val="004E56DC"/>
    <w:rsid w:val="004E72C2"/>
    <w:rsid w:val="004E76F4"/>
    <w:rsid w:val="004F064F"/>
    <w:rsid w:val="004F0B4E"/>
    <w:rsid w:val="004F0B6C"/>
    <w:rsid w:val="004F0ECF"/>
    <w:rsid w:val="004F2078"/>
    <w:rsid w:val="004F3DD9"/>
    <w:rsid w:val="004F3DDA"/>
    <w:rsid w:val="004F4DA3"/>
    <w:rsid w:val="00500411"/>
    <w:rsid w:val="00501F3A"/>
    <w:rsid w:val="00503416"/>
    <w:rsid w:val="00503E77"/>
    <w:rsid w:val="00506557"/>
    <w:rsid w:val="0050677A"/>
    <w:rsid w:val="00506F83"/>
    <w:rsid w:val="005072F3"/>
    <w:rsid w:val="005076E4"/>
    <w:rsid w:val="005078CC"/>
    <w:rsid w:val="005108D8"/>
    <w:rsid w:val="005116F9"/>
    <w:rsid w:val="00511810"/>
    <w:rsid w:val="0051269C"/>
    <w:rsid w:val="005153A7"/>
    <w:rsid w:val="00516FBA"/>
    <w:rsid w:val="00521624"/>
    <w:rsid w:val="005219CF"/>
    <w:rsid w:val="00525FB7"/>
    <w:rsid w:val="005311D1"/>
    <w:rsid w:val="00531BB2"/>
    <w:rsid w:val="00532088"/>
    <w:rsid w:val="00532241"/>
    <w:rsid w:val="00532B67"/>
    <w:rsid w:val="00533EF5"/>
    <w:rsid w:val="00534B59"/>
    <w:rsid w:val="00536759"/>
    <w:rsid w:val="00536877"/>
    <w:rsid w:val="00536D76"/>
    <w:rsid w:val="00537C62"/>
    <w:rsid w:val="00540826"/>
    <w:rsid w:val="00540D06"/>
    <w:rsid w:val="005413A6"/>
    <w:rsid w:val="00545420"/>
    <w:rsid w:val="00546970"/>
    <w:rsid w:val="00546EFB"/>
    <w:rsid w:val="00551357"/>
    <w:rsid w:val="00551BEE"/>
    <w:rsid w:val="00554206"/>
    <w:rsid w:val="00554A6D"/>
    <w:rsid w:val="00554E19"/>
    <w:rsid w:val="00560A32"/>
    <w:rsid w:val="0056121F"/>
    <w:rsid w:val="005614B8"/>
    <w:rsid w:val="00561668"/>
    <w:rsid w:val="00562156"/>
    <w:rsid w:val="00565911"/>
    <w:rsid w:val="00566277"/>
    <w:rsid w:val="0057164A"/>
    <w:rsid w:val="00572505"/>
    <w:rsid w:val="00574985"/>
    <w:rsid w:val="00575FE4"/>
    <w:rsid w:val="005766EE"/>
    <w:rsid w:val="00577147"/>
    <w:rsid w:val="005778F6"/>
    <w:rsid w:val="00577AC8"/>
    <w:rsid w:val="005804D2"/>
    <w:rsid w:val="00581AFF"/>
    <w:rsid w:val="00582809"/>
    <w:rsid w:val="0058484A"/>
    <w:rsid w:val="005855DA"/>
    <w:rsid w:val="00585C52"/>
    <w:rsid w:val="00585DFE"/>
    <w:rsid w:val="0058798C"/>
    <w:rsid w:val="005900FA"/>
    <w:rsid w:val="0059145A"/>
    <w:rsid w:val="00592904"/>
    <w:rsid w:val="0059293A"/>
    <w:rsid w:val="005935A4"/>
    <w:rsid w:val="0059367A"/>
    <w:rsid w:val="00593BD2"/>
    <w:rsid w:val="005948C2"/>
    <w:rsid w:val="00594C6F"/>
    <w:rsid w:val="00595DCA"/>
    <w:rsid w:val="0059779B"/>
    <w:rsid w:val="005A209A"/>
    <w:rsid w:val="005A540A"/>
    <w:rsid w:val="005A662D"/>
    <w:rsid w:val="005B0249"/>
    <w:rsid w:val="005B1409"/>
    <w:rsid w:val="005B319B"/>
    <w:rsid w:val="005B35D7"/>
    <w:rsid w:val="005B392A"/>
    <w:rsid w:val="005B3AA3"/>
    <w:rsid w:val="005B53D1"/>
    <w:rsid w:val="005B561A"/>
    <w:rsid w:val="005B62F1"/>
    <w:rsid w:val="005B6F83"/>
    <w:rsid w:val="005C07DB"/>
    <w:rsid w:val="005C61E6"/>
    <w:rsid w:val="005C6ED4"/>
    <w:rsid w:val="005C74FB"/>
    <w:rsid w:val="005D0020"/>
    <w:rsid w:val="005D053F"/>
    <w:rsid w:val="005D1602"/>
    <w:rsid w:val="005D17CA"/>
    <w:rsid w:val="005D5798"/>
    <w:rsid w:val="005E1AB1"/>
    <w:rsid w:val="005E33B5"/>
    <w:rsid w:val="005E385F"/>
    <w:rsid w:val="005E3A67"/>
    <w:rsid w:val="005E47D1"/>
    <w:rsid w:val="005E5B81"/>
    <w:rsid w:val="005E6211"/>
    <w:rsid w:val="005F23E7"/>
    <w:rsid w:val="005F2CB1"/>
    <w:rsid w:val="005F3025"/>
    <w:rsid w:val="005F618C"/>
    <w:rsid w:val="005F69C9"/>
    <w:rsid w:val="005F70BD"/>
    <w:rsid w:val="005F7772"/>
    <w:rsid w:val="0060283C"/>
    <w:rsid w:val="00602B2C"/>
    <w:rsid w:val="00604250"/>
    <w:rsid w:val="00604F14"/>
    <w:rsid w:val="00605147"/>
    <w:rsid w:val="00606947"/>
    <w:rsid w:val="0060793A"/>
    <w:rsid w:val="00611B83"/>
    <w:rsid w:val="00612B13"/>
    <w:rsid w:val="00612C6F"/>
    <w:rsid w:val="00613257"/>
    <w:rsid w:val="00614E49"/>
    <w:rsid w:val="00614F5F"/>
    <w:rsid w:val="00616E5F"/>
    <w:rsid w:val="00616E9A"/>
    <w:rsid w:val="00620A71"/>
    <w:rsid w:val="00620D80"/>
    <w:rsid w:val="006234A0"/>
    <w:rsid w:val="006234A6"/>
    <w:rsid w:val="00623F06"/>
    <w:rsid w:val="0062490B"/>
    <w:rsid w:val="00624D87"/>
    <w:rsid w:val="00624D9A"/>
    <w:rsid w:val="00625557"/>
    <w:rsid w:val="006255E7"/>
    <w:rsid w:val="00630001"/>
    <w:rsid w:val="006311B3"/>
    <w:rsid w:val="0063284C"/>
    <w:rsid w:val="00636398"/>
    <w:rsid w:val="00636829"/>
    <w:rsid w:val="006368D3"/>
    <w:rsid w:val="006377EC"/>
    <w:rsid w:val="00640258"/>
    <w:rsid w:val="0064151F"/>
    <w:rsid w:val="00641533"/>
    <w:rsid w:val="0064208D"/>
    <w:rsid w:val="00642AD2"/>
    <w:rsid w:val="00643475"/>
    <w:rsid w:val="0064396A"/>
    <w:rsid w:val="00643A70"/>
    <w:rsid w:val="00644006"/>
    <w:rsid w:val="0064624E"/>
    <w:rsid w:val="00650AB9"/>
    <w:rsid w:val="00651A5B"/>
    <w:rsid w:val="006528F5"/>
    <w:rsid w:val="00654685"/>
    <w:rsid w:val="00655733"/>
    <w:rsid w:val="00655ACD"/>
    <w:rsid w:val="00656A92"/>
    <w:rsid w:val="00656DDE"/>
    <w:rsid w:val="00657C33"/>
    <w:rsid w:val="00657F7C"/>
    <w:rsid w:val="0066011D"/>
    <w:rsid w:val="006607C0"/>
    <w:rsid w:val="006613A6"/>
    <w:rsid w:val="006627A2"/>
    <w:rsid w:val="006634E6"/>
    <w:rsid w:val="00663550"/>
    <w:rsid w:val="0066366D"/>
    <w:rsid w:val="006638D3"/>
    <w:rsid w:val="00663C1E"/>
    <w:rsid w:val="00663C71"/>
    <w:rsid w:val="006645A2"/>
    <w:rsid w:val="00664D71"/>
    <w:rsid w:val="006655EE"/>
    <w:rsid w:val="00667864"/>
    <w:rsid w:val="00667EE7"/>
    <w:rsid w:val="00670922"/>
    <w:rsid w:val="00670BE1"/>
    <w:rsid w:val="0067218F"/>
    <w:rsid w:val="00672250"/>
    <w:rsid w:val="00673120"/>
    <w:rsid w:val="006741F2"/>
    <w:rsid w:val="00674A77"/>
    <w:rsid w:val="00674CC3"/>
    <w:rsid w:val="00675AF6"/>
    <w:rsid w:val="00675C72"/>
    <w:rsid w:val="006771F9"/>
    <w:rsid w:val="006776D7"/>
    <w:rsid w:val="00681003"/>
    <w:rsid w:val="006817C9"/>
    <w:rsid w:val="00682341"/>
    <w:rsid w:val="0068240F"/>
    <w:rsid w:val="00683ECE"/>
    <w:rsid w:val="006843E0"/>
    <w:rsid w:val="00684B06"/>
    <w:rsid w:val="0068595A"/>
    <w:rsid w:val="0068722C"/>
    <w:rsid w:val="006901F1"/>
    <w:rsid w:val="006903F9"/>
    <w:rsid w:val="00692234"/>
    <w:rsid w:val="00692C30"/>
    <w:rsid w:val="00693131"/>
    <w:rsid w:val="006952EF"/>
    <w:rsid w:val="00695FC2"/>
    <w:rsid w:val="00696166"/>
    <w:rsid w:val="00696949"/>
    <w:rsid w:val="00697052"/>
    <w:rsid w:val="006A0C27"/>
    <w:rsid w:val="006A0FB9"/>
    <w:rsid w:val="006A46FB"/>
    <w:rsid w:val="006A4CE1"/>
    <w:rsid w:val="006A5E28"/>
    <w:rsid w:val="006A6064"/>
    <w:rsid w:val="006A697B"/>
    <w:rsid w:val="006A7AFF"/>
    <w:rsid w:val="006B1816"/>
    <w:rsid w:val="006B1EFB"/>
    <w:rsid w:val="006B2099"/>
    <w:rsid w:val="006B4D92"/>
    <w:rsid w:val="006B50CF"/>
    <w:rsid w:val="006B5968"/>
    <w:rsid w:val="006B695A"/>
    <w:rsid w:val="006B733A"/>
    <w:rsid w:val="006B7984"/>
    <w:rsid w:val="006C0173"/>
    <w:rsid w:val="006C03B8"/>
    <w:rsid w:val="006C45E3"/>
    <w:rsid w:val="006C5EC9"/>
    <w:rsid w:val="006C6059"/>
    <w:rsid w:val="006C7522"/>
    <w:rsid w:val="006D0871"/>
    <w:rsid w:val="006D09E9"/>
    <w:rsid w:val="006D4AAF"/>
    <w:rsid w:val="006D5207"/>
    <w:rsid w:val="006D5D91"/>
    <w:rsid w:val="006D5EF6"/>
    <w:rsid w:val="006D6207"/>
    <w:rsid w:val="006D649B"/>
    <w:rsid w:val="006D6F08"/>
    <w:rsid w:val="006E062C"/>
    <w:rsid w:val="006E0A77"/>
    <w:rsid w:val="006E1C82"/>
    <w:rsid w:val="006E28B7"/>
    <w:rsid w:val="006E2A9B"/>
    <w:rsid w:val="006E3310"/>
    <w:rsid w:val="006E4E39"/>
    <w:rsid w:val="006E565E"/>
    <w:rsid w:val="006E5B3D"/>
    <w:rsid w:val="006E673D"/>
    <w:rsid w:val="006E7666"/>
    <w:rsid w:val="006E7D3B"/>
    <w:rsid w:val="006E7F0A"/>
    <w:rsid w:val="006F04E5"/>
    <w:rsid w:val="006F0EDF"/>
    <w:rsid w:val="006F1B70"/>
    <w:rsid w:val="006F341D"/>
    <w:rsid w:val="006F35AF"/>
    <w:rsid w:val="006F3CDE"/>
    <w:rsid w:val="006F3F84"/>
    <w:rsid w:val="006F4C9D"/>
    <w:rsid w:val="006F58D4"/>
    <w:rsid w:val="006F5CC6"/>
    <w:rsid w:val="006F6582"/>
    <w:rsid w:val="00702740"/>
    <w:rsid w:val="00702999"/>
    <w:rsid w:val="0070346E"/>
    <w:rsid w:val="007035E6"/>
    <w:rsid w:val="007046F3"/>
    <w:rsid w:val="00704787"/>
    <w:rsid w:val="00704EDB"/>
    <w:rsid w:val="0070507C"/>
    <w:rsid w:val="00706101"/>
    <w:rsid w:val="0070694C"/>
    <w:rsid w:val="00707072"/>
    <w:rsid w:val="00707D61"/>
    <w:rsid w:val="00711142"/>
    <w:rsid w:val="00712287"/>
    <w:rsid w:val="00712772"/>
    <w:rsid w:val="00713835"/>
    <w:rsid w:val="00713DBC"/>
    <w:rsid w:val="007148D3"/>
    <w:rsid w:val="00715B9A"/>
    <w:rsid w:val="00716225"/>
    <w:rsid w:val="00722F33"/>
    <w:rsid w:val="00722F6B"/>
    <w:rsid w:val="0072331B"/>
    <w:rsid w:val="007257D0"/>
    <w:rsid w:val="00725B1A"/>
    <w:rsid w:val="00725C9C"/>
    <w:rsid w:val="00726EA6"/>
    <w:rsid w:val="00727208"/>
    <w:rsid w:val="00727680"/>
    <w:rsid w:val="00727E29"/>
    <w:rsid w:val="00731576"/>
    <w:rsid w:val="00732876"/>
    <w:rsid w:val="00733438"/>
    <w:rsid w:val="00733575"/>
    <w:rsid w:val="007348B1"/>
    <w:rsid w:val="00736080"/>
    <w:rsid w:val="007362A6"/>
    <w:rsid w:val="007368A0"/>
    <w:rsid w:val="00736D7D"/>
    <w:rsid w:val="007373DC"/>
    <w:rsid w:val="0073764C"/>
    <w:rsid w:val="00740E58"/>
    <w:rsid w:val="007430A0"/>
    <w:rsid w:val="007445A0"/>
    <w:rsid w:val="007445B2"/>
    <w:rsid w:val="0074524B"/>
    <w:rsid w:val="00747D8B"/>
    <w:rsid w:val="0075087A"/>
    <w:rsid w:val="00750B41"/>
    <w:rsid w:val="00751228"/>
    <w:rsid w:val="007545F9"/>
    <w:rsid w:val="007571E1"/>
    <w:rsid w:val="00757867"/>
    <w:rsid w:val="007604B2"/>
    <w:rsid w:val="0076309C"/>
    <w:rsid w:val="00765281"/>
    <w:rsid w:val="00765B6E"/>
    <w:rsid w:val="00765C85"/>
    <w:rsid w:val="00766BAD"/>
    <w:rsid w:val="00772019"/>
    <w:rsid w:val="007729A2"/>
    <w:rsid w:val="00772A41"/>
    <w:rsid w:val="00772A66"/>
    <w:rsid w:val="00775518"/>
    <w:rsid w:val="007755F2"/>
    <w:rsid w:val="0077685A"/>
    <w:rsid w:val="00776971"/>
    <w:rsid w:val="007806DB"/>
    <w:rsid w:val="00780A80"/>
    <w:rsid w:val="00780DAA"/>
    <w:rsid w:val="0078177E"/>
    <w:rsid w:val="0078304C"/>
    <w:rsid w:val="00783673"/>
    <w:rsid w:val="00783D38"/>
    <w:rsid w:val="00785490"/>
    <w:rsid w:val="0079097F"/>
    <w:rsid w:val="007911AC"/>
    <w:rsid w:val="007925EA"/>
    <w:rsid w:val="00792E9C"/>
    <w:rsid w:val="00793CD8"/>
    <w:rsid w:val="00795C92"/>
    <w:rsid w:val="00796231"/>
    <w:rsid w:val="007969AC"/>
    <w:rsid w:val="007A0201"/>
    <w:rsid w:val="007A1638"/>
    <w:rsid w:val="007A1CB3"/>
    <w:rsid w:val="007A306F"/>
    <w:rsid w:val="007A43A6"/>
    <w:rsid w:val="007A4D43"/>
    <w:rsid w:val="007A58A6"/>
    <w:rsid w:val="007A7D2C"/>
    <w:rsid w:val="007B23D0"/>
    <w:rsid w:val="007B3A36"/>
    <w:rsid w:val="007B3D2D"/>
    <w:rsid w:val="007B3E49"/>
    <w:rsid w:val="007B50AE"/>
    <w:rsid w:val="007B51DF"/>
    <w:rsid w:val="007B66EF"/>
    <w:rsid w:val="007B68BF"/>
    <w:rsid w:val="007B6CAE"/>
    <w:rsid w:val="007B7B4B"/>
    <w:rsid w:val="007C05DD"/>
    <w:rsid w:val="007C114E"/>
    <w:rsid w:val="007C3D18"/>
    <w:rsid w:val="007C59A5"/>
    <w:rsid w:val="007C5AA5"/>
    <w:rsid w:val="007C60BF"/>
    <w:rsid w:val="007C6A07"/>
    <w:rsid w:val="007C6ADD"/>
    <w:rsid w:val="007C75A1"/>
    <w:rsid w:val="007C77A5"/>
    <w:rsid w:val="007D03C3"/>
    <w:rsid w:val="007D04E5"/>
    <w:rsid w:val="007D413E"/>
    <w:rsid w:val="007D467F"/>
    <w:rsid w:val="007D5901"/>
    <w:rsid w:val="007D7526"/>
    <w:rsid w:val="007E2AC8"/>
    <w:rsid w:val="007E3277"/>
    <w:rsid w:val="007E4610"/>
    <w:rsid w:val="007E4715"/>
    <w:rsid w:val="007E505B"/>
    <w:rsid w:val="007E6EC7"/>
    <w:rsid w:val="007E7091"/>
    <w:rsid w:val="007E7A95"/>
    <w:rsid w:val="007F0F1F"/>
    <w:rsid w:val="007F3443"/>
    <w:rsid w:val="007F3C68"/>
    <w:rsid w:val="007F4543"/>
    <w:rsid w:val="00802049"/>
    <w:rsid w:val="00803FAE"/>
    <w:rsid w:val="008049F2"/>
    <w:rsid w:val="00804FB2"/>
    <w:rsid w:val="0080505D"/>
    <w:rsid w:val="0080605F"/>
    <w:rsid w:val="00807786"/>
    <w:rsid w:val="00810BF5"/>
    <w:rsid w:val="00811FCB"/>
    <w:rsid w:val="00812429"/>
    <w:rsid w:val="008158D6"/>
    <w:rsid w:val="00815FC8"/>
    <w:rsid w:val="00816025"/>
    <w:rsid w:val="0081608D"/>
    <w:rsid w:val="00817196"/>
    <w:rsid w:val="008174E8"/>
    <w:rsid w:val="008235DB"/>
    <w:rsid w:val="00824AB4"/>
    <w:rsid w:val="00825C42"/>
    <w:rsid w:val="00825D25"/>
    <w:rsid w:val="00825FE7"/>
    <w:rsid w:val="0082689E"/>
    <w:rsid w:val="00826AC7"/>
    <w:rsid w:val="00827D6F"/>
    <w:rsid w:val="0083130A"/>
    <w:rsid w:val="008324F2"/>
    <w:rsid w:val="008328EE"/>
    <w:rsid w:val="00833479"/>
    <w:rsid w:val="00834E9F"/>
    <w:rsid w:val="00835477"/>
    <w:rsid w:val="008356CD"/>
    <w:rsid w:val="00836A97"/>
    <w:rsid w:val="008376AC"/>
    <w:rsid w:val="00840100"/>
    <w:rsid w:val="0084067B"/>
    <w:rsid w:val="00840C30"/>
    <w:rsid w:val="0084222D"/>
    <w:rsid w:val="008444E8"/>
    <w:rsid w:val="00844E80"/>
    <w:rsid w:val="00844F9C"/>
    <w:rsid w:val="00845224"/>
    <w:rsid w:val="00846A81"/>
    <w:rsid w:val="00846FE7"/>
    <w:rsid w:val="008470D1"/>
    <w:rsid w:val="0084743A"/>
    <w:rsid w:val="0085006F"/>
    <w:rsid w:val="00850282"/>
    <w:rsid w:val="00851074"/>
    <w:rsid w:val="00852722"/>
    <w:rsid w:val="00852869"/>
    <w:rsid w:val="00852A93"/>
    <w:rsid w:val="008542A9"/>
    <w:rsid w:val="00854528"/>
    <w:rsid w:val="00854DFC"/>
    <w:rsid w:val="00854EA1"/>
    <w:rsid w:val="00856911"/>
    <w:rsid w:val="00856B30"/>
    <w:rsid w:val="0085774B"/>
    <w:rsid w:val="00860173"/>
    <w:rsid w:val="0086078F"/>
    <w:rsid w:val="008612D1"/>
    <w:rsid w:val="00861F6D"/>
    <w:rsid w:val="00862468"/>
    <w:rsid w:val="00862672"/>
    <w:rsid w:val="00862F63"/>
    <w:rsid w:val="00863892"/>
    <w:rsid w:val="008677FD"/>
    <w:rsid w:val="008706D4"/>
    <w:rsid w:val="00870F8A"/>
    <w:rsid w:val="008718A0"/>
    <w:rsid w:val="008719A4"/>
    <w:rsid w:val="00871D23"/>
    <w:rsid w:val="00871E80"/>
    <w:rsid w:val="008733F0"/>
    <w:rsid w:val="008736E7"/>
    <w:rsid w:val="00874312"/>
    <w:rsid w:val="0087437C"/>
    <w:rsid w:val="00875CD7"/>
    <w:rsid w:val="00876B4D"/>
    <w:rsid w:val="00877F18"/>
    <w:rsid w:val="00882F34"/>
    <w:rsid w:val="00886D79"/>
    <w:rsid w:val="0089062D"/>
    <w:rsid w:val="0089362C"/>
    <w:rsid w:val="008941E3"/>
    <w:rsid w:val="008947D0"/>
    <w:rsid w:val="00894A88"/>
    <w:rsid w:val="00895386"/>
    <w:rsid w:val="00896C12"/>
    <w:rsid w:val="00897298"/>
    <w:rsid w:val="008A21FF"/>
    <w:rsid w:val="008A267A"/>
    <w:rsid w:val="008A26D8"/>
    <w:rsid w:val="008A2CE2"/>
    <w:rsid w:val="008A30AC"/>
    <w:rsid w:val="008A31B7"/>
    <w:rsid w:val="008A3B8C"/>
    <w:rsid w:val="008A44B8"/>
    <w:rsid w:val="008A51A8"/>
    <w:rsid w:val="008A54C7"/>
    <w:rsid w:val="008A62CB"/>
    <w:rsid w:val="008A6BBD"/>
    <w:rsid w:val="008A7376"/>
    <w:rsid w:val="008A77D8"/>
    <w:rsid w:val="008B0483"/>
    <w:rsid w:val="008B120C"/>
    <w:rsid w:val="008B12AB"/>
    <w:rsid w:val="008B289A"/>
    <w:rsid w:val="008B5069"/>
    <w:rsid w:val="008B51A0"/>
    <w:rsid w:val="008B5521"/>
    <w:rsid w:val="008B592A"/>
    <w:rsid w:val="008B66D0"/>
    <w:rsid w:val="008B7262"/>
    <w:rsid w:val="008B7B5C"/>
    <w:rsid w:val="008C05AE"/>
    <w:rsid w:val="008C0A89"/>
    <w:rsid w:val="008C0C99"/>
    <w:rsid w:val="008C1A3C"/>
    <w:rsid w:val="008C2017"/>
    <w:rsid w:val="008C4958"/>
    <w:rsid w:val="008C4BAA"/>
    <w:rsid w:val="008C65A5"/>
    <w:rsid w:val="008C6AE8"/>
    <w:rsid w:val="008C71F2"/>
    <w:rsid w:val="008C7573"/>
    <w:rsid w:val="008D0075"/>
    <w:rsid w:val="008D00A5"/>
    <w:rsid w:val="008D25B7"/>
    <w:rsid w:val="008D34F1"/>
    <w:rsid w:val="008D39D8"/>
    <w:rsid w:val="008D3CE9"/>
    <w:rsid w:val="008D493B"/>
    <w:rsid w:val="008D4A0F"/>
    <w:rsid w:val="008D5D3F"/>
    <w:rsid w:val="008D60D1"/>
    <w:rsid w:val="008D6D1A"/>
    <w:rsid w:val="008E065E"/>
    <w:rsid w:val="008E0927"/>
    <w:rsid w:val="008E1909"/>
    <w:rsid w:val="008E3CFB"/>
    <w:rsid w:val="008E53CC"/>
    <w:rsid w:val="008E5535"/>
    <w:rsid w:val="008F0E9B"/>
    <w:rsid w:val="008F1EAB"/>
    <w:rsid w:val="008F33DC"/>
    <w:rsid w:val="008F477F"/>
    <w:rsid w:val="008F5AA1"/>
    <w:rsid w:val="008F5CE8"/>
    <w:rsid w:val="008F63FB"/>
    <w:rsid w:val="008F6A95"/>
    <w:rsid w:val="008F7005"/>
    <w:rsid w:val="008F7280"/>
    <w:rsid w:val="00902350"/>
    <w:rsid w:val="0090310B"/>
    <w:rsid w:val="0090336B"/>
    <w:rsid w:val="009053AA"/>
    <w:rsid w:val="00905F31"/>
    <w:rsid w:val="00906939"/>
    <w:rsid w:val="00910B7D"/>
    <w:rsid w:val="00910FA8"/>
    <w:rsid w:val="00911BA6"/>
    <w:rsid w:val="00911DFB"/>
    <w:rsid w:val="009125E3"/>
    <w:rsid w:val="00912E52"/>
    <w:rsid w:val="00913229"/>
    <w:rsid w:val="00913445"/>
    <w:rsid w:val="009139D9"/>
    <w:rsid w:val="00914AD8"/>
    <w:rsid w:val="00916079"/>
    <w:rsid w:val="00916175"/>
    <w:rsid w:val="00917854"/>
    <w:rsid w:val="00917CE9"/>
    <w:rsid w:val="00917E48"/>
    <w:rsid w:val="00920BF2"/>
    <w:rsid w:val="00922010"/>
    <w:rsid w:val="00922CBC"/>
    <w:rsid w:val="00923166"/>
    <w:rsid w:val="0092367E"/>
    <w:rsid w:val="00924BDB"/>
    <w:rsid w:val="00931BD9"/>
    <w:rsid w:val="009355A9"/>
    <w:rsid w:val="009368F3"/>
    <w:rsid w:val="00936A78"/>
    <w:rsid w:val="00940834"/>
    <w:rsid w:val="00940F0B"/>
    <w:rsid w:val="009413E1"/>
    <w:rsid w:val="00941636"/>
    <w:rsid w:val="009425D3"/>
    <w:rsid w:val="00943742"/>
    <w:rsid w:val="00945A1C"/>
    <w:rsid w:val="00945C05"/>
    <w:rsid w:val="00945D4F"/>
    <w:rsid w:val="00946945"/>
    <w:rsid w:val="00947713"/>
    <w:rsid w:val="00947EAF"/>
    <w:rsid w:val="00950CF7"/>
    <w:rsid w:val="00950DE7"/>
    <w:rsid w:val="00953920"/>
    <w:rsid w:val="00953D47"/>
    <w:rsid w:val="00954680"/>
    <w:rsid w:val="00955311"/>
    <w:rsid w:val="0095681E"/>
    <w:rsid w:val="009572D4"/>
    <w:rsid w:val="00961921"/>
    <w:rsid w:val="00961C82"/>
    <w:rsid w:val="0096237B"/>
    <w:rsid w:val="0096430A"/>
    <w:rsid w:val="0096554B"/>
    <w:rsid w:val="0096584A"/>
    <w:rsid w:val="00966054"/>
    <w:rsid w:val="009664F1"/>
    <w:rsid w:val="00970636"/>
    <w:rsid w:val="009708E3"/>
    <w:rsid w:val="009718D6"/>
    <w:rsid w:val="00971F08"/>
    <w:rsid w:val="00973DED"/>
    <w:rsid w:val="0097603D"/>
    <w:rsid w:val="00976949"/>
    <w:rsid w:val="00980477"/>
    <w:rsid w:val="00980858"/>
    <w:rsid w:val="00981BD9"/>
    <w:rsid w:val="00983DD4"/>
    <w:rsid w:val="00985253"/>
    <w:rsid w:val="009853B3"/>
    <w:rsid w:val="00987974"/>
    <w:rsid w:val="009905A6"/>
    <w:rsid w:val="00990630"/>
    <w:rsid w:val="00991761"/>
    <w:rsid w:val="0099198A"/>
    <w:rsid w:val="00994DCA"/>
    <w:rsid w:val="00995D72"/>
    <w:rsid w:val="009960EC"/>
    <w:rsid w:val="009970DD"/>
    <w:rsid w:val="00997320"/>
    <w:rsid w:val="009A0FBA"/>
    <w:rsid w:val="009A1601"/>
    <w:rsid w:val="009A3206"/>
    <w:rsid w:val="009A323B"/>
    <w:rsid w:val="009A380F"/>
    <w:rsid w:val="009A3BB6"/>
    <w:rsid w:val="009A40EE"/>
    <w:rsid w:val="009A462D"/>
    <w:rsid w:val="009A590D"/>
    <w:rsid w:val="009A5CBA"/>
    <w:rsid w:val="009B0B94"/>
    <w:rsid w:val="009B1F30"/>
    <w:rsid w:val="009B296C"/>
    <w:rsid w:val="009B2A68"/>
    <w:rsid w:val="009B3AC2"/>
    <w:rsid w:val="009B41FC"/>
    <w:rsid w:val="009B499C"/>
    <w:rsid w:val="009B4B75"/>
    <w:rsid w:val="009B4DF4"/>
    <w:rsid w:val="009B564E"/>
    <w:rsid w:val="009B6F1C"/>
    <w:rsid w:val="009B756A"/>
    <w:rsid w:val="009B7584"/>
    <w:rsid w:val="009B7B48"/>
    <w:rsid w:val="009B7E87"/>
    <w:rsid w:val="009C0169"/>
    <w:rsid w:val="009C08B0"/>
    <w:rsid w:val="009C12F9"/>
    <w:rsid w:val="009C3E9E"/>
    <w:rsid w:val="009C403E"/>
    <w:rsid w:val="009C4AB8"/>
    <w:rsid w:val="009C5D6E"/>
    <w:rsid w:val="009C72A6"/>
    <w:rsid w:val="009C78B8"/>
    <w:rsid w:val="009C7F68"/>
    <w:rsid w:val="009D06FA"/>
    <w:rsid w:val="009D0E10"/>
    <w:rsid w:val="009D1EC6"/>
    <w:rsid w:val="009D45D7"/>
    <w:rsid w:val="009D4FF0"/>
    <w:rsid w:val="009D55A7"/>
    <w:rsid w:val="009D5A78"/>
    <w:rsid w:val="009D6285"/>
    <w:rsid w:val="009D703C"/>
    <w:rsid w:val="009D718F"/>
    <w:rsid w:val="009D786B"/>
    <w:rsid w:val="009E0194"/>
    <w:rsid w:val="009E068F"/>
    <w:rsid w:val="009E14E0"/>
    <w:rsid w:val="009E1DB7"/>
    <w:rsid w:val="009E2A63"/>
    <w:rsid w:val="009E35DB"/>
    <w:rsid w:val="009E47A3"/>
    <w:rsid w:val="009E4DDE"/>
    <w:rsid w:val="009E553A"/>
    <w:rsid w:val="009E6F1B"/>
    <w:rsid w:val="009F08F3"/>
    <w:rsid w:val="009F2F2E"/>
    <w:rsid w:val="009F344F"/>
    <w:rsid w:val="009F4295"/>
    <w:rsid w:val="009F57D3"/>
    <w:rsid w:val="009F6672"/>
    <w:rsid w:val="009F6D26"/>
    <w:rsid w:val="009F7693"/>
    <w:rsid w:val="009F78E9"/>
    <w:rsid w:val="00A02680"/>
    <w:rsid w:val="00A031D8"/>
    <w:rsid w:val="00A048A8"/>
    <w:rsid w:val="00A04F49"/>
    <w:rsid w:val="00A05BBE"/>
    <w:rsid w:val="00A0686B"/>
    <w:rsid w:val="00A13E54"/>
    <w:rsid w:val="00A147DD"/>
    <w:rsid w:val="00A15E90"/>
    <w:rsid w:val="00A16064"/>
    <w:rsid w:val="00A16881"/>
    <w:rsid w:val="00A17326"/>
    <w:rsid w:val="00A17F63"/>
    <w:rsid w:val="00A209F9"/>
    <w:rsid w:val="00A2193B"/>
    <w:rsid w:val="00A2230E"/>
    <w:rsid w:val="00A225C3"/>
    <w:rsid w:val="00A22C6F"/>
    <w:rsid w:val="00A22D5F"/>
    <w:rsid w:val="00A230C7"/>
    <w:rsid w:val="00A2351A"/>
    <w:rsid w:val="00A236D1"/>
    <w:rsid w:val="00A249EA"/>
    <w:rsid w:val="00A25164"/>
    <w:rsid w:val="00A264A9"/>
    <w:rsid w:val="00A26DCF"/>
    <w:rsid w:val="00A27077"/>
    <w:rsid w:val="00A27785"/>
    <w:rsid w:val="00A30187"/>
    <w:rsid w:val="00A3026E"/>
    <w:rsid w:val="00A30806"/>
    <w:rsid w:val="00A30973"/>
    <w:rsid w:val="00A3448A"/>
    <w:rsid w:val="00A36297"/>
    <w:rsid w:val="00A37E87"/>
    <w:rsid w:val="00A40360"/>
    <w:rsid w:val="00A40860"/>
    <w:rsid w:val="00A40B44"/>
    <w:rsid w:val="00A41E2B"/>
    <w:rsid w:val="00A45B74"/>
    <w:rsid w:val="00A45C05"/>
    <w:rsid w:val="00A467EE"/>
    <w:rsid w:val="00A51068"/>
    <w:rsid w:val="00A5127D"/>
    <w:rsid w:val="00A51908"/>
    <w:rsid w:val="00A51C08"/>
    <w:rsid w:val="00A52B64"/>
    <w:rsid w:val="00A52E1D"/>
    <w:rsid w:val="00A5390F"/>
    <w:rsid w:val="00A561CF"/>
    <w:rsid w:val="00A61499"/>
    <w:rsid w:val="00A61E4A"/>
    <w:rsid w:val="00A62A77"/>
    <w:rsid w:val="00A62D9F"/>
    <w:rsid w:val="00A63483"/>
    <w:rsid w:val="00A64313"/>
    <w:rsid w:val="00A64934"/>
    <w:rsid w:val="00A657D7"/>
    <w:rsid w:val="00A660AC"/>
    <w:rsid w:val="00A66D77"/>
    <w:rsid w:val="00A677E3"/>
    <w:rsid w:val="00A67E6C"/>
    <w:rsid w:val="00A71B99"/>
    <w:rsid w:val="00A72852"/>
    <w:rsid w:val="00A739D0"/>
    <w:rsid w:val="00A75ED0"/>
    <w:rsid w:val="00A761D4"/>
    <w:rsid w:val="00A77EC4"/>
    <w:rsid w:val="00A77F95"/>
    <w:rsid w:val="00A807CA"/>
    <w:rsid w:val="00A809BA"/>
    <w:rsid w:val="00A80B59"/>
    <w:rsid w:val="00A811C0"/>
    <w:rsid w:val="00A868B9"/>
    <w:rsid w:val="00A90826"/>
    <w:rsid w:val="00A92328"/>
    <w:rsid w:val="00A92879"/>
    <w:rsid w:val="00A92E8C"/>
    <w:rsid w:val="00A93FBA"/>
    <w:rsid w:val="00A9442A"/>
    <w:rsid w:val="00A9619B"/>
    <w:rsid w:val="00A96EA6"/>
    <w:rsid w:val="00AA016F"/>
    <w:rsid w:val="00AA1ED6"/>
    <w:rsid w:val="00AA2FB4"/>
    <w:rsid w:val="00AA37BA"/>
    <w:rsid w:val="00AA44B0"/>
    <w:rsid w:val="00AA51D6"/>
    <w:rsid w:val="00AB0BC8"/>
    <w:rsid w:val="00AB11CA"/>
    <w:rsid w:val="00AB14D9"/>
    <w:rsid w:val="00AB1827"/>
    <w:rsid w:val="00AB3C86"/>
    <w:rsid w:val="00AB4AB8"/>
    <w:rsid w:val="00AB655E"/>
    <w:rsid w:val="00AB6DA9"/>
    <w:rsid w:val="00AB6FB6"/>
    <w:rsid w:val="00AC007F"/>
    <w:rsid w:val="00AC0C50"/>
    <w:rsid w:val="00AC29FD"/>
    <w:rsid w:val="00AC2ECD"/>
    <w:rsid w:val="00AC3119"/>
    <w:rsid w:val="00AC49FB"/>
    <w:rsid w:val="00AC5A10"/>
    <w:rsid w:val="00AC7397"/>
    <w:rsid w:val="00AD0AA3"/>
    <w:rsid w:val="00AD1A51"/>
    <w:rsid w:val="00AD1D6E"/>
    <w:rsid w:val="00AD1E6E"/>
    <w:rsid w:val="00AD2B8D"/>
    <w:rsid w:val="00AD3F94"/>
    <w:rsid w:val="00AD4A5A"/>
    <w:rsid w:val="00AD4D36"/>
    <w:rsid w:val="00AD4EA3"/>
    <w:rsid w:val="00AD595B"/>
    <w:rsid w:val="00AD628D"/>
    <w:rsid w:val="00AD6EF4"/>
    <w:rsid w:val="00AD7F73"/>
    <w:rsid w:val="00AE27AC"/>
    <w:rsid w:val="00AE3D40"/>
    <w:rsid w:val="00AE40E0"/>
    <w:rsid w:val="00AE4DBA"/>
    <w:rsid w:val="00AE4F07"/>
    <w:rsid w:val="00AE5A5C"/>
    <w:rsid w:val="00AE68FB"/>
    <w:rsid w:val="00AE75B7"/>
    <w:rsid w:val="00AF18D5"/>
    <w:rsid w:val="00AF1C5D"/>
    <w:rsid w:val="00AF318C"/>
    <w:rsid w:val="00AF3CC3"/>
    <w:rsid w:val="00AF42D7"/>
    <w:rsid w:val="00AF78DE"/>
    <w:rsid w:val="00B006FE"/>
    <w:rsid w:val="00B007CB"/>
    <w:rsid w:val="00B020C5"/>
    <w:rsid w:val="00B02AA9"/>
    <w:rsid w:val="00B02FA3"/>
    <w:rsid w:val="00B03149"/>
    <w:rsid w:val="00B03F13"/>
    <w:rsid w:val="00B04CAD"/>
    <w:rsid w:val="00B05084"/>
    <w:rsid w:val="00B05422"/>
    <w:rsid w:val="00B0692E"/>
    <w:rsid w:val="00B157F9"/>
    <w:rsid w:val="00B17B6A"/>
    <w:rsid w:val="00B20256"/>
    <w:rsid w:val="00B20D09"/>
    <w:rsid w:val="00B21470"/>
    <w:rsid w:val="00B215F3"/>
    <w:rsid w:val="00B2485B"/>
    <w:rsid w:val="00B265B3"/>
    <w:rsid w:val="00B2763F"/>
    <w:rsid w:val="00B27AAC"/>
    <w:rsid w:val="00B30929"/>
    <w:rsid w:val="00B30D83"/>
    <w:rsid w:val="00B31B13"/>
    <w:rsid w:val="00B350BE"/>
    <w:rsid w:val="00B352F3"/>
    <w:rsid w:val="00B371BF"/>
    <w:rsid w:val="00B372AA"/>
    <w:rsid w:val="00B40445"/>
    <w:rsid w:val="00B405C9"/>
    <w:rsid w:val="00B409E0"/>
    <w:rsid w:val="00B41888"/>
    <w:rsid w:val="00B42049"/>
    <w:rsid w:val="00B43124"/>
    <w:rsid w:val="00B43F64"/>
    <w:rsid w:val="00B44D80"/>
    <w:rsid w:val="00B45A52"/>
    <w:rsid w:val="00B45F86"/>
    <w:rsid w:val="00B46175"/>
    <w:rsid w:val="00B463E4"/>
    <w:rsid w:val="00B47C9B"/>
    <w:rsid w:val="00B53349"/>
    <w:rsid w:val="00B548B7"/>
    <w:rsid w:val="00B54D1B"/>
    <w:rsid w:val="00B57764"/>
    <w:rsid w:val="00B63045"/>
    <w:rsid w:val="00B664C7"/>
    <w:rsid w:val="00B66A6B"/>
    <w:rsid w:val="00B70FC1"/>
    <w:rsid w:val="00B71416"/>
    <w:rsid w:val="00B71638"/>
    <w:rsid w:val="00B719EA"/>
    <w:rsid w:val="00B739F6"/>
    <w:rsid w:val="00B746D4"/>
    <w:rsid w:val="00B77922"/>
    <w:rsid w:val="00B805F8"/>
    <w:rsid w:val="00B80D58"/>
    <w:rsid w:val="00B81A6C"/>
    <w:rsid w:val="00B832B9"/>
    <w:rsid w:val="00B85DE5"/>
    <w:rsid w:val="00B9044E"/>
    <w:rsid w:val="00B90F73"/>
    <w:rsid w:val="00B9387B"/>
    <w:rsid w:val="00B93B59"/>
    <w:rsid w:val="00B9406A"/>
    <w:rsid w:val="00B9493C"/>
    <w:rsid w:val="00BA043F"/>
    <w:rsid w:val="00BA0D24"/>
    <w:rsid w:val="00BA0DBA"/>
    <w:rsid w:val="00BA2280"/>
    <w:rsid w:val="00BA2A08"/>
    <w:rsid w:val="00BA3B82"/>
    <w:rsid w:val="00BA56D2"/>
    <w:rsid w:val="00BA725A"/>
    <w:rsid w:val="00BA76E0"/>
    <w:rsid w:val="00BB0A95"/>
    <w:rsid w:val="00BB131F"/>
    <w:rsid w:val="00BB202D"/>
    <w:rsid w:val="00BB2A25"/>
    <w:rsid w:val="00BB3ED8"/>
    <w:rsid w:val="00BB4A0B"/>
    <w:rsid w:val="00BB51E9"/>
    <w:rsid w:val="00BB665E"/>
    <w:rsid w:val="00BB6BF1"/>
    <w:rsid w:val="00BB7F3A"/>
    <w:rsid w:val="00BC01A7"/>
    <w:rsid w:val="00BC0FDC"/>
    <w:rsid w:val="00BC147A"/>
    <w:rsid w:val="00BC3053"/>
    <w:rsid w:val="00BC37C9"/>
    <w:rsid w:val="00BC4D2E"/>
    <w:rsid w:val="00BC61BB"/>
    <w:rsid w:val="00BC7309"/>
    <w:rsid w:val="00BD023C"/>
    <w:rsid w:val="00BD3B0D"/>
    <w:rsid w:val="00BD410D"/>
    <w:rsid w:val="00BD48AC"/>
    <w:rsid w:val="00BD5B7B"/>
    <w:rsid w:val="00BD5F1A"/>
    <w:rsid w:val="00BD69E6"/>
    <w:rsid w:val="00BD72C0"/>
    <w:rsid w:val="00BE1234"/>
    <w:rsid w:val="00BE29AA"/>
    <w:rsid w:val="00BE2FA6"/>
    <w:rsid w:val="00BE3226"/>
    <w:rsid w:val="00BE333F"/>
    <w:rsid w:val="00BE4400"/>
    <w:rsid w:val="00BE7090"/>
    <w:rsid w:val="00BE7406"/>
    <w:rsid w:val="00BE7603"/>
    <w:rsid w:val="00BF05B6"/>
    <w:rsid w:val="00BF3279"/>
    <w:rsid w:val="00BF473C"/>
    <w:rsid w:val="00BF6FC8"/>
    <w:rsid w:val="00BF74C7"/>
    <w:rsid w:val="00C00E0E"/>
    <w:rsid w:val="00C015F1"/>
    <w:rsid w:val="00C01F33"/>
    <w:rsid w:val="00C02CC6"/>
    <w:rsid w:val="00C032C5"/>
    <w:rsid w:val="00C03AF6"/>
    <w:rsid w:val="00C040F7"/>
    <w:rsid w:val="00C044AB"/>
    <w:rsid w:val="00C04B84"/>
    <w:rsid w:val="00C05706"/>
    <w:rsid w:val="00C07265"/>
    <w:rsid w:val="00C07377"/>
    <w:rsid w:val="00C10478"/>
    <w:rsid w:val="00C11E5B"/>
    <w:rsid w:val="00C12107"/>
    <w:rsid w:val="00C1293B"/>
    <w:rsid w:val="00C12F8E"/>
    <w:rsid w:val="00C14D4B"/>
    <w:rsid w:val="00C154BB"/>
    <w:rsid w:val="00C16599"/>
    <w:rsid w:val="00C2105E"/>
    <w:rsid w:val="00C2404E"/>
    <w:rsid w:val="00C24192"/>
    <w:rsid w:val="00C257C1"/>
    <w:rsid w:val="00C26C25"/>
    <w:rsid w:val="00C279B5"/>
    <w:rsid w:val="00C27C45"/>
    <w:rsid w:val="00C30221"/>
    <w:rsid w:val="00C318A8"/>
    <w:rsid w:val="00C36A0A"/>
    <w:rsid w:val="00C36A2F"/>
    <w:rsid w:val="00C3719D"/>
    <w:rsid w:val="00C37CB2"/>
    <w:rsid w:val="00C4009A"/>
    <w:rsid w:val="00C40F14"/>
    <w:rsid w:val="00C412C8"/>
    <w:rsid w:val="00C4189A"/>
    <w:rsid w:val="00C44AEC"/>
    <w:rsid w:val="00C473A5"/>
    <w:rsid w:val="00C47ADA"/>
    <w:rsid w:val="00C50358"/>
    <w:rsid w:val="00C505D3"/>
    <w:rsid w:val="00C50947"/>
    <w:rsid w:val="00C5217F"/>
    <w:rsid w:val="00C52309"/>
    <w:rsid w:val="00C53D19"/>
    <w:rsid w:val="00C546D5"/>
    <w:rsid w:val="00C54785"/>
    <w:rsid w:val="00C54995"/>
    <w:rsid w:val="00C54D41"/>
    <w:rsid w:val="00C5624A"/>
    <w:rsid w:val="00C578B7"/>
    <w:rsid w:val="00C60783"/>
    <w:rsid w:val="00C60B85"/>
    <w:rsid w:val="00C64672"/>
    <w:rsid w:val="00C64DA7"/>
    <w:rsid w:val="00C65418"/>
    <w:rsid w:val="00C6752D"/>
    <w:rsid w:val="00C6798A"/>
    <w:rsid w:val="00C70697"/>
    <w:rsid w:val="00C7125F"/>
    <w:rsid w:val="00C716FB"/>
    <w:rsid w:val="00C71F5E"/>
    <w:rsid w:val="00C72093"/>
    <w:rsid w:val="00C72224"/>
    <w:rsid w:val="00C72C21"/>
    <w:rsid w:val="00C72EF4"/>
    <w:rsid w:val="00C73DF7"/>
    <w:rsid w:val="00C744FE"/>
    <w:rsid w:val="00C75A56"/>
    <w:rsid w:val="00C75D2F"/>
    <w:rsid w:val="00C75DEA"/>
    <w:rsid w:val="00C766FE"/>
    <w:rsid w:val="00C767BE"/>
    <w:rsid w:val="00C76E3C"/>
    <w:rsid w:val="00C801D7"/>
    <w:rsid w:val="00C81568"/>
    <w:rsid w:val="00C82D6D"/>
    <w:rsid w:val="00C86B77"/>
    <w:rsid w:val="00C87BEE"/>
    <w:rsid w:val="00C9027A"/>
    <w:rsid w:val="00C9068E"/>
    <w:rsid w:val="00C907AD"/>
    <w:rsid w:val="00C91C78"/>
    <w:rsid w:val="00C93814"/>
    <w:rsid w:val="00C93C4B"/>
    <w:rsid w:val="00C944AB"/>
    <w:rsid w:val="00C95B40"/>
    <w:rsid w:val="00C96063"/>
    <w:rsid w:val="00C96892"/>
    <w:rsid w:val="00C97E44"/>
    <w:rsid w:val="00CA02E5"/>
    <w:rsid w:val="00CA1229"/>
    <w:rsid w:val="00CA12F6"/>
    <w:rsid w:val="00CA1B34"/>
    <w:rsid w:val="00CA1ED8"/>
    <w:rsid w:val="00CA329B"/>
    <w:rsid w:val="00CA34AB"/>
    <w:rsid w:val="00CA4902"/>
    <w:rsid w:val="00CA5965"/>
    <w:rsid w:val="00CA7670"/>
    <w:rsid w:val="00CB070F"/>
    <w:rsid w:val="00CB0C8D"/>
    <w:rsid w:val="00CB1F63"/>
    <w:rsid w:val="00CB3D03"/>
    <w:rsid w:val="00CB59F5"/>
    <w:rsid w:val="00CB7170"/>
    <w:rsid w:val="00CC040E"/>
    <w:rsid w:val="00CC0591"/>
    <w:rsid w:val="00CC111F"/>
    <w:rsid w:val="00CC1AFA"/>
    <w:rsid w:val="00CC2011"/>
    <w:rsid w:val="00CC2B5D"/>
    <w:rsid w:val="00CC3AD5"/>
    <w:rsid w:val="00CC3EA0"/>
    <w:rsid w:val="00CC54A2"/>
    <w:rsid w:val="00CC6974"/>
    <w:rsid w:val="00CC7B45"/>
    <w:rsid w:val="00CD1188"/>
    <w:rsid w:val="00CD1F55"/>
    <w:rsid w:val="00CD2ED1"/>
    <w:rsid w:val="00CD337B"/>
    <w:rsid w:val="00CD37AA"/>
    <w:rsid w:val="00CD3FD7"/>
    <w:rsid w:val="00CD6E86"/>
    <w:rsid w:val="00CD76BB"/>
    <w:rsid w:val="00CE0424"/>
    <w:rsid w:val="00CE1E43"/>
    <w:rsid w:val="00CE304C"/>
    <w:rsid w:val="00CE3182"/>
    <w:rsid w:val="00CE35B0"/>
    <w:rsid w:val="00CE370E"/>
    <w:rsid w:val="00CE4518"/>
    <w:rsid w:val="00CE4DF3"/>
    <w:rsid w:val="00CE53D9"/>
    <w:rsid w:val="00CE56C1"/>
    <w:rsid w:val="00CE7561"/>
    <w:rsid w:val="00CE78FB"/>
    <w:rsid w:val="00CF0581"/>
    <w:rsid w:val="00CF1354"/>
    <w:rsid w:val="00CF36D0"/>
    <w:rsid w:val="00CF3B1F"/>
    <w:rsid w:val="00CF3BF6"/>
    <w:rsid w:val="00CF3D46"/>
    <w:rsid w:val="00CF47AD"/>
    <w:rsid w:val="00CF4824"/>
    <w:rsid w:val="00CF4AE1"/>
    <w:rsid w:val="00CF625B"/>
    <w:rsid w:val="00CF67D2"/>
    <w:rsid w:val="00CF687E"/>
    <w:rsid w:val="00D01B6E"/>
    <w:rsid w:val="00D0349B"/>
    <w:rsid w:val="00D03754"/>
    <w:rsid w:val="00D10249"/>
    <w:rsid w:val="00D11570"/>
    <w:rsid w:val="00D115C3"/>
    <w:rsid w:val="00D11897"/>
    <w:rsid w:val="00D121D2"/>
    <w:rsid w:val="00D12EE4"/>
    <w:rsid w:val="00D13135"/>
    <w:rsid w:val="00D13E4E"/>
    <w:rsid w:val="00D1457B"/>
    <w:rsid w:val="00D1798D"/>
    <w:rsid w:val="00D20BAC"/>
    <w:rsid w:val="00D21B2A"/>
    <w:rsid w:val="00D22004"/>
    <w:rsid w:val="00D22AAE"/>
    <w:rsid w:val="00D2332F"/>
    <w:rsid w:val="00D239A7"/>
    <w:rsid w:val="00D23F47"/>
    <w:rsid w:val="00D2446B"/>
    <w:rsid w:val="00D26A26"/>
    <w:rsid w:val="00D27582"/>
    <w:rsid w:val="00D35D14"/>
    <w:rsid w:val="00D36E71"/>
    <w:rsid w:val="00D37B55"/>
    <w:rsid w:val="00D37D87"/>
    <w:rsid w:val="00D40B33"/>
    <w:rsid w:val="00D40BDB"/>
    <w:rsid w:val="00D4318F"/>
    <w:rsid w:val="00D438BF"/>
    <w:rsid w:val="00D43AD2"/>
    <w:rsid w:val="00D440F8"/>
    <w:rsid w:val="00D45D5F"/>
    <w:rsid w:val="00D46D0D"/>
    <w:rsid w:val="00D4769A"/>
    <w:rsid w:val="00D5059A"/>
    <w:rsid w:val="00D526D0"/>
    <w:rsid w:val="00D546FF"/>
    <w:rsid w:val="00D55105"/>
    <w:rsid w:val="00D5584F"/>
    <w:rsid w:val="00D55AD5"/>
    <w:rsid w:val="00D5629D"/>
    <w:rsid w:val="00D576CA"/>
    <w:rsid w:val="00D60A8D"/>
    <w:rsid w:val="00D61428"/>
    <w:rsid w:val="00D61AF5"/>
    <w:rsid w:val="00D61DD7"/>
    <w:rsid w:val="00D63D65"/>
    <w:rsid w:val="00D652B5"/>
    <w:rsid w:val="00D66155"/>
    <w:rsid w:val="00D7036D"/>
    <w:rsid w:val="00D708B0"/>
    <w:rsid w:val="00D70D1F"/>
    <w:rsid w:val="00D70E4B"/>
    <w:rsid w:val="00D7311D"/>
    <w:rsid w:val="00D73FB1"/>
    <w:rsid w:val="00D77B1D"/>
    <w:rsid w:val="00D8021F"/>
    <w:rsid w:val="00D80383"/>
    <w:rsid w:val="00D808A5"/>
    <w:rsid w:val="00D81137"/>
    <w:rsid w:val="00D823C6"/>
    <w:rsid w:val="00D825D5"/>
    <w:rsid w:val="00D8327F"/>
    <w:rsid w:val="00D84D8E"/>
    <w:rsid w:val="00D851F1"/>
    <w:rsid w:val="00D852C5"/>
    <w:rsid w:val="00D86CA3"/>
    <w:rsid w:val="00D870A6"/>
    <w:rsid w:val="00D871CE"/>
    <w:rsid w:val="00D9081C"/>
    <w:rsid w:val="00D9196D"/>
    <w:rsid w:val="00D92184"/>
    <w:rsid w:val="00D92982"/>
    <w:rsid w:val="00D935A7"/>
    <w:rsid w:val="00D935E5"/>
    <w:rsid w:val="00D9676C"/>
    <w:rsid w:val="00DA0114"/>
    <w:rsid w:val="00DA033B"/>
    <w:rsid w:val="00DA305E"/>
    <w:rsid w:val="00DA4F8C"/>
    <w:rsid w:val="00DA5417"/>
    <w:rsid w:val="00DA56E8"/>
    <w:rsid w:val="00DA760E"/>
    <w:rsid w:val="00DA7FBC"/>
    <w:rsid w:val="00DB0A9F"/>
    <w:rsid w:val="00DB2D87"/>
    <w:rsid w:val="00DB3248"/>
    <w:rsid w:val="00DB377D"/>
    <w:rsid w:val="00DB3DB0"/>
    <w:rsid w:val="00DB4CB4"/>
    <w:rsid w:val="00DB4D10"/>
    <w:rsid w:val="00DB597E"/>
    <w:rsid w:val="00DB5983"/>
    <w:rsid w:val="00DC03AC"/>
    <w:rsid w:val="00DC075D"/>
    <w:rsid w:val="00DC07F8"/>
    <w:rsid w:val="00DC16DB"/>
    <w:rsid w:val="00DC1CCA"/>
    <w:rsid w:val="00DC2441"/>
    <w:rsid w:val="00DC2D36"/>
    <w:rsid w:val="00DC451D"/>
    <w:rsid w:val="00DC53EF"/>
    <w:rsid w:val="00DC5923"/>
    <w:rsid w:val="00DC6181"/>
    <w:rsid w:val="00DD0E9C"/>
    <w:rsid w:val="00DD256D"/>
    <w:rsid w:val="00DD4C9A"/>
    <w:rsid w:val="00DE0FD6"/>
    <w:rsid w:val="00DE31CE"/>
    <w:rsid w:val="00DE5608"/>
    <w:rsid w:val="00DE58D0"/>
    <w:rsid w:val="00DE5B2F"/>
    <w:rsid w:val="00DE654F"/>
    <w:rsid w:val="00DE6BE1"/>
    <w:rsid w:val="00DE71CB"/>
    <w:rsid w:val="00DE7664"/>
    <w:rsid w:val="00DF06D6"/>
    <w:rsid w:val="00DF0B6E"/>
    <w:rsid w:val="00DF0E03"/>
    <w:rsid w:val="00DF15E0"/>
    <w:rsid w:val="00DF1EC6"/>
    <w:rsid w:val="00DF37A0"/>
    <w:rsid w:val="00DF37EE"/>
    <w:rsid w:val="00DF768C"/>
    <w:rsid w:val="00DF7D44"/>
    <w:rsid w:val="00E022EC"/>
    <w:rsid w:val="00E04172"/>
    <w:rsid w:val="00E06213"/>
    <w:rsid w:val="00E06A00"/>
    <w:rsid w:val="00E07034"/>
    <w:rsid w:val="00E07AFD"/>
    <w:rsid w:val="00E110E7"/>
    <w:rsid w:val="00E11B20"/>
    <w:rsid w:val="00E1210D"/>
    <w:rsid w:val="00E140AF"/>
    <w:rsid w:val="00E15225"/>
    <w:rsid w:val="00E15C61"/>
    <w:rsid w:val="00E17E28"/>
    <w:rsid w:val="00E17FA2"/>
    <w:rsid w:val="00E205A8"/>
    <w:rsid w:val="00E22330"/>
    <w:rsid w:val="00E2667B"/>
    <w:rsid w:val="00E30297"/>
    <w:rsid w:val="00E30B5A"/>
    <w:rsid w:val="00E30CD1"/>
    <w:rsid w:val="00E3123D"/>
    <w:rsid w:val="00E31461"/>
    <w:rsid w:val="00E314B7"/>
    <w:rsid w:val="00E31963"/>
    <w:rsid w:val="00E31BA1"/>
    <w:rsid w:val="00E31D43"/>
    <w:rsid w:val="00E31F13"/>
    <w:rsid w:val="00E32608"/>
    <w:rsid w:val="00E32E56"/>
    <w:rsid w:val="00E34188"/>
    <w:rsid w:val="00E34B6E"/>
    <w:rsid w:val="00E35559"/>
    <w:rsid w:val="00E3723A"/>
    <w:rsid w:val="00E37860"/>
    <w:rsid w:val="00E41160"/>
    <w:rsid w:val="00E446F1"/>
    <w:rsid w:val="00E46886"/>
    <w:rsid w:val="00E47AEF"/>
    <w:rsid w:val="00E51088"/>
    <w:rsid w:val="00E517D5"/>
    <w:rsid w:val="00E51F08"/>
    <w:rsid w:val="00E52042"/>
    <w:rsid w:val="00E53B75"/>
    <w:rsid w:val="00E542A7"/>
    <w:rsid w:val="00E54E3B"/>
    <w:rsid w:val="00E571C1"/>
    <w:rsid w:val="00E57565"/>
    <w:rsid w:val="00E62589"/>
    <w:rsid w:val="00E63838"/>
    <w:rsid w:val="00E64434"/>
    <w:rsid w:val="00E64A06"/>
    <w:rsid w:val="00E67C51"/>
    <w:rsid w:val="00E70C7B"/>
    <w:rsid w:val="00E72EFC"/>
    <w:rsid w:val="00E731C6"/>
    <w:rsid w:val="00E73579"/>
    <w:rsid w:val="00E74766"/>
    <w:rsid w:val="00E75399"/>
    <w:rsid w:val="00E758EC"/>
    <w:rsid w:val="00E7685D"/>
    <w:rsid w:val="00E76A64"/>
    <w:rsid w:val="00E80338"/>
    <w:rsid w:val="00E81BA9"/>
    <w:rsid w:val="00E8234C"/>
    <w:rsid w:val="00E82802"/>
    <w:rsid w:val="00E83AA9"/>
    <w:rsid w:val="00E840F1"/>
    <w:rsid w:val="00E841D2"/>
    <w:rsid w:val="00E845FC"/>
    <w:rsid w:val="00E85928"/>
    <w:rsid w:val="00E869BC"/>
    <w:rsid w:val="00E87822"/>
    <w:rsid w:val="00E87CF6"/>
    <w:rsid w:val="00E90395"/>
    <w:rsid w:val="00E90955"/>
    <w:rsid w:val="00E90E49"/>
    <w:rsid w:val="00E917F9"/>
    <w:rsid w:val="00E9291C"/>
    <w:rsid w:val="00E93001"/>
    <w:rsid w:val="00E93789"/>
    <w:rsid w:val="00E93FFE"/>
    <w:rsid w:val="00E94D93"/>
    <w:rsid w:val="00E94F8A"/>
    <w:rsid w:val="00E96387"/>
    <w:rsid w:val="00E96406"/>
    <w:rsid w:val="00E977EC"/>
    <w:rsid w:val="00EA0B57"/>
    <w:rsid w:val="00EA1A75"/>
    <w:rsid w:val="00EA2249"/>
    <w:rsid w:val="00EA37F9"/>
    <w:rsid w:val="00EA524D"/>
    <w:rsid w:val="00EA7A41"/>
    <w:rsid w:val="00EB077B"/>
    <w:rsid w:val="00EB1D9A"/>
    <w:rsid w:val="00EB2DE0"/>
    <w:rsid w:val="00EB4084"/>
    <w:rsid w:val="00EB4EA2"/>
    <w:rsid w:val="00EB5AC5"/>
    <w:rsid w:val="00EB730A"/>
    <w:rsid w:val="00EC0209"/>
    <w:rsid w:val="00EC24D5"/>
    <w:rsid w:val="00EC27C6"/>
    <w:rsid w:val="00EC32D2"/>
    <w:rsid w:val="00EC3A20"/>
    <w:rsid w:val="00EC3D7B"/>
    <w:rsid w:val="00EC3E8E"/>
    <w:rsid w:val="00EC4207"/>
    <w:rsid w:val="00EC44A7"/>
    <w:rsid w:val="00EC4653"/>
    <w:rsid w:val="00EC541F"/>
    <w:rsid w:val="00EC5653"/>
    <w:rsid w:val="00EC71CE"/>
    <w:rsid w:val="00EC7835"/>
    <w:rsid w:val="00EC7D85"/>
    <w:rsid w:val="00ED1006"/>
    <w:rsid w:val="00ED1FB5"/>
    <w:rsid w:val="00ED63FF"/>
    <w:rsid w:val="00EE1B59"/>
    <w:rsid w:val="00EE232D"/>
    <w:rsid w:val="00EE233F"/>
    <w:rsid w:val="00EE57E6"/>
    <w:rsid w:val="00EE5A4A"/>
    <w:rsid w:val="00EE5E56"/>
    <w:rsid w:val="00EE70AC"/>
    <w:rsid w:val="00EF18FE"/>
    <w:rsid w:val="00EF268E"/>
    <w:rsid w:val="00EF32BE"/>
    <w:rsid w:val="00EF39C7"/>
    <w:rsid w:val="00EF41E8"/>
    <w:rsid w:val="00EF5787"/>
    <w:rsid w:val="00EF60D0"/>
    <w:rsid w:val="00EF6255"/>
    <w:rsid w:val="00F0518A"/>
    <w:rsid w:val="00F0528D"/>
    <w:rsid w:val="00F05D71"/>
    <w:rsid w:val="00F06021"/>
    <w:rsid w:val="00F06C67"/>
    <w:rsid w:val="00F06DFD"/>
    <w:rsid w:val="00F071D1"/>
    <w:rsid w:val="00F07533"/>
    <w:rsid w:val="00F10629"/>
    <w:rsid w:val="00F1250F"/>
    <w:rsid w:val="00F13706"/>
    <w:rsid w:val="00F1409F"/>
    <w:rsid w:val="00F1428B"/>
    <w:rsid w:val="00F150D8"/>
    <w:rsid w:val="00F1511E"/>
    <w:rsid w:val="00F15875"/>
    <w:rsid w:val="00F15FA5"/>
    <w:rsid w:val="00F204C4"/>
    <w:rsid w:val="00F209B7"/>
    <w:rsid w:val="00F22818"/>
    <w:rsid w:val="00F22A59"/>
    <w:rsid w:val="00F2376F"/>
    <w:rsid w:val="00F243D8"/>
    <w:rsid w:val="00F25C52"/>
    <w:rsid w:val="00F272D1"/>
    <w:rsid w:val="00F27468"/>
    <w:rsid w:val="00F27822"/>
    <w:rsid w:val="00F30828"/>
    <w:rsid w:val="00F313D6"/>
    <w:rsid w:val="00F31710"/>
    <w:rsid w:val="00F33881"/>
    <w:rsid w:val="00F33FF5"/>
    <w:rsid w:val="00F35AFC"/>
    <w:rsid w:val="00F40D24"/>
    <w:rsid w:val="00F40F0C"/>
    <w:rsid w:val="00F427E4"/>
    <w:rsid w:val="00F42A2B"/>
    <w:rsid w:val="00F43462"/>
    <w:rsid w:val="00F4457D"/>
    <w:rsid w:val="00F4766C"/>
    <w:rsid w:val="00F50423"/>
    <w:rsid w:val="00F5060E"/>
    <w:rsid w:val="00F507D1"/>
    <w:rsid w:val="00F519CE"/>
    <w:rsid w:val="00F51ADA"/>
    <w:rsid w:val="00F532F0"/>
    <w:rsid w:val="00F53BD5"/>
    <w:rsid w:val="00F54BF2"/>
    <w:rsid w:val="00F60203"/>
    <w:rsid w:val="00F607C5"/>
    <w:rsid w:val="00F60989"/>
    <w:rsid w:val="00F60AB3"/>
    <w:rsid w:val="00F60CD1"/>
    <w:rsid w:val="00F60DEA"/>
    <w:rsid w:val="00F61E1A"/>
    <w:rsid w:val="00F6302A"/>
    <w:rsid w:val="00F63950"/>
    <w:rsid w:val="00F63A9D"/>
    <w:rsid w:val="00F64364"/>
    <w:rsid w:val="00F64C2B"/>
    <w:rsid w:val="00F651BE"/>
    <w:rsid w:val="00F67F53"/>
    <w:rsid w:val="00F703BE"/>
    <w:rsid w:val="00F70C90"/>
    <w:rsid w:val="00F71F69"/>
    <w:rsid w:val="00F72B72"/>
    <w:rsid w:val="00F7327D"/>
    <w:rsid w:val="00F74BB9"/>
    <w:rsid w:val="00F75582"/>
    <w:rsid w:val="00F763CC"/>
    <w:rsid w:val="00F76EFA"/>
    <w:rsid w:val="00F7764F"/>
    <w:rsid w:val="00F778C3"/>
    <w:rsid w:val="00F804BE"/>
    <w:rsid w:val="00F817CE"/>
    <w:rsid w:val="00F82138"/>
    <w:rsid w:val="00F8261D"/>
    <w:rsid w:val="00F84287"/>
    <w:rsid w:val="00F8456C"/>
    <w:rsid w:val="00F859D8"/>
    <w:rsid w:val="00F868F5"/>
    <w:rsid w:val="00F87462"/>
    <w:rsid w:val="00F87764"/>
    <w:rsid w:val="00F9056A"/>
    <w:rsid w:val="00F90F8D"/>
    <w:rsid w:val="00F911DA"/>
    <w:rsid w:val="00F923BF"/>
    <w:rsid w:val="00F92782"/>
    <w:rsid w:val="00F93710"/>
    <w:rsid w:val="00F93AA9"/>
    <w:rsid w:val="00F96985"/>
    <w:rsid w:val="00F97838"/>
    <w:rsid w:val="00FA0381"/>
    <w:rsid w:val="00FA2BB3"/>
    <w:rsid w:val="00FA2F76"/>
    <w:rsid w:val="00FA3CE3"/>
    <w:rsid w:val="00FA4C5F"/>
    <w:rsid w:val="00FA6A78"/>
    <w:rsid w:val="00FA7785"/>
    <w:rsid w:val="00FB3576"/>
    <w:rsid w:val="00FB4058"/>
    <w:rsid w:val="00FB491E"/>
    <w:rsid w:val="00FB4C80"/>
    <w:rsid w:val="00FB4CF4"/>
    <w:rsid w:val="00FB6A6A"/>
    <w:rsid w:val="00FB6DC4"/>
    <w:rsid w:val="00FC1D7F"/>
    <w:rsid w:val="00FC2E07"/>
    <w:rsid w:val="00FC557B"/>
    <w:rsid w:val="00FC5B74"/>
    <w:rsid w:val="00FC7429"/>
    <w:rsid w:val="00FD07F6"/>
    <w:rsid w:val="00FD1155"/>
    <w:rsid w:val="00FD1CDB"/>
    <w:rsid w:val="00FD1EC8"/>
    <w:rsid w:val="00FD1ED6"/>
    <w:rsid w:val="00FD38E5"/>
    <w:rsid w:val="00FD411D"/>
    <w:rsid w:val="00FD47ED"/>
    <w:rsid w:val="00FD534C"/>
    <w:rsid w:val="00FD58EE"/>
    <w:rsid w:val="00FD5A1C"/>
    <w:rsid w:val="00FD74DB"/>
    <w:rsid w:val="00FD7660"/>
    <w:rsid w:val="00FE01B7"/>
    <w:rsid w:val="00FE0655"/>
    <w:rsid w:val="00FE2365"/>
    <w:rsid w:val="00FE37D7"/>
    <w:rsid w:val="00FE44C8"/>
    <w:rsid w:val="00FE4C7B"/>
    <w:rsid w:val="00FE7336"/>
    <w:rsid w:val="00FE75F6"/>
    <w:rsid w:val="00FE787C"/>
    <w:rsid w:val="00FF1192"/>
    <w:rsid w:val="00FF45A5"/>
    <w:rsid w:val="00FF54B0"/>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3F64"/>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B43F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3F64"/>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tabs>
        <w:tab w:val="num" w:pos="360"/>
      </w:tabs>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qFormat/>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 w:type="paragraph" w:customStyle="1" w:styleId="doc-text20">
    <w:name w:val="doc-text2"/>
    <w:basedOn w:val="Normal"/>
    <w:rsid w:val="00506F83"/>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506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188758752">
      <w:bodyDiv w:val="1"/>
      <w:marLeft w:val="0"/>
      <w:marRight w:val="0"/>
      <w:marTop w:val="0"/>
      <w:marBottom w:val="0"/>
      <w:divBdr>
        <w:top w:val="none" w:sz="0" w:space="0" w:color="auto"/>
        <w:left w:val="none" w:sz="0" w:space="0" w:color="auto"/>
        <w:bottom w:val="none" w:sz="0" w:space="0" w:color="auto"/>
        <w:right w:val="none" w:sz="0" w:space="0" w:color="auto"/>
      </w:divBdr>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279146711">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492570655">
      <w:bodyDiv w:val="1"/>
      <w:marLeft w:val="0"/>
      <w:marRight w:val="0"/>
      <w:marTop w:val="0"/>
      <w:marBottom w:val="0"/>
      <w:divBdr>
        <w:top w:val="none" w:sz="0" w:space="0" w:color="auto"/>
        <w:left w:val="none" w:sz="0" w:space="0" w:color="auto"/>
        <w:bottom w:val="none" w:sz="0" w:space="0" w:color="auto"/>
        <w:right w:val="none" w:sz="0" w:space="0" w:color="auto"/>
      </w:divBdr>
    </w:div>
    <w:div w:id="563639766">
      <w:bodyDiv w:val="1"/>
      <w:marLeft w:val="0"/>
      <w:marRight w:val="0"/>
      <w:marTop w:val="0"/>
      <w:marBottom w:val="0"/>
      <w:divBdr>
        <w:top w:val="none" w:sz="0" w:space="0" w:color="auto"/>
        <w:left w:val="none" w:sz="0" w:space="0" w:color="auto"/>
        <w:bottom w:val="none" w:sz="0" w:space="0" w:color="auto"/>
        <w:right w:val="none" w:sz="0" w:space="0" w:color="auto"/>
      </w:divBdr>
      <w:divsChild>
        <w:div w:id="1078553497">
          <w:marLeft w:val="274"/>
          <w:marRight w:val="0"/>
          <w:marTop w:val="96"/>
          <w:marBottom w:val="0"/>
          <w:divBdr>
            <w:top w:val="none" w:sz="0" w:space="0" w:color="auto"/>
            <w:left w:val="none" w:sz="0" w:space="0" w:color="auto"/>
            <w:bottom w:val="none" w:sz="0" w:space="0" w:color="auto"/>
            <w:right w:val="none" w:sz="0" w:space="0" w:color="auto"/>
          </w:divBdr>
        </w:div>
        <w:div w:id="469596600">
          <w:marLeft w:val="274"/>
          <w:marRight w:val="0"/>
          <w:marTop w:val="96"/>
          <w:marBottom w:val="0"/>
          <w:divBdr>
            <w:top w:val="none" w:sz="0" w:space="0" w:color="auto"/>
            <w:left w:val="none" w:sz="0" w:space="0" w:color="auto"/>
            <w:bottom w:val="none" w:sz="0" w:space="0" w:color="auto"/>
            <w:right w:val="none" w:sz="0" w:space="0" w:color="auto"/>
          </w:divBdr>
        </w:div>
        <w:div w:id="1232036489">
          <w:marLeft w:val="274"/>
          <w:marRight w:val="0"/>
          <w:marTop w:val="96"/>
          <w:marBottom w:val="0"/>
          <w:divBdr>
            <w:top w:val="none" w:sz="0" w:space="0" w:color="auto"/>
            <w:left w:val="none" w:sz="0" w:space="0" w:color="auto"/>
            <w:bottom w:val="none" w:sz="0" w:space="0" w:color="auto"/>
            <w:right w:val="none" w:sz="0" w:space="0" w:color="auto"/>
          </w:divBdr>
        </w:div>
        <w:div w:id="167717111">
          <w:marLeft w:val="274"/>
          <w:marRight w:val="0"/>
          <w:marTop w:val="96"/>
          <w:marBottom w:val="0"/>
          <w:divBdr>
            <w:top w:val="none" w:sz="0" w:space="0" w:color="auto"/>
            <w:left w:val="none" w:sz="0" w:space="0" w:color="auto"/>
            <w:bottom w:val="none" w:sz="0" w:space="0" w:color="auto"/>
            <w:right w:val="none" w:sz="0" w:space="0" w:color="auto"/>
          </w:divBdr>
        </w:div>
        <w:div w:id="1753576663">
          <w:marLeft w:val="274"/>
          <w:marRight w:val="0"/>
          <w:marTop w:val="96"/>
          <w:marBottom w:val="0"/>
          <w:divBdr>
            <w:top w:val="none" w:sz="0" w:space="0" w:color="auto"/>
            <w:left w:val="none" w:sz="0" w:space="0" w:color="auto"/>
            <w:bottom w:val="none" w:sz="0" w:space="0" w:color="auto"/>
            <w:right w:val="none" w:sz="0" w:space="0" w:color="auto"/>
          </w:divBdr>
        </w:div>
        <w:div w:id="2115711394">
          <w:marLeft w:val="274"/>
          <w:marRight w:val="0"/>
          <w:marTop w:val="96"/>
          <w:marBottom w:val="0"/>
          <w:divBdr>
            <w:top w:val="none" w:sz="0" w:space="0" w:color="auto"/>
            <w:left w:val="none" w:sz="0" w:space="0" w:color="auto"/>
            <w:bottom w:val="none" w:sz="0" w:space="0" w:color="auto"/>
            <w:right w:val="none" w:sz="0" w:space="0" w:color="auto"/>
          </w:divBdr>
        </w:div>
      </w:divsChild>
    </w:div>
    <w:div w:id="681589961">
      <w:bodyDiv w:val="1"/>
      <w:marLeft w:val="0"/>
      <w:marRight w:val="0"/>
      <w:marTop w:val="0"/>
      <w:marBottom w:val="0"/>
      <w:divBdr>
        <w:top w:val="none" w:sz="0" w:space="0" w:color="auto"/>
        <w:left w:val="none" w:sz="0" w:space="0" w:color="auto"/>
        <w:bottom w:val="none" w:sz="0" w:space="0" w:color="auto"/>
        <w:right w:val="none" w:sz="0" w:space="0" w:color="auto"/>
      </w:divBdr>
    </w:div>
    <w:div w:id="832260588">
      <w:bodyDiv w:val="1"/>
      <w:marLeft w:val="0"/>
      <w:marRight w:val="0"/>
      <w:marTop w:val="0"/>
      <w:marBottom w:val="0"/>
      <w:divBdr>
        <w:top w:val="none" w:sz="0" w:space="0" w:color="auto"/>
        <w:left w:val="none" w:sz="0" w:space="0" w:color="auto"/>
        <w:bottom w:val="none" w:sz="0" w:space="0" w:color="auto"/>
        <w:right w:val="none" w:sz="0" w:space="0" w:color="auto"/>
      </w:divBdr>
    </w:div>
    <w:div w:id="868294829">
      <w:bodyDiv w:val="1"/>
      <w:marLeft w:val="0"/>
      <w:marRight w:val="0"/>
      <w:marTop w:val="0"/>
      <w:marBottom w:val="0"/>
      <w:divBdr>
        <w:top w:val="none" w:sz="0" w:space="0" w:color="auto"/>
        <w:left w:val="none" w:sz="0" w:space="0" w:color="auto"/>
        <w:bottom w:val="none" w:sz="0" w:space="0" w:color="auto"/>
        <w:right w:val="none" w:sz="0" w:space="0" w:color="auto"/>
      </w:divBdr>
      <w:divsChild>
        <w:div w:id="692996012">
          <w:marLeft w:val="835"/>
          <w:marRight w:val="0"/>
          <w:marTop w:val="86"/>
          <w:marBottom w:val="0"/>
          <w:divBdr>
            <w:top w:val="none" w:sz="0" w:space="0" w:color="auto"/>
            <w:left w:val="none" w:sz="0" w:space="0" w:color="auto"/>
            <w:bottom w:val="none" w:sz="0" w:space="0" w:color="auto"/>
            <w:right w:val="none" w:sz="0" w:space="0" w:color="auto"/>
          </w:divBdr>
        </w:div>
        <w:div w:id="831219062">
          <w:marLeft w:val="1411"/>
          <w:marRight w:val="0"/>
          <w:marTop w:val="86"/>
          <w:marBottom w:val="0"/>
          <w:divBdr>
            <w:top w:val="none" w:sz="0" w:space="0" w:color="auto"/>
            <w:left w:val="none" w:sz="0" w:space="0" w:color="auto"/>
            <w:bottom w:val="none" w:sz="0" w:space="0" w:color="auto"/>
            <w:right w:val="none" w:sz="0" w:space="0" w:color="auto"/>
          </w:divBdr>
        </w:div>
        <w:div w:id="940527766">
          <w:marLeft w:val="1411"/>
          <w:marRight w:val="0"/>
          <w:marTop w:val="86"/>
          <w:marBottom w:val="0"/>
          <w:divBdr>
            <w:top w:val="none" w:sz="0" w:space="0" w:color="auto"/>
            <w:left w:val="none" w:sz="0" w:space="0" w:color="auto"/>
            <w:bottom w:val="none" w:sz="0" w:space="0" w:color="auto"/>
            <w:right w:val="none" w:sz="0" w:space="0" w:color="auto"/>
          </w:divBdr>
        </w:div>
      </w:divsChild>
    </w:div>
    <w:div w:id="979185871">
      <w:bodyDiv w:val="1"/>
      <w:marLeft w:val="0"/>
      <w:marRight w:val="0"/>
      <w:marTop w:val="0"/>
      <w:marBottom w:val="0"/>
      <w:divBdr>
        <w:top w:val="none" w:sz="0" w:space="0" w:color="auto"/>
        <w:left w:val="none" w:sz="0" w:space="0" w:color="auto"/>
        <w:bottom w:val="none" w:sz="0" w:space="0" w:color="auto"/>
        <w:right w:val="none" w:sz="0" w:space="0" w:color="auto"/>
      </w:divBdr>
      <w:divsChild>
        <w:div w:id="1103067416">
          <w:marLeft w:val="0"/>
          <w:marRight w:val="0"/>
          <w:marTop w:val="0"/>
          <w:marBottom w:val="0"/>
          <w:divBdr>
            <w:top w:val="none" w:sz="0" w:space="0" w:color="auto"/>
            <w:left w:val="none" w:sz="0" w:space="0" w:color="auto"/>
            <w:bottom w:val="none" w:sz="0" w:space="0" w:color="auto"/>
            <w:right w:val="none" w:sz="0" w:space="0" w:color="auto"/>
          </w:divBdr>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1452168776">
          <w:marLeft w:val="547"/>
          <w:marRight w:val="0"/>
          <w:marTop w:val="60"/>
          <w:marBottom w:val="0"/>
          <w:divBdr>
            <w:top w:val="none" w:sz="0" w:space="0" w:color="auto"/>
            <w:left w:val="none" w:sz="0" w:space="0" w:color="auto"/>
            <w:bottom w:val="none" w:sz="0" w:space="0" w:color="auto"/>
            <w:right w:val="none" w:sz="0" w:space="0" w:color="auto"/>
          </w:divBdr>
        </w:div>
        <w:div w:id="32468308">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sChild>
    </w:div>
    <w:div w:id="1110390431">
      <w:bodyDiv w:val="1"/>
      <w:marLeft w:val="0"/>
      <w:marRight w:val="0"/>
      <w:marTop w:val="0"/>
      <w:marBottom w:val="0"/>
      <w:divBdr>
        <w:top w:val="none" w:sz="0" w:space="0" w:color="auto"/>
        <w:left w:val="none" w:sz="0" w:space="0" w:color="auto"/>
        <w:bottom w:val="none" w:sz="0" w:space="0" w:color="auto"/>
        <w:right w:val="none" w:sz="0" w:space="0" w:color="auto"/>
      </w:divBdr>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499319534">
          <w:marLeft w:val="547"/>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196549858">
          <w:marLeft w:val="2261"/>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286892331">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380858419">
          <w:marLeft w:val="547"/>
          <w:marRight w:val="0"/>
          <w:marTop w:val="60"/>
          <w:marBottom w:val="0"/>
          <w:divBdr>
            <w:top w:val="none" w:sz="0" w:space="0" w:color="auto"/>
            <w:left w:val="none" w:sz="0" w:space="0" w:color="auto"/>
            <w:bottom w:val="none" w:sz="0" w:space="0" w:color="auto"/>
            <w:right w:val="none" w:sz="0" w:space="0" w:color="auto"/>
          </w:divBdr>
        </w:div>
        <w:div w:id="1139106362">
          <w:marLeft w:val="1080"/>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405488704">
      <w:bodyDiv w:val="1"/>
      <w:marLeft w:val="0"/>
      <w:marRight w:val="0"/>
      <w:marTop w:val="0"/>
      <w:marBottom w:val="0"/>
      <w:divBdr>
        <w:top w:val="none" w:sz="0" w:space="0" w:color="auto"/>
        <w:left w:val="none" w:sz="0" w:space="0" w:color="auto"/>
        <w:bottom w:val="none" w:sz="0" w:space="0" w:color="auto"/>
        <w:right w:val="none" w:sz="0" w:space="0" w:color="auto"/>
      </w:divBdr>
    </w:div>
    <w:div w:id="1471753097">
      <w:bodyDiv w:val="1"/>
      <w:marLeft w:val="0"/>
      <w:marRight w:val="0"/>
      <w:marTop w:val="0"/>
      <w:marBottom w:val="0"/>
      <w:divBdr>
        <w:top w:val="none" w:sz="0" w:space="0" w:color="auto"/>
        <w:left w:val="none" w:sz="0" w:space="0" w:color="auto"/>
        <w:bottom w:val="none" w:sz="0" w:space="0" w:color="auto"/>
        <w:right w:val="none" w:sz="0" w:space="0" w:color="auto"/>
      </w:divBdr>
      <w:divsChild>
        <w:div w:id="533348623">
          <w:marLeft w:val="835"/>
          <w:marRight w:val="0"/>
          <w:marTop w:val="86"/>
          <w:marBottom w:val="0"/>
          <w:divBdr>
            <w:top w:val="none" w:sz="0" w:space="0" w:color="auto"/>
            <w:left w:val="none" w:sz="0" w:space="0" w:color="auto"/>
            <w:bottom w:val="none" w:sz="0" w:space="0" w:color="auto"/>
            <w:right w:val="none" w:sz="0" w:space="0" w:color="auto"/>
          </w:divBdr>
        </w:div>
        <w:div w:id="1609198920">
          <w:marLeft w:val="1411"/>
          <w:marRight w:val="0"/>
          <w:marTop w:val="86"/>
          <w:marBottom w:val="0"/>
          <w:divBdr>
            <w:top w:val="none" w:sz="0" w:space="0" w:color="auto"/>
            <w:left w:val="none" w:sz="0" w:space="0" w:color="auto"/>
            <w:bottom w:val="none" w:sz="0" w:space="0" w:color="auto"/>
            <w:right w:val="none" w:sz="0" w:space="0" w:color="auto"/>
          </w:divBdr>
        </w:div>
        <w:div w:id="1457021831">
          <w:marLeft w:val="1411"/>
          <w:marRight w:val="0"/>
          <w:marTop w:val="86"/>
          <w:marBottom w:val="0"/>
          <w:divBdr>
            <w:top w:val="none" w:sz="0" w:space="0" w:color="auto"/>
            <w:left w:val="none" w:sz="0" w:space="0" w:color="auto"/>
            <w:bottom w:val="none" w:sz="0" w:space="0" w:color="auto"/>
            <w:right w:val="none" w:sz="0" w:space="0" w:color="auto"/>
          </w:divBdr>
        </w:div>
      </w:divsChild>
    </w:div>
    <w:div w:id="1509978427">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55967894">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749380151">
          <w:marLeft w:val="547"/>
          <w:marRight w:val="0"/>
          <w:marTop w:val="60"/>
          <w:marBottom w:val="0"/>
          <w:divBdr>
            <w:top w:val="none" w:sz="0" w:space="0" w:color="auto"/>
            <w:left w:val="none" w:sz="0" w:space="0" w:color="auto"/>
            <w:bottom w:val="none" w:sz="0" w:space="0" w:color="auto"/>
            <w:right w:val="none" w:sz="0" w:space="0" w:color="auto"/>
          </w:divBdr>
        </w:div>
        <w:div w:id="1195462430">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895045621">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1666323361">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sChild>
    </w:div>
    <w:div w:id="20023889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9473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5NUHHDQN7SK2-1476151046-44301</_dlc_DocId>
    <_dlc_DocIdUrl xmlns="f166a696-7b5b-4ccd-9f0c-ffde0cceec81">
      <Url>https://ericsson.sharepoint.com/sites/star/_layouts/15/DocIdRedir.aspx?ID=5NUHHDQN7SK2-1476151046-44301</Url>
      <Description>5NUHHDQN7SK2-1476151046-44301</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3.xml><?xml version="1.0" encoding="utf-8"?>
<ds:datastoreItem xmlns:ds="http://schemas.openxmlformats.org/officeDocument/2006/customXml" ds:itemID="{F7FFF3DD-4B05-42DA-AB5D-640EDAEAD93B}">
  <ds:schemaRefs>
    <ds:schemaRef ds:uri="http://schemas.microsoft.com/sharepoint/events"/>
  </ds:schemaRefs>
</ds:datastoreItem>
</file>

<file path=customXml/itemProps4.xml><?xml version="1.0" encoding="utf-8"?>
<ds:datastoreItem xmlns:ds="http://schemas.openxmlformats.org/officeDocument/2006/customXml" ds:itemID="{5E29592D-F52F-433D-ABD0-8BF503DABF09}">
  <ds:schemaRefs>
    <ds:schemaRef ds:uri="Microsoft.SharePoint.Taxonomy.ContentTypeSync"/>
  </ds:schemaRefs>
</ds:datastoreItem>
</file>

<file path=customXml/itemProps5.xml><?xml version="1.0" encoding="utf-8"?>
<ds:datastoreItem xmlns:ds="http://schemas.openxmlformats.org/officeDocument/2006/customXml" ds:itemID="{BF7CD4B4-936C-4E40-81F8-9D3F65D85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A46C0A-7D24-FC40-994F-5883DA8D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2962</Words>
  <Characters>16886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2019-03-26T17:46:00Z</dcterms:created>
  <dcterms:modified xsi:type="dcterms:W3CDTF">2019-03-28T12:29:00Z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9df384e6-7e47-4e0f-a62b-b241056609f1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2048">
    <vt:lpwstr>297</vt:lpwstr>
  </property>
</Properties>
</file>