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4A78D307"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A68B2">
        <w:rPr>
          <w:sz w:val="24"/>
          <w:lang w:val="en-GB" w:eastAsia="zh-CN"/>
        </w:rPr>
        <w:t>5</w:t>
      </w:r>
      <w:r w:rsidR="00E67A80">
        <w:rPr>
          <w:sz w:val="24"/>
          <w:lang w:val="en-GB" w:eastAsia="zh-CN"/>
        </w:rPr>
        <w:t>bis</w:t>
      </w:r>
      <w:r w:rsidRPr="00EE6198">
        <w:rPr>
          <w:sz w:val="24"/>
          <w:lang w:val="en-GB" w:eastAsia="zh-CN"/>
        </w:rPr>
        <w:tab/>
      </w:r>
      <w:r w:rsidR="00C2591C" w:rsidRPr="00C2591C">
        <w:rPr>
          <w:sz w:val="24"/>
          <w:lang w:val="en-GB" w:eastAsia="zh-CN"/>
        </w:rPr>
        <w:t>R2-1903659</w:t>
      </w:r>
    </w:p>
    <w:p w14:paraId="4C209772" w14:textId="6544680C" w:rsidR="00A507B8" w:rsidRPr="00550983" w:rsidRDefault="0079157C" w:rsidP="00A507B8">
      <w:pPr>
        <w:pStyle w:val="Header"/>
        <w:tabs>
          <w:tab w:val="right" w:pos="9639"/>
        </w:tabs>
        <w:rPr>
          <w:sz w:val="24"/>
          <w:lang w:val="en-GB" w:eastAsia="zh-CN"/>
        </w:rPr>
      </w:pPr>
      <w:r w:rsidRPr="00351059">
        <w:rPr>
          <w:sz w:val="24"/>
          <w:lang w:val="en-GB" w:eastAsia="zh-CN"/>
        </w:rPr>
        <w:t>Xi'an, China, 8</w:t>
      </w:r>
      <w:r w:rsidRPr="00351059">
        <w:rPr>
          <w:sz w:val="24"/>
          <w:vertAlign w:val="superscript"/>
          <w:lang w:val="en-GB" w:eastAsia="zh-CN"/>
        </w:rPr>
        <w:t>th</w:t>
      </w:r>
      <w:r w:rsidRPr="00351059">
        <w:rPr>
          <w:sz w:val="24"/>
          <w:lang w:val="en-GB" w:eastAsia="zh-CN"/>
        </w:rPr>
        <w:t xml:space="preserve"> – 12</w:t>
      </w:r>
      <w:r w:rsidRPr="00351059">
        <w:rPr>
          <w:sz w:val="24"/>
          <w:vertAlign w:val="superscript"/>
          <w:lang w:val="en-GB" w:eastAsia="zh-CN"/>
        </w:rPr>
        <w:t>th</w:t>
      </w:r>
      <w:r w:rsidRPr="00351059">
        <w:rPr>
          <w:sz w:val="24"/>
          <w:lang w:val="en-GB" w:eastAsia="zh-CN"/>
        </w:rPr>
        <w:t xml:space="preserve"> April 2019</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72949590"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79157C">
        <w:rPr>
          <w:rFonts w:cs="Arial"/>
          <w:b/>
          <w:bCs/>
          <w:sz w:val="24"/>
          <w:lang w:val="en-US"/>
        </w:rPr>
        <w:t>11.4.7</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59A4E18C"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D7099">
        <w:rPr>
          <w:rFonts w:ascii="Arial" w:hAnsi="Arial" w:cs="Arial"/>
          <w:b/>
          <w:bCs/>
          <w:sz w:val="24"/>
        </w:rPr>
        <w:t xml:space="preserve">On SL </w:t>
      </w:r>
      <w:r w:rsidR="002B5528">
        <w:rPr>
          <w:rFonts w:ascii="Arial" w:hAnsi="Arial" w:cs="Arial"/>
          <w:b/>
          <w:bCs/>
          <w:sz w:val="24"/>
        </w:rPr>
        <w:t>interface</w:t>
      </w:r>
      <w:r w:rsidR="0079157C">
        <w:rPr>
          <w:rFonts w:ascii="Arial" w:hAnsi="Arial" w:cs="Arial"/>
          <w:b/>
          <w:bCs/>
          <w:sz w:val="24"/>
        </w:rPr>
        <w:t xml:space="preserve"> availability </w:t>
      </w:r>
      <w:r w:rsidR="002D7099">
        <w:rPr>
          <w:rFonts w:ascii="Arial" w:hAnsi="Arial" w:cs="Arial"/>
          <w:b/>
          <w:bCs/>
          <w:sz w:val="24"/>
        </w:rPr>
        <w:t>for NR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4ED6B393" w:rsidR="007356BA"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At the last RAN2 meeting, there was extensive discussion on the role of the AS layer in RAT and interface selection in the context of supporting both LTE and NR V2X communication over Uu and sidelink.</w:t>
      </w:r>
      <w:r>
        <w:rPr>
          <w:rFonts w:ascii="Times New Roman" w:hAnsi="Times New Roman"/>
          <w:sz w:val="20"/>
          <w:szCs w:val="20"/>
          <w:lang w:eastAsia="ja-JP"/>
        </w:rPr>
        <w:t xml:space="preserve"> In this context, the following agreements were made</w:t>
      </w:r>
      <w:r w:rsidR="00D13EAA">
        <w:rPr>
          <w:rFonts w:ascii="Times New Roman" w:hAnsi="Times New Roman"/>
          <w:sz w:val="20"/>
          <w:szCs w:val="20"/>
          <w:lang w:eastAsia="ja-JP"/>
        </w:rPr>
        <w:t xml:space="preserve"> </w:t>
      </w:r>
      <w:sdt>
        <w:sdtPr>
          <w:rPr>
            <w:rFonts w:ascii="Times New Roman" w:hAnsi="Times New Roman"/>
            <w:sz w:val="20"/>
            <w:szCs w:val="20"/>
            <w:lang w:eastAsia="ja-JP"/>
          </w:rPr>
          <w:id w:val="1265728484"/>
          <w:citation/>
        </w:sdtPr>
        <w:sdtEndPr/>
        <w:sdtContent>
          <w:r w:rsidR="00D13EAA">
            <w:rPr>
              <w:rFonts w:ascii="Times New Roman" w:hAnsi="Times New Roman"/>
              <w:sz w:val="20"/>
              <w:szCs w:val="20"/>
              <w:lang w:eastAsia="ja-JP"/>
            </w:rPr>
            <w:fldChar w:fldCharType="begin"/>
          </w:r>
          <w:r w:rsidR="00D13EAA">
            <w:rPr>
              <w:rFonts w:ascii="Times New Roman" w:hAnsi="Times New Roman"/>
              <w:sz w:val="20"/>
              <w:szCs w:val="20"/>
              <w:lang w:eastAsia="ja-JP"/>
            </w:rPr>
            <w:instrText xml:space="preserve"> CITATION 105V2XNotes \l 1033 </w:instrText>
          </w:r>
          <w:r w:rsidR="00D13EAA">
            <w:rPr>
              <w:rFonts w:ascii="Times New Roman" w:hAnsi="Times New Roman"/>
              <w:sz w:val="20"/>
              <w:szCs w:val="20"/>
              <w:lang w:eastAsia="ja-JP"/>
            </w:rPr>
            <w:fldChar w:fldCharType="separate"/>
          </w:r>
          <w:r w:rsidR="002B5528" w:rsidRPr="002B5528">
            <w:rPr>
              <w:rFonts w:ascii="Times New Roman" w:hAnsi="Times New Roman"/>
              <w:noProof/>
              <w:sz w:val="20"/>
              <w:szCs w:val="20"/>
              <w:lang w:eastAsia="ja-JP"/>
            </w:rPr>
            <w:t>[1]</w:t>
          </w:r>
          <w:r w:rsidR="00D13EAA">
            <w:rPr>
              <w:rFonts w:ascii="Times New Roman" w:hAnsi="Times New Roman"/>
              <w:sz w:val="20"/>
              <w:szCs w:val="20"/>
              <w:lang w:eastAsia="ja-JP"/>
            </w:rPr>
            <w:fldChar w:fldCharType="end"/>
          </w:r>
        </w:sdtContent>
      </w:sdt>
      <w:r>
        <w:rPr>
          <w:rFonts w:ascii="Times New Roman" w:hAnsi="Times New Roman"/>
          <w:sz w:val="20"/>
          <w:szCs w:val="20"/>
          <w:lang w:eastAsia="ja-JP"/>
        </w:rPr>
        <w:t>:</w:t>
      </w:r>
    </w:p>
    <w:p w14:paraId="2E9988D7"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val="en-GB" w:eastAsia="en-GB"/>
        </w:rPr>
      </w:pPr>
      <w:r w:rsidRPr="00E67A80">
        <w:rPr>
          <w:rFonts w:ascii="Arial" w:eastAsia="MS Mincho" w:hAnsi="Arial"/>
          <w:sz w:val="20"/>
          <w:szCs w:val="24"/>
          <w:lang w:val="en-GB" w:eastAsia="en-GB"/>
        </w:rPr>
        <w:t>Agreements on RAT/interface selection:</w:t>
      </w:r>
    </w:p>
    <w:p w14:paraId="53236F14"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E67A80">
        <w:rPr>
          <w:rFonts w:ascii="Arial" w:eastAsia="MS Mincho" w:hAnsi="Arial"/>
          <w:sz w:val="20"/>
          <w:szCs w:val="24"/>
          <w:lang w:val="en-GB" w:eastAsia="en-GB"/>
        </w:rPr>
        <w:t xml:space="preserve">1: </w:t>
      </w:r>
      <w:r w:rsidRPr="00E67A80">
        <w:rPr>
          <w:rFonts w:ascii="Arial" w:eastAsia="MS Mincho" w:hAnsi="Arial"/>
          <w:noProof/>
          <w:sz w:val="20"/>
          <w:szCs w:val="24"/>
          <w:lang w:val="en-GB" w:eastAsia="en-GB"/>
        </w:rPr>
        <w:t>The access stratum is not provided with a mapping between V2X services and related radio interfaces.</w:t>
      </w:r>
    </w:p>
    <w:p w14:paraId="11693D57"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E67A80">
        <w:rPr>
          <w:rFonts w:ascii="Arial" w:eastAsia="MS Mincho" w:hAnsi="Arial"/>
          <w:noProof/>
          <w:sz w:val="20"/>
          <w:szCs w:val="24"/>
          <w:lang w:val="en-GB" w:eastAsia="en-GB"/>
        </w:rPr>
        <w:t>2: Irrespective of the UE coverage status and RRC status, the UE access stratum signals to UE upper layers the Uu/PC5 availability information, and UE upper layer selects the radio interface.</w:t>
      </w:r>
    </w:p>
    <w:p w14:paraId="0D62FBBD"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E67A80">
        <w:rPr>
          <w:rFonts w:ascii="Arial" w:eastAsia="MS Mincho" w:hAnsi="Arial"/>
          <w:noProof/>
          <w:sz w:val="20"/>
          <w:szCs w:val="24"/>
          <w:lang w:val="en-GB" w:eastAsia="en-GB"/>
        </w:rPr>
        <w:t>3: Agrees on the need of the criteria for UE access stratum to determine the availability/unavailability of Uu interface for V2X communication.</w:t>
      </w:r>
    </w:p>
    <w:p w14:paraId="29603FED"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E67A80">
        <w:rPr>
          <w:rFonts w:ascii="Arial" w:eastAsia="MS Mincho" w:hAnsi="Arial"/>
          <w:noProof/>
          <w:sz w:val="20"/>
          <w:szCs w:val="24"/>
          <w:lang w:val="en-GB" w:eastAsia="en-GB"/>
        </w:rPr>
        <w:t>4: The UE in-coverage/out-of-coverage status is used as baseline to determine the availability/unavailability of the Uu radio interface. Need of others may be discussed in WI.</w:t>
      </w:r>
    </w:p>
    <w:p w14:paraId="6C813EC3"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E67A80">
        <w:rPr>
          <w:rFonts w:ascii="Arial" w:eastAsia="MS Mincho" w:hAnsi="Arial"/>
          <w:noProof/>
          <w:sz w:val="20"/>
          <w:szCs w:val="24"/>
          <w:lang w:val="en-GB" w:eastAsia="en-GB"/>
        </w:rPr>
        <w:t>5: We will specify the criteria but we will not specify exactly when the Uu availability/unavailability is signaled from UE access stratum to UE upper layer.</w:t>
      </w:r>
    </w:p>
    <w:p w14:paraId="3551AC9C"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E67A80">
        <w:rPr>
          <w:rFonts w:ascii="Arial" w:eastAsia="MS Mincho" w:hAnsi="Arial"/>
          <w:noProof/>
          <w:sz w:val="20"/>
          <w:szCs w:val="24"/>
          <w:lang w:val="en-GB" w:eastAsia="en-GB"/>
        </w:rPr>
        <w:t>6: Agrees there is no need to specify what UE access stratum should signal to UE upper layer related to Uu interface availability/unavailability.</w:t>
      </w:r>
    </w:p>
    <w:p w14:paraId="1957BA8F" w14:textId="77777777" w:rsidR="00E67A80" w:rsidRPr="00E67A80" w:rsidRDefault="00E67A80" w:rsidP="00E67A8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val="en-GB" w:eastAsia="en-GB"/>
        </w:rPr>
      </w:pPr>
      <w:r w:rsidRPr="00E67A80">
        <w:rPr>
          <w:rFonts w:ascii="Arial" w:eastAsia="MS Mincho" w:hAnsi="Arial"/>
          <w:noProof/>
          <w:sz w:val="20"/>
          <w:szCs w:val="24"/>
          <w:lang w:val="en-GB" w:eastAsia="en-GB"/>
        </w:rPr>
        <w:t xml:space="preserve">7: The need to specify the criteria for UE access stratum to determine the availability/unavailability of PC5 interface may be discussed in WI. </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55F0B151" w:rsidR="00E67A80" w:rsidRPr="00C11F0A" w:rsidRDefault="002D7099"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Given the subsequent discussion at the RAN plenary, there is a significant reduction in the scope of this discussion and the only main issue that requires further discussion is the availability information/indication for PC5 RAT</w:t>
      </w:r>
      <w:r w:rsidR="00E67A80">
        <w:rPr>
          <w:rFonts w:ascii="Times New Roman" w:hAnsi="Times New Roman"/>
          <w:sz w:val="20"/>
          <w:szCs w:val="20"/>
          <w:lang w:eastAsia="ja-JP"/>
        </w:rPr>
        <w:t xml:space="preserve">. </w:t>
      </w:r>
      <w:r>
        <w:rPr>
          <w:rFonts w:ascii="Times New Roman" w:hAnsi="Times New Roman"/>
          <w:sz w:val="20"/>
          <w:szCs w:val="20"/>
          <w:lang w:eastAsia="ja-JP"/>
        </w:rPr>
        <w:t>In light of this, we address this issue in detail</w:t>
      </w:r>
      <w:r w:rsidR="00E67A80">
        <w:rPr>
          <w:rFonts w:ascii="Times New Roman" w:hAnsi="Times New Roman"/>
          <w:sz w:val="20"/>
          <w:szCs w:val="20"/>
          <w:lang w:eastAsia="ja-JP"/>
        </w:rPr>
        <w:t xml:space="preserve"> and present our view.</w:t>
      </w:r>
    </w:p>
    <w:p w14:paraId="63BA8D55" w14:textId="7D06DBFC" w:rsidR="00100A13" w:rsidRPr="00EA68B2" w:rsidRDefault="000760CC" w:rsidP="00934A52">
      <w:pPr>
        <w:pStyle w:val="Tdoc"/>
      </w:pPr>
      <w:r>
        <w:t>Discussion</w:t>
      </w:r>
    </w:p>
    <w:p w14:paraId="5AD58132" w14:textId="00AADF6C" w:rsidR="0016703F" w:rsidRDefault="0016703F" w:rsidP="002C6289">
      <w:pPr>
        <w:rPr>
          <w:rFonts w:ascii="Times New Roman" w:eastAsia="Times New Roman" w:hAnsi="Times New Roman"/>
          <w:b/>
          <w:bCs/>
          <w:sz w:val="20"/>
          <w:szCs w:val="20"/>
          <w:u w:val="single"/>
          <w:lang w:val="en-GB" w:eastAsia="zh-CN"/>
        </w:rPr>
      </w:pPr>
    </w:p>
    <w:p w14:paraId="08426AD2" w14:textId="3A3154A0" w:rsidR="0016703F" w:rsidRDefault="0016703F" w:rsidP="0016703F">
      <w:pPr>
        <w:rPr>
          <w:rFonts w:ascii="Times New Roman" w:hAnsi="Times New Roman"/>
          <w:sz w:val="20"/>
          <w:lang w:val="en-GB" w:eastAsia="zh-CN"/>
        </w:rPr>
      </w:pPr>
      <w:r>
        <w:rPr>
          <w:rFonts w:ascii="Times New Roman" w:hAnsi="Times New Roman"/>
          <w:sz w:val="20"/>
          <w:lang w:val="en-GB" w:eastAsia="zh-CN"/>
        </w:rPr>
        <w:t>Regarding availability of PC5 interface, unlike the case of Uu, there was no consensus among companies on whether anything needs to be specified. When discussing this issue, it is worth mentioning some of the examples quoted by companies as candidates for this criteria</w:t>
      </w:r>
      <w:r w:rsidR="002B5528">
        <w:rPr>
          <w:rFonts w:ascii="Times New Roman" w:hAnsi="Times New Roman"/>
          <w:sz w:val="20"/>
          <w:lang w:val="en-GB" w:eastAsia="zh-CN"/>
        </w:rPr>
        <w:t xml:space="preserve"> </w:t>
      </w:r>
      <w:sdt>
        <w:sdtPr>
          <w:rPr>
            <w:rFonts w:ascii="Times New Roman" w:hAnsi="Times New Roman"/>
            <w:sz w:val="20"/>
            <w:lang w:val="en-GB" w:eastAsia="zh-CN"/>
          </w:rPr>
          <w:id w:val="-805316971"/>
          <w:citation/>
        </w:sdtPr>
        <w:sdtEndPr/>
        <w:sdtContent>
          <w:r w:rsidR="002B5528">
            <w:rPr>
              <w:rFonts w:ascii="Times New Roman" w:hAnsi="Times New Roman"/>
              <w:sz w:val="20"/>
              <w:lang w:val="en-GB" w:eastAsia="zh-CN"/>
            </w:rPr>
            <w:fldChar w:fldCharType="begin"/>
          </w:r>
          <w:r w:rsidR="002B5528">
            <w:rPr>
              <w:rFonts w:ascii="Times New Roman" w:hAnsi="Times New Roman"/>
              <w:sz w:val="20"/>
              <w:lang w:eastAsia="zh-CN"/>
            </w:rPr>
            <w:instrText xml:space="preserve"> CITATION 105interfaceSelection \l 1033 </w:instrText>
          </w:r>
          <w:r w:rsidR="002B5528">
            <w:rPr>
              <w:rFonts w:ascii="Times New Roman" w:hAnsi="Times New Roman"/>
              <w:sz w:val="20"/>
              <w:lang w:val="en-GB" w:eastAsia="zh-CN"/>
            </w:rPr>
            <w:fldChar w:fldCharType="separate"/>
          </w:r>
          <w:r w:rsidR="002B5528" w:rsidRPr="002B5528">
            <w:rPr>
              <w:rFonts w:ascii="Times New Roman" w:hAnsi="Times New Roman"/>
              <w:noProof/>
              <w:sz w:val="20"/>
              <w:lang w:eastAsia="zh-CN"/>
            </w:rPr>
            <w:t>[2]</w:t>
          </w:r>
          <w:r w:rsidR="002B5528">
            <w:rPr>
              <w:rFonts w:ascii="Times New Roman" w:hAnsi="Times New Roman"/>
              <w:sz w:val="20"/>
              <w:lang w:val="en-GB" w:eastAsia="zh-CN"/>
            </w:rPr>
            <w:fldChar w:fldCharType="end"/>
          </w:r>
        </w:sdtContent>
      </w:sdt>
      <w:r>
        <w:rPr>
          <w:rFonts w:ascii="Times New Roman" w:hAnsi="Times New Roman"/>
          <w:sz w:val="20"/>
          <w:lang w:val="en-GB" w:eastAsia="zh-CN"/>
        </w:rPr>
        <w:t>:</w:t>
      </w:r>
    </w:p>
    <w:p w14:paraId="727AECC3" w14:textId="35FDD24E" w:rsidR="0016703F" w:rsidRDefault="0016703F" w:rsidP="0016703F">
      <w:pPr>
        <w:pStyle w:val="ListParagraph"/>
        <w:numPr>
          <w:ilvl w:val="0"/>
          <w:numId w:val="36"/>
        </w:numPr>
        <w:rPr>
          <w:rFonts w:ascii="Times New Roman" w:hAnsi="Times New Roman"/>
          <w:sz w:val="20"/>
          <w:lang w:val="en-GB" w:eastAsia="zh-CN"/>
        </w:rPr>
      </w:pPr>
      <w:r w:rsidRPr="0016703F">
        <w:rPr>
          <w:rFonts w:ascii="Times New Roman" w:hAnsi="Times New Roman"/>
          <w:sz w:val="20"/>
          <w:lang w:val="en-GB" w:eastAsia="zh-CN"/>
        </w:rPr>
        <w:t xml:space="preserve">The PC5 radio link quality </w:t>
      </w:r>
      <w:r w:rsidR="000D6536" w:rsidRPr="0016703F">
        <w:rPr>
          <w:rFonts w:ascii="Times New Roman" w:hAnsi="Times New Roman"/>
          <w:sz w:val="20"/>
          <w:lang w:val="en-GB" w:eastAsia="zh-CN"/>
        </w:rPr>
        <w:t>fulfils</w:t>
      </w:r>
      <w:r w:rsidRPr="0016703F">
        <w:rPr>
          <w:rFonts w:ascii="Times New Roman" w:hAnsi="Times New Roman"/>
          <w:sz w:val="20"/>
          <w:lang w:val="en-GB" w:eastAsia="zh-CN"/>
        </w:rPr>
        <w:t xml:space="preserve">/not </w:t>
      </w:r>
      <w:r w:rsidR="000D6536" w:rsidRPr="0016703F">
        <w:rPr>
          <w:rFonts w:ascii="Times New Roman" w:hAnsi="Times New Roman"/>
          <w:sz w:val="20"/>
          <w:lang w:val="en-GB" w:eastAsia="zh-CN"/>
        </w:rPr>
        <w:t>fulfils</w:t>
      </w:r>
      <w:r w:rsidRPr="0016703F">
        <w:rPr>
          <w:rFonts w:ascii="Times New Roman" w:hAnsi="Times New Roman"/>
          <w:sz w:val="20"/>
          <w:lang w:val="en-GB" w:eastAsia="zh-CN"/>
        </w:rPr>
        <w:t xml:space="preserve"> certain radio conditions</w:t>
      </w:r>
      <w:r>
        <w:rPr>
          <w:rFonts w:ascii="Times New Roman" w:hAnsi="Times New Roman"/>
          <w:sz w:val="20"/>
          <w:lang w:val="en-GB" w:eastAsia="zh-CN"/>
        </w:rPr>
        <w:t>. Examples include:</w:t>
      </w:r>
    </w:p>
    <w:p w14:paraId="2D8133CF" w14:textId="1F62886F" w:rsidR="0016703F" w:rsidRPr="0016703F" w:rsidRDefault="0016703F" w:rsidP="0016703F">
      <w:pPr>
        <w:pStyle w:val="ListParagraph"/>
        <w:numPr>
          <w:ilvl w:val="1"/>
          <w:numId w:val="36"/>
        </w:numPr>
        <w:rPr>
          <w:rFonts w:ascii="Times New Roman" w:hAnsi="Times New Roman"/>
          <w:sz w:val="20"/>
          <w:lang w:val="en-GB" w:eastAsia="zh-CN"/>
        </w:rPr>
      </w:pPr>
      <w:r w:rsidRPr="0016703F">
        <w:rPr>
          <w:rFonts w:ascii="Times New Roman" w:hAnsi="Times New Roman"/>
          <w:sz w:val="20"/>
          <w:lang w:val="en-GB" w:eastAsia="zh-CN"/>
        </w:rPr>
        <w:t xml:space="preserve">The CBR measured on the (pre)configured transmitting pool is below/above a CBR threshold. </w:t>
      </w:r>
    </w:p>
    <w:p w14:paraId="50AD5F12" w14:textId="77777777" w:rsidR="0016703F" w:rsidRPr="0016703F" w:rsidRDefault="0016703F" w:rsidP="0016703F">
      <w:pPr>
        <w:pStyle w:val="ListParagraph"/>
        <w:numPr>
          <w:ilvl w:val="1"/>
          <w:numId w:val="36"/>
        </w:numPr>
        <w:rPr>
          <w:rFonts w:ascii="Times New Roman" w:hAnsi="Times New Roman"/>
          <w:sz w:val="20"/>
          <w:lang w:val="en-GB" w:eastAsia="zh-CN"/>
        </w:rPr>
      </w:pPr>
      <w:r w:rsidRPr="0016703F">
        <w:rPr>
          <w:rFonts w:ascii="Times New Roman" w:hAnsi="Times New Roman"/>
          <w:sz w:val="20"/>
          <w:lang w:val="en-GB" w:eastAsia="zh-CN"/>
        </w:rPr>
        <w:t>The CBR measured on the (pre)configured transmitting pool is an offset better/worse than the Uu radio link quality, e.g. based on measurements of Uu RSRP of CSI-RS, RSRP of SSB, etc.</w:t>
      </w:r>
    </w:p>
    <w:p w14:paraId="26250B55" w14:textId="77777777" w:rsidR="0016703F" w:rsidRPr="0016703F" w:rsidRDefault="0016703F" w:rsidP="0016703F">
      <w:pPr>
        <w:pStyle w:val="ListParagraph"/>
        <w:numPr>
          <w:ilvl w:val="1"/>
          <w:numId w:val="36"/>
        </w:numPr>
        <w:rPr>
          <w:rFonts w:ascii="Times New Roman" w:hAnsi="Times New Roman"/>
          <w:sz w:val="20"/>
          <w:lang w:val="en-GB" w:eastAsia="zh-CN"/>
        </w:rPr>
      </w:pPr>
      <w:r w:rsidRPr="0016703F">
        <w:rPr>
          <w:rFonts w:ascii="Times New Roman" w:hAnsi="Times New Roman"/>
          <w:sz w:val="20"/>
          <w:lang w:val="en-GB" w:eastAsia="zh-CN"/>
        </w:rPr>
        <w:t xml:space="preserve">For sidelink unicast, the sidelink radio link quality, e.g. based on sidelink measurements of sidelink DMRS, sidelink CSI-RS etc. is above below a certain sidelink radio link quality threshold. </w:t>
      </w:r>
    </w:p>
    <w:p w14:paraId="5104AC9E" w14:textId="23984D85" w:rsidR="0016703F" w:rsidRPr="0016703F" w:rsidRDefault="0016703F" w:rsidP="0016703F">
      <w:pPr>
        <w:pStyle w:val="ListParagraph"/>
        <w:numPr>
          <w:ilvl w:val="1"/>
          <w:numId w:val="36"/>
        </w:numPr>
        <w:rPr>
          <w:rFonts w:ascii="Times New Roman" w:hAnsi="Times New Roman"/>
          <w:sz w:val="20"/>
          <w:lang w:val="en-GB" w:eastAsia="zh-CN"/>
        </w:rPr>
      </w:pPr>
      <w:r w:rsidRPr="0016703F">
        <w:rPr>
          <w:rFonts w:ascii="Times New Roman" w:hAnsi="Times New Roman"/>
          <w:sz w:val="20"/>
          <w:lang w:val="en-GB" w:eastAsia="zh-CN"/>
        </w:rPr>
        <w:t>For sidelink unicast, the sidelink radio link quality, e.g. based on sidelink measurements of sidelink DMRS, sidelink CSI-RS etc. is an offset better/worse than the Uu radio link quality, e.g. based on measurements of Uu RSRP of CSI-RS, RSRP of SSB, etc.</w:t>
      </w:r>
    </w:p>
    <w:p w14:paraId="48455EBC" w14:textId="4A00E1C0" w:rsidR="0016703F" w:rsidRPr="0016703F" w:rsidRDefault="0016703F" w:rsidP="0016703F">
      <w:pPr>
        <w:pStyle w:val="ListParagraph"/>
        <w:numPr>
          <w:ilvl w:val="0"/>
          <w:numId w:val="36"/>
        </w:numPr>
        <w:rPr>
          <w:rFonts w:ascii="Times New Roman" w:hAnsi="Times New Roman"/>
          <w:sz w:val="20"/>
          <w:lang w:val="en-GB" w:eastAsia="zh-CN"/>
        </w:rPr>
      </w:pPr>
      <w:r w:rsidRPr="0016703F">
        <w:rPr>
          <w:rFonts w:ascii="Times New Roman" w:hAnsi="Times New Roman"/>
          <w:sz w:val="20"/>
          <w:lang w:val="en-GB" w:eastAsia="zh-CN"/>
        </w:rPr>
        <w:t>UE is authorized/not authorized to use the PC5 for V2X communications.</w:t>
      </w:r>
    </w:p>
    <w:p w14:paraId="285036DA" w14:textId="1EE16475" w:rsidR="0016703F" w:rsidRPr="0016703F" w:rsidRDefault="0016703F" w:rsidP="0016703F">
      <w:pPr>
        <w:pStyle w:val="ListParagraph"/>
        <w:numPr>
          <w:ilvl w:val="0"/>
          <w:numId w:val="36"/>
        </w:numPr>
        <w:rPr>
          <w:rFonts w:ascii="Times New Roman" w:hAnsi="Times New Roman"/>
          <w:sz w:val="20"/>
          <w:lang w:val="en-GB" w:eastAsia="zh-CN"/>
        </w:rPr>
      </w:pPr>
      <w:r w:rsidRPr="0016703F">
        <w:rPr>
          <w:rFonts w:ascii="Times New Roman" w:hAnsi="Times New Roman"/>
          <w:sz w:val="20"/>
          <w:lang w:val="en-GB" w:eastAsia="zh-CN"/>
        </w:rPr>
        <w:t>A transmitting pool is (pre)configured/not (pre)configured for sidelink communications on the frequency/RAT in which the concerned V2X service shall be transmitted.</w:t>
      </w:r>
    </w:p>
    <w:p w14:paraId="6FD5479F" w14:textId="763BAD5C" w:rsidR="0016703F" w:rsidRDefault="0016703F" w:rsidP="0016703F">
      <w:pPr>
        <w:pStyle w:val="ListParagraph"/>
        <w:numPr>
          <w:ilvl w:val="0"/>
          <w:numId w:val="36"/>
        </w:numPr>
        <w:rPr>
          <w:rFonts w:ascii="Times New Roman" w:hAnsi="Times New Roman"/>
          <w:sz w:val="20"/>
          <w:lang w:val="en-GB" w:eastAsia="zh-CN"/>
        </w:rPr>
      </w:pPr>
      <w:r w:rsidRPr="0016703F">
        <w:rPr>
          <w:rFonts w:ascii="Times New Roman" w:hAnsi="Times New Roman"/>
          <w:sz w:val="20"/>
          <w:lang w:val="en-GB" w:eastAsia="zh-CN"/>
        </w:rPr>
        <w:t>A sidelink radio bearer for the concerned V2X service is established/released.</w:t>
      </w:r>
    </w:p>
    <w:p w14:paraId="1F109DDE" w14:textId="717339B4" w:rsidR="002D7099" w:rsidRDefault="002D7099" w:rsidP="001F6936">
      <w:pPr>
        <w:rPr>
          <w:rFonts w:ascii="Times New Roman" w:hAnsi="Times New Roman"/>
          <w:sz w:val="20"/>
          <w:lang w:val="en-GB" w:eastAsia="zh-CN"/>
        </w:rPr>
      </w:pPr>
      <w:r>
        <w:rPr>
          <w:rFonts w:ascii="Times New Roman" w:hAnsi="Times New Roman"/>
          <w:sz w:val="20"/>
          <w:lang w:val="en-GB" w:eastAsia="zh-CN"/>
        </w:rPr>
        <w:t>Subsequently, the following has been captured as part of the WID in plenary discussions</w:t>
      </w:r>
      <w:r w:rsidR="002B5528">
        <w:rPr>
          <w:rFonts w:ascii="Times New Roman" w:hAnsi="Times New Roman"/>
          <w:sz w:val="20"/>
          <w:lang w:val="en-GB" w:eastAsia="zh-CN"/>
        </w:rPr>
        <w:t xml:space="preserve"> </w:t>
      </w:r>
      <w:sdt>
        <w:sdtPr>
          <w:rPr>
            <w:rFonts w:ascii="Times New Roman" w:hAnsi="Times New Roman"/>
            <w:sz w:val="20"/>
            <w:lang w:val="en-GB" w:eastAsia="zh-CN"/>
          </w:rPr>
          <w:id w:val="242142961"/>
          <w:citation/>
        </w:sdtPr>
        <w:sdtEndPr/>
        <w:sdtContent>
          <w:r w:rsidR="002B5528">
            <w:rPr>
              <w:rFonts w:ascii="Times New Roman" w:hAnsi="Times New Roman"/>
              <w:sz w:val="20"/>
              <w:lang w:val="en-GB" w:eastAsia="zh-CN"/>
            </w:rPr>
            <w:fldChar w:fldCharType="begin"/>
          </w:r>
          <w:r w:rsidR="002B5528">
            <w:rPr>
              <w:rFonts w:ascii="Times New Roman" w:hAnsi="Times New Roman"/>
              <w:sz w:val="20"/>
              <w:lang w:eastAsia="zh-CN"/>
            </w:rPr>
            <w:instrText xml:space="preserve"> CITATION RPWID \l 1033 </w:instrText>
          </w:r>
          <w:r w:rsidR="002B5528">
            <w:rPr>
              <w:rFonts w:ascii="Times New Roman" w:hAnsi="Times New Roman"/>
              <w:sz w:val="20"/>
              <w:lang w:val="en-GB" w:eastAsia="zh-CN"/>
            </w:rPr>
            <w:fldChar w:fldCharType="separate"/>
          </w:r>
          <w:r w:rsidR="002B5528" w:rsidRPr="002B5528">
            <w:rPr>
              <w:rFonts w:ascii="Times New Roman" w:hAnsi="Times New Roman"/>
              <w:noProof/>
              <w:sz w:val="20"/>
              <w:lang w:eastAsia="zh-CN"/>
            </w:rPr>
            <w:t>[3]</w:t>
          </w:r>
          <w:r w:rsidR="002B5528">
            <w:rPr>
              <w:rFonts w:ascii="Times New Roman" w:hAnsi="Times New Roman"/>
              <w:sz w:val="20"/>
              <w:lang w:val="en-GB" w:eastAsia="zh-CN"/>
            </w:rPr>
            <w:fldChar w:fldCharType="end"/>
          </w:r>
        </w:sdtContent>
      </w:sdt>
      <w:r>
        <w:rPr>
          <w:rFonts w:ascii="Times New Roman" w:hAnsi="Times New Roman"/>
          <w:sz w:val="20"/>
          <w:lang w:val="en-GB" w:eastAsia="zh-CN"/>
        </w:rPr>
        <w:t>:</w:t>
      </w:r>
    </w:p>
    <w:p w14:paraId="3A7847B9" w14:textId="77777777" w:rsidR="008457CE" w:rsidRDefault="008457CE" w:rsidP="001F6936">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9629"/>
      </w:tblGrid>
      <w:tr w:rsidR="002D7099" w14:paraId="06CE82F5" w14:textId="77777777" w:rsidTr="002D7099">
        <w:tc>
          <w:tcPr>
            <w:tcW w:w="9629" w:type="dxa"/>
          </w:tcPr>
          <w:p w14:paraId="3B82A72D" w14:textId="77777777" w:rsidR="002D7099" w:rsidRDefault="002D7099" w:rsidP="002D7099">
            <w:pPr>
              <w:numPr>
                <w:ilvl w:val="1"/>
                <w:numId w:val="37"/>
              </w:numPr>
              <w:overflowPunct w:val="0"/>
              <w:autoSpaceDE w:val="0"/>
              <w:autoSpaceDN w:val="0"/>
              <w:adjustRightInd w:val="0"/>
              <w:spacing w:after="180" w:line="240" w:lineRule="auto"/>
              <w:contextualSpacing w:val="0"/>
              <w:jc w:val="both"/>
              <w:textAlignment w:val="baseline"/>
              <w:rPr>
                <w:lang w:eastAsia="ko-KR"/>
              </w:rPr>
            </w:pPr>
            <w:r w:rsidRPr="00996A28">
              <w:rPr>
                <w:lang w:eastAsia="ko-KR"/>
              </w:rPr>
              <w:t>AS level link management</w:t>
            </w:r>
            <w:r>
              <w:rPr>
                <w:lang w:eastAsia="ko-KR"/>
              </w:rPr>
              <w:t xml:space="preserve"> for unicast [RAN2, RAN1]</w:t>
            </w:r>
          </w:p>
          <w:p w14:paraId="4393591D" w14:textId="0B1DF1BB" w:rsidR="002D7099" w:rsidRPr="002D7099" w:rsidRDefault="002D7099" w:rsidP="001F6936">
            <w:pPr>
              <w:numPr>
                <w:ilvl w:val="2"/>
                <w:numId w:val="37"/>
              </w:numPr>
              <w:overflowPunct w:val="0"/>
              <w:autoSpaceDE w:val="0"/>
              <w:autoSpaceDN w:val="0"/>
              <w:adjustRightInd w:val="0"/>
              <w:spacing w:after="180" w:line="240" w:lineRule="auto"/>
              <w:contextualSpacing w:val="0"/>
              <w:textAlignment w:val="baseline"/>
              <w:rPr>
                <w:lang w:eastAsia="ko-KR"/>
              </w:rPr>
            </w:pPr>
            <w:r>
              <w:rPr>
                <w:lang w:eastAsia="ko-KR"/>
              </w:rPr>
              <w:t>D</w:t>
            </w:r>
            <w:r w:rsidRPr="008F5003">
              <w:rPr>
                <w:lang w:eastAsia="ko-KR"/>
              </w:rPr>
              <w:t>efine the criteria of PC5 availability/unavailability for unicast based on this functionality.</w:t>
            </w:r>
          </w:p>
        </w:tc>
      </w:tr>
    </w:tbl>
    <w:p w14:paraId="1CE4481F" w14:textId="77777777" w:rsidR="002D7099" w:rsidRDefault="002D7099" w:rsidP="001F6936">
      <w:pPr>
        <w:rPr>
          <w:rFonts w:ascii="Times New Roman" w:hAnsi="Times New Roman"/>
          <w:sz w:val="20"/>
          <w:lang w:val="en-GB" w:eastAsia="zh-CN"/>
        </w:rPr>
      </w:pPr>
    </w:p>
    <w:p w14:paraId="6A76AB3D" w14:textId="3C4B95D6" w:rsidR="001F6936" w:rsidRPr="001F6936" w:rsidRDefault="002D7099" w:rsidP="001F6936">
      <w:pPr>
        <w:rPr>
          <w:rFonts w:ascii="Times New Roman" w:hAnsi="Times New Roman"/>
          <w:sz w:val="20"/>
          <w:lang w:val="en-GB" w:eastAsia="zh-CN"/>
        </w:rPr>
      </w:pPr>
      <w:r>
        <w:rPr>
          <w:rFonts w:ascii="Times New Roman" w:hAnsi="Times New Roman"/>
          <w:sz w:val="20"/>
          <w:lang w:val="en-GB" w:eastAsia="zh-CN"/>
        </w:rPr>
        <w:t>This seems to be pointing towar</w:t>
      </w:r>
      <w:r w:rsidR="002B5528">
        <w:rPr>
          <w:rFonts w:ascii="Times New Roman" w:hAnsi="Times New Roman"/>
          <w:sz w:val="20"/>
          <w:lang w:val="en-GB" w:eastAsia="zh-CN"/>
        </w:rPr>
        <w:t>ds</w:t>
      </w:r>
      <w:r>
        <w:rPr>
          <w:rFonts w:ascii="Times New Roman" w:hAnsi="Times New Roman"/>
          <w:sz w:val="20"/>
          <w:lang w:val="en-GB" w:eastAsia="zh-CN"/>
        </w:rPr>
        <w:t xml:space="preserve"> </w:t>
      </w:r>
      <w:r w:rsidR="001C0E72">
        <w:rPr>
          <w:rFonts w:ascii="Times New Roman" w:hAnsi="Times New Roman"/>
          <w:sz w:val="20"/>
          <w:lang w:val="en-GB" w:eastAsia="zh-CN"/>
        </w:rPr>
        <w:t xml:space="preserve">the use of RLM based procedure to determine the </w:t>
      </w:r>
      <w:r w:rsidR="002C6289">
        <w:rPr>
          <w:rFonts w:ascii="Times New Roman" w:hAnsi="Times New Roman"/>
          <w:sz w:val="20"/>
          <w:lang w:val="en-GB" w:eastAsia="zh-CN"/>
        </w:rPr>
        <w:t>availability</w:t>
      </w:r>
      <w:r w:rsidR="001C0E72">
        <w:rPr>
          <w:rFonts w:ascii="Times New Roman" w:hAnsi="Times New Roman"/>
          <w:sz w:val="20"/>
          <w:lang w:val="en-GB" w:eastAsia="zh-CN"/>
        </w:rPr>
        <w:t xml:space="preserve"> of PC5, which seems different from the candidates listed above</w:t>
      </w:r>
      <w:r>
        <w:rPr>
          <w:rFonts w:ascii="Times New Roman" w:hAnsi="Times New Roman"/>
          <w:sz w:val="20"/>
          <w:lang w:val="en-GB" w:eastAsia="zh-CN"/>
        </w:rPr>
        <w:t>. While the AS link management solution has not yet been agreed upon by RAN2 and a LS has been sent to RAN1 for defining the appropriate RS for RLM over NR sidelink</w:t>
      </w:r>
      <w:r w:rsidR="002B5528">
        <w:rPr>
          <w:rFonts w:ascii="Times New Roman" w:hAnsi="Times New Roman"/>
          <w:sz w:val="20"/>
          <w:lang w:val="en-GB" w:eastAsia="zh-CN"/>
        </w:rPr>
        <w:t xml:space="preserve"> </w:t>
      </w:r>
      <w:sdt>
        <w:sdtPr>
          <w:rPr>
            <w:rFonts w:ascii="Times New Roman" w:hAnsi="Times New Roman"/>
            <w:sz w:val="20"/>
            <w:lang w:val="en-GB" w:eastAsia="zh-CN"/>
          </w:rPr>
          <w:id w:val="589203629"/>
          <w:citation/>
        </w:sdtPr>
        <w:sdtEndPr/>
        <w:sdtContent>
          <w:r w:rsidR="002B5528">
            <w:rPr>
              <w:rFonts w:ascii="Times New Roman" w:hAnsi="Times New Roman"/>
              <w:sz w:val="20"/>
              <w:lang w:val="en-GB" w:eastAsia="zh-CN"/>
            </w:rPr>
            <w:fldChar w:fldCharType="begin"/>
          </w:r>
          <w:r w:rsidR="002B5528">
            <w:rPr>
              <w:rFonts w:ascii="Times New Roman" w:hAnsi="Times New Roman"/>
              <w:sz w:val="20"/>
              <w:lang w:eastAsia="zh-CN"/>
            </w:rPr>
            <w:instrText xml:space="preserve"> CITATION R2105RLMRLFLS \l 1033 </w:instrText>
          </w:r>
          <w:r w:rsidR="002B5528">
            <w:rPr>
              <w:rFonts w:ascii="Times New Roman" w:hAnsi="Times New Roman"/>
              <w:sz w:val="20"/>
              <w:lang w:val="en-GB" w:eastAsia="zh-CN"/>
            </w:rPr>
            <w:fldChar w:fldCharType="separate"/>
          </w:r>
          <w:r w:rsidR="002B5528" w:rsidRPr="002B5528">
            <w:rPr>
              <w:rFonts w:ascii="Times New Roman" w:hAnsi="Times New Roman"/>
              <w:noProof/>
              <w:sz w:val="20"/>
              <w:lang w:eastAsia="zh-CN"/>
            </w:rPr>
            <w:t>[4]</w:t>
          </w:r>
          <w:r w:rsidR="002B5528">
            <w:rPr>
              <w:rFonts w:ascii="Times New Roman" w:hAnsi="Times New Roman"/>
              <w:sz w:val="20"/>
              <w:lang w:val="en-GB" w:eastAsia="zh-CN"/>
            </w:rPr>
            <w:fldChar w:fldCharType="end"/>
          </w:r>
        </w:sdtContent>
      </w:sdt>
      <w:r>
        <w:rPr>
          <w:rFonts w:ascii="Times New Roman" w:hAnsi="Times New Roman"/>
          <w:sz w:val="20"/>
          <w:lang w:val="en-GB" w:eastAsia="zh-CN"/>
        </w:rPr>
        <w:t xml:space="preserve">, the understanding seems to be that the same functionality can be utilized for determining PC5 </w:t>
      </w:r>
      <w:r w:rsidR="002B5528">
        <w:rPr>
          <w:rFonts w:ascii="Times New Roman" w:hAnsi="Times New Roman"/>
          <w:sz w:val="20"/>
          <w:lang w:val="en-GB" w:eastAsia="zh-CN"/>
        </w:rPr>
        <w:t>availability</w:t>
      </w:r>
      <w:r>
        <w:rPr>
          <w:rFonts w:ascii="Times New Roman" w:hAnsi="Times New Roman"/>
          <w:sz w:val="20"/>
          <w:lang w:val="en-GB" w:eastAsia="zh-CN"/>
        </w:rPr>
        <w:t xml:space="preserve"> as well. The next question to ask is whether in addition to being a necessary factor for determining the availability, it can also be deemed sufficient. In other words, do any additional factors need to be considered (out of those discussed above), for instance, the configuration of </w:t>
      </w:r>
      <w:r w:rsidR="001F6936">
        <w:rPr>
          <w:rFonts w:ascii="Times New Roman" w:hAnsi="Times New Roman"/>
          <w:sz w:val="20"/>
          <w:lang w:val="en-GB" w:eastAsia="zh-CN"/>
        </w:rPr>
        <w:t>TX pool on a given V2X frequency</w:t>
      </w:r>
      <w:r w:rsidR="002B5528">
        <w:rPr>
          <w:rFonts w:ascii="Times New Roman" w:hAnsi="Times New Roman"/>
          <w:sz w:val="20"/>
          <w:lang w:val="en-GB" w:eastAsia="zh-CN"/>
        </w:rPr>
        <w:t>?</w:t>
      </w:r>
      <w:r w:rsidR="001F6936">
        <w:rPr>
          <w:rFonts w:ascii="Times New Roman" w:hAnsi="Times New Roman"/>
          <w:sz w:val="20"/>
          <w:lang w:val="en-GB" w:eastAsia="zh-CN"/>
        </w:rPr>
        <w:t xml:space="preserve"> </w:t>
      </w:r>
      <w:r>
        <w:rPr>
          <w:rFonts w:ascii="Times New Roman" w:hAnsi="Times New Roman"/>
          <w:sz w:val="20"/>
          <w:lang w:val="en-GB" w:eastAsia="zh-CN"/>
        </w:rPr>
        <w:t xml:space="preserve">We expect that similar to LTE, the configuration of such a pool for a given V2X carrier </w:t>
      </w:r>
      <w:r w:rsidR="002B5528">
        <w:rPr>
          <w:rFonts w:ascii="Times New Roman" w:hAnsi="Times New Roman"/>
          <w:sz w:val="20"/>
          <w:lang w:val="en-GB" w:eastAsia="zh-CN"/>
        </w:rPr>
        <w:t>to</w:t>
      </w:r>
      <w:r>
        <w:rPr>
          <w:rFonts w:ascii="Times New Roman" w:hAnsi="Times New Roman"/>
          <w:sz w:val="20"/>
          <w:lang w:val="en-GB" w:eastAsia="zh-CN"/>
        </w:rPr>
        <w:t xml:space="preserve"> indicate whether the UE is allowed to use that carrier will be applicable for NR</w:t>
      </w:r>
      <w:r w:rsidR="002B5528">
        <w:rPr>
          <w:rFonts w:ascii="Times New Roman" w:hAnsi="Times New Roman"/>
          <w:sz w:val="20"/>
          <w:lang w:val="en-GB" w:eastAsia="zh-CN"/>
        </w:rPr>
        <w:t xml:space="preserve"> as well</w:t>
      </w:r>
      <w:r>
        <w:rPr>
          <w:rFonts w:ascii="Times New Roman" w:hAnsi="Times New Roman"/>
          <w:sz w:val="20"/>
          <w:lang w:val="en-GB" w:eastAsia="zh-CN"/>
        </w:rPr>
        <w:t>. So, while not explicitly considered as a factor for PC5 availability, s</w:t>
      </w:r>
      <w:r w:rsidR="00B556A6">
        <w:rPr>
          <w:rFonts w:ascii="Times New Roman" w:hAnsi="Times New Roman"/>
          <w:sz w:val="20"/>
          <w:lang w:val="en-GB" w:eastAsia="zh-CN"/>
        </w:rPr>
        <w:t xml:space="preserve">ince this is expected to be known at the UE before the initiation of </w:t>
      </w:r>
      <w:r w:rsidR="00BF5579">
        <w:rPr>
          <w:rFonts w:ascii="Times New Roman" w:hAnsi="Times New Roman"/>
          <w:sz w:val="20"/>
          <w:lang w:val="en-GB" w:eastAsia="zh-CN"/>
        </w:rPr>
        <w:t>a</w:t>
      </w:r>
      <w:r w:rsidR="00B556A6">
        <w:rPr>
          <w:rFonts w:ascii="Times New Roman" w:hAnsi="Times New Roman"/>
          <w:sz w:val="20"/>
          <w:lang w:val="en-GB" w:eastAsia="zh-CN"/>
        </w:rPr>
        <w:t xml:space="preserve"> given service and is not expected to change frequently, it can indeed be considered as a possible criteria. </w:t>
      </w:r>
      <w:r>
        <w:rPr>
          <w:rFonts w:ascii="Times New Roman" w:hAnsi="Times New Roman"/>
          <w:sz w:val="20"/>
          <w:lang w:val="en-GB" w:eastAsia="zh-CN"/>
        </w:rPr>
        <w:t xml:space="preserve">Nevertheless, this </w:t>
      </w:r>
      <w:r w:rsidR="00B556A6">
        <w:rPr>
          <w:rFonts w:ascii="Times New Roman" w:hAnsi="Times New Roman"/>
          <w:sz w:val="20"/>
          <w:lang w:val="en-GB" w:eastAsia="zh-CN"/>
        </w:rPr>
        <w:t>can easily be handled through inter-layer interaction without introducing</w:t>
      </w:r>
      <w:r>
        <w:rPr>
          <w:rFonts w:ascii="Times New Roman" w:hAnsi="Times New Roman"/>
          <w:sz w:val="20"/>
          <w:lang w:val="en-GB" w:eastAsia="zh-CN"/>
        </w:rPr>
        <w:t xml:space="preserve"> anything in the specification and so RAN2 is suggested to confirm that only AS level link status (based on RLM/RLF mechanism) is adopted as the criteria for indicating PC5 availability to the upper layer.</w:t>
      </w:r>
    </w:p>
    <w:p w14:paraId="4E6941A1" w14:textId="77777777" w:rsidR="00B556A6" w:rsidRDefault="00B556A6" w:rsidP="00B556A6">
      <w:pPr>
        <w:ind w:left="1350" w:hanging="1350"/>
        <w:rPr>
          <w:rFonts w:ascii="Times New Roman" w:eastAsia="Times New Roman" w:hAnsi="Times New Roman"/>
          <w:b/>
          <w:bCs/>
          <w:sz w:val="20"/>
          <w:szCs w:val="20"/>
          <w:u w:val="single"/>
          <w:lang w:val="en-GB" w:eastAsia="zh-CN"/>
        </w:rPr>
      </w:pPr>
    </w:p>
    <w:p w14:paraId="319579AA" w14:textId="6904CF6E" w:rsidR="00B556A6" w:rsidRPr="00F22C9F" w:rsidRDefault="00B556A6" w:rsidP="00B556A6">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8457CE">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discuss and confirm that </w:t>
      </w:r>
      <w:r w:rsidR="00645F3A" w:rsidRPr="00645F3A">
        <w:rPr>
          <w:rFonts w:ascii="Times New Roman" w:eastAsia="Times New Roman" w:hAnsi="Times New Roman"/>
          <w:bCs/>
          <w:i/>
          <w:sz w:val="20"/>
          <w:szCs w:val="20"/>
          <w:lang w:val="en-GB" w:eastAsia="zh-CN"/>
        </w:rPr>
        <w:t xml:space="preserve">only AS level link status (based on RLM/RLF mechanism) is adopted as </w:t>
      </w:r>
      <w:r w:rsidR="00645F3A">
        <w:rPr>
          <w:rFonts w:ascii="Times New Roman" w:eastAsia="Times New Roman" w:hAnsi="Times New Roman"/>
          <w:bCs/>
          <w:i/>
          <w:sz w:val="20"/>
          <w:szCs w:val="20"/>
          <w:lang w:val="en-GB" w:eastAsia="zh-CN"/>
        </w:rPr>
        <w:t xml:space="preserve">the </w:t>
      </w:r>
      <w:r>
        <w:rPr>
          <w:rFonts w:ascii="Times New Roman" w:eastAsia="Times New Roman" w:hAnsi="Times New Roman"/>
          <w:bCs/>
          <w:i/>
          <w:sz w:val="20"/>
          <w:szCs w:val="20"/>
          <w:lang w:val="en-GB" w:eastAsia="zh-CN"/>
        </w:rPr>
        <w:t>AS layer criteria for indicating PC5 availability to the upper layer.</w:t>
      </w:r>
    </w:p>
    <w:p w14:paraId="3A79EFF9" w14:textId="77777777" w:rsidR="00443607" w:rsidRDefault="00443607" w:rsidP="00443607">
      <w:pPr>
        <w:rPr>
          <w:rFonts w:ascii="Times New Roman" w:eastAsia="Times New Roman" w:hAnsi="Times New Roman"/>
          <w:bCs/>
          <w:i/>
          <w:sz w:val="20"/>
          <w:szCs w:val="20"/>
          <w:lang w:val="en-GB" w:eastAsia="zh-CN"/>
        </w:rPr>
      </w:pPr>
    </w:p>
    <w:p w14:paraId="742B58E8" w14:textId="41D1DC1F" w:rsidR="00B556A6" w:rsidRDefault="00645F3A" w:rsidP="00443607">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 related </w:t>
      </w:r>
      <w:r w:rsidR="00B556A6">
        <w:rPr>
          <w:rFonts w:ascii="Times New Roman" w:eastAsia="Times New Roman" w:hAnsi="Times New Roman"/>
          <w:bCs/>
          <w:sz w:val="20"/>
          <w:szCs w:val="20"/>
          <w:lang w:val="en-GB" w:eastAsia="zh-CN"/>
        </w:rPr>
        <w:t xml:space="preserve">question </w:t>
      </w:r>
      <w:r>
        <w:rPr>
          <w:rFonts w:ascii="Times New Roman" w:eastAsia="Times New Roman" w:hAnsi="Times New Roman"/>
          <w:bCs/>
          <w:sz w:val="20"/>
          <w:szCs w:val="20"/>
          <w:lang w:val="en-GB" w:eastAsia="zh-CN"/>
        </w:rPr>
        <w:t xml:space="preserve">(which was similarly asked for the Uu case) </w:t>
      </w:r>
      <w:r w:rsidR="00B556A6">
        <w:rPr>
          <w:rFonts w:ascii="Times New Roman" w:eastAsia="Times New Roman" w:hAnsi="Times New Roman"/>
          <w:bCs/>
          <w:sz w:val="20"/>
          <w:szCs w:val="20"/>
          <w:lang w:val="en-GB" w:eastAsia="zh-CN"/>
        </w:rPr>
        <w:t>is when and how this availability information is signalled to the upper layers. Based on company views in the email discussion</w:t>
      </w:r>
      <w:r>
        <w:rPr>
          <w:rFonts w:ascii="Times New Roman" w:eastAsia="Times New Roman" w:hAnsi="Times New Roman"/>
          <w:bCs/>
          <w:sz w:val="20"/>
          <w:szCs w:val="20"/>
          <w:lang w:val="en-GB" w:eastAsia="zh-CN"/>
        </w:rPr>
        <w:t xml:space="preserve"> </w:t>
      </w:r>
      <w:sdt>
        <w:sdtPr>
          <w:rPr>
            <w:rFonts w:ascii="Times New Roman" w:eastAsia="Times New Roman" w:hAnsi="Times New Roman"/>
            <w:bCs/>
            <w:sz w:val="20"/>
            <w:szCs w:val="20"/>
            <w:lang w:val="en-GB" w:eastAsia="zh-CN"/>
          </w:rPr>
          <w:id w:val="-1754736372"/>
          <w:citation/>
        </w:sdtPr>
        <w:sdtEndPr/>
        <w:sdtContent>
          <w:r w:rsidR="002B5528">
            <w:rPr>
              <w:rFonts w:ascii="Times New Roman" w:eastAsia="Times New Roman" w:hAnsi="Times New Roman"/>
              <w:bCs/>
              <w:sz w:val="20"/>
              <w:szCs w:val="20"/>
              <w:lang w:val="en-GB" w:eastAsia="zh-CN"/>
            </w:rPr>
            <w:fldChar w:fldCharType="begin"/>
          </w:r>
          <w:r w:rsidR="002B5528">
            <w:rPr>
              <w:rFonts w:ascii="Times New Roman" w:eastAsia="Times New Roman" w:hAnsi="Times New Roman"/>
              <w:bCs/>
              <w:sz w:val="20"/>
              <w:szCs w:val="20"/>
              <w:lang w:eastAsia="zh-CN"/>
            </w:rPr>
            <w:instrText xml:space="preserve"> CITATION 105interfaceSelection \l 1033 </w:instrText>
          </w:r>
          <w:r w:rsidR="002B5528">
            <w:rPr>
              <w:rFonts w:ascii="Times New Roman" w:eastAsia="Times New Roman" w:hAnsi="Times New Roman"/>
              <w:bCs/>
              <w:sz w:val="20"/>
              <w:szCs w:val="20"/>
              <w:lang w:val="en-GB" w:eastAsia="zh-CN"/>
            </w:rPr>
            <w:fldChar w:fldCharType="separate"/>
          </w:r>
          <w:r w:rsidR="002B5528" w:rsidRPr="002B5528">
            <w:rPr>
              <w:rFonts w:ascii="Times New Roman" w:eastAsia="Times New Roman" w:hAnsi="Times New Roman"/>
              <w:noProof/>
              <w:sz w:val="20"/>
              <w:szCs w:val="20"/>
              <w:lang w:eastAsia="zh-CN"/>
            </w:rPr>
            <w:t>[2]</w:t>
          </w:r>
          <w:r w:rsidR="002B5528">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as well as the apparent scope of the WID on this issue</w:t>
      </w:r>
      <w:r w:rsidR="00B556A6">
        <w:rPr>
          <w:rFonts w:ascii="Times New Roman" w:eastAsia="Times New Roman" w:hAnsi="Times New Roman"/>
          <w:bCs/>
          <w:sz w:val="20"/>
          <w:szCs w:val="20"/>
          <w:lang w:val="en-GB" w:eastAsia="zh-CN"/>
        </w:rPr>
        <w:t xml:space="preserve">, it seemed to be the majority view that same as in the Uu case, </w:t>
      </w:r>
      <w:r>
        <w:rPr>
          <w:rFonts w:ascii="Times New Roman" w:eastAsia="Times New Roman" w:hAnsi="Times New Roman"/>
          <w:bCs/>
          <w:sz w:val="20"/>
          <w:szCs w:val="20"/>
          <w:lang w:val="en-GB" w:eastAsia="zh-CN"/>
        </w:rPr>
        <w:t>when and how</w:t>
      </w:r>
      <w:r w:rsidR="00B556A6">
        <w:rPr>
          <w:rFonts w:ascii="Times New Roman" w:eastAsia="Times New Roman" w:hAnsi="Times New Roman"/>
          <w:bCs/>
          <w:sz w:val="20"/>
          <w:szCs w:val="20"/>
          <w:lang w:val="en-GB" w:eastAsia="zh-CN"/>
        </w:rPr>
        <w:t xml:space="preserve"> </w:t>
      </w:r>
      <w:r>
        <w:rPr>
          <w:rFonts w:ascii="Times New Roman" w:eastAsia="Times New Roman" w:hAnsi="Times New Roman"/>
          <w:bCs/>
          <w:sz w:val="20"/>
          <w:szCs w:val="20"/>
          <w:lang w:val="en-GB" w:eastAsia="zh-CN"/>
        </w:rPr>
        <w:t xml:space="preserve">the AS layer informs the upper layer of PC5 availability </w:t>
      </w:r>
      <w:r w:rsidR="00B556A6">
        <w:rPr>
          <w:rFonts w:ascii="Times New Roman" w:eastAsia="Times New Roman" w:hAnsi="Times New Roman"/>
          <w:bCs/>
          <w:sz w:val="20"/>
          <w:szCs w:val="20"/>
          <w:lang w:val="en-GB" w:eastAsia="zh-CN"/>
        </w:rPr>
        <w:t xml:space="preserve">does not need to be specified. </w:t>
      </w:r>
      <w:r>
        <w:rPr>
          <w:rFonts w:ascii="Times New Roman" w:eastAsia="Times New Roman" w:hAnsi="Times New Roman"/>
          <w:bCs/>
          <w:sz w:val="20"/>
          <w:szCs w:val="20"/>
          <w:lang w:val="en-GB" w:eastAsia="zh-CN"/>
        </w:rPr>
        <w:t xml:space="preserve">Obviously, based on RLF declaration, the UE can inform the upper layer accordingly but we do not think any further specification effort is needed in this regard. </w:t>
      </w:r>
      <w:r w:rsidR="00B556A6">
        <w:rPr>
          <w:rFonts w:ascii="Times New Roman" w:eastAsia="Times New Roman" w:hAnsi="Times New Roman"/>
          <w:bCs/>
          <w:sz w:val="20"/>
          <w:szCs w:val="20"/>
          <w:lang w:val="en-GB" w:eastAsia="zh-CN"/>
        </w:rPr>
        <w:t>So, we propose to capture such behaviour for PC5 as well.</w:t>
      </w:r>
    </w:p>
    <w:p w14:paraId="04FEAD4B" w14:textId="77777777" w:rsidR="00B556A6" w:rsidRDefault="00B556A6" w:rsidP="00443607">
      <w:pPr>
        <w:rPr>
          <w:rFonts w:ascii="Times New Roman" w:eastAsia="Times New Roman" w:hAnsi="Times New Roman"/>
          <w:bCs/>
          <w:sz w:val="20"/>
          <w:szCs w:val="20"/>
          <w:lang w:val="en-GB" w:eastAsia="zh-CN"/>
        </w:rPr>
      </w:pPr>
    </w:p>
    <w:p w14:paraId="4AF2DB25" w14:textId="5D8B5329" w:rsidR="00B556A6" w:rsidRPr="00F22C9F" w:rsidRDefault="00B556A6" w:rsidP="00B556A6">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8457CE">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agrees that </w:t>
      </w:r>
      <w:r w:rsidRPr="00B556A6">
        <w:rPr>
          <w:rFonts w:ascii="Times New Roman" w:eastAsia="Times New Roman" w:hAnsi="Times New Roman"/>
          <w:bCs/>
          <w:i/>
          <w:sz w:val="20"/>
          <w:szCs w:val="20"/>
          <w:lang w:val="en-GB" w:eastAsia="zh-CN"/>
        </w:rPr>
        <w:t>t</w:t>
      </w:r>
      <w:r w:rsidR="00645F3A">
        <w:rPr>
          <w:rFonts w:ascii="Times New Roman" w:eastAsia="Times New Roman" w:hAnsi="Times New Roman"/>
          <w:bCs/>
          <w:i/>
          <w:sz w:val="20"/>
          <w:szCs w:val="20"/>
          <w:lang w:val="en-GB" w:eastAsia="zh-CN"/>
        </w:rPr>
        <w:t xml:space="preserve">here is no need to specify how </w:t>
      </w:r>
      <w:r>
        <w:rPr>
          <w:rFonts w:ascii="Times New Roman" w:eastAsia="Times New Roman" w:hAnsi="Times New Roman"/>
          <w:bCs/>
          <w:i/>
          <w:sz w:val="20"/>
          <w:szCs w:val="20"/>
          <w:lang w:val="en-GB" w:eastAsia="zh-CN"/>
        </w:rPr>
        <w:t xml:space="preserve">and when the </w:t>
      </w:r>
      <w:r w:rsidRPr="00B556A6">
        <w:rPr>
          <w:rFonts w:ascii="Times New Roman" w:eastAsia="Times New Roman" w:hAnsi="Times New Roman"/>
          <w:bCs/>
          <w:i/>
          <w:sz w:val="20"/>
          <w:szCs w:val="20"/>
          <w:lang w:val="en-GB" w:eastAsia="zh-CN"/>
        </w:rPr>
        <w:t>access stratum signal</w:t>
      </w:r>
      <w:r w:rsidR="00645F3A">
        <w:rPr>
          <w:rFonts w:ascii="Times New Roman" w:eastAsia="Times New Roman" w:hAnsi="Times New Roman"/>
          <w:bCs/>
          <w:i/>
          <w:sz w:val="20"/>
          <w:szCs w:val="20"/>
          <w:lang w:val="en-GB" w:eastAsia="zh-CN"/>
        </w:rPr>
        <w:t>s</w:t>
      </w:r>
      <w:r w:rsidRPr="00B556A6">
        <w:rPr>
          <w:rFonts w:ascii="Times New Roman" w:eastAsia="Times New Roman" w:hAnsi="Times New Roman"/>
          <w:bCs/>
          <w:i/>
          <w:sz w:val="20"/>
          <w:szCs w:val="20"/>
          <w:lang w:val="en-GB" w:eastAsia="zh-CN"/>
        </w:rPr>
        <w:t xml:space="preserve"> to UE upper layer </w:t>
      </w:r>
      <w:r w:rsidR="00645F3A">
        <w:rPr>
          <w:rFonts w:ascii="Times New Roman" w:eastAsia="Times New Roman" w:hAnsi="Times New Roman"/>
          <w:bCs/>
          <w:i/>
          <w:sz w:val="20"/>
          <w:szCs w:val="20"/>
          <w:lang w:val="en-GB" w:eastAsia="zh-CN"/>
        </w:rPr>
        <w:t xml:space="preserve">any information </w:t>
      </w:r>
      <w:r w:rsidRPr="00B556A6">
        <w:rPr>
          <w:rFonts w:ascii="Times New Roman" w:eastAsia="Times New Roman" w:hAnsi="Times New Roman"/>
          <w:bCs/>
          <w:i/>
          <w:sz w:val="20"/>
          <w:szCs w:val="20"/>
          <w:lang w:val="en-GB" w:eastAsia="zh-CN"/>
        </w:rPr>
        <w:t xml:space="preserve">related to </w:t>
      </w:r>
      <w:r>
        <w:rPr>
          <w:rFonts w:ascii="Times New Roman" w:eastAsia="Times New Roman" w:hAnsi="Times New Roman"/>
          <w:bCs/>
          <w:i/>
          <w:sz w:val="20"/>
          <w:szCs w:val="20"/>
          <w:lang w:val="en-GB" w:eastAsia="zh-CN"/>
        </w:rPr>
        <w:t>PC5</w:t>
      </w:r>
      <w:r w:rsidRPr="00B556A6">
        <w:rPr>
          <w:rFonts w:ascii="Times New Roman" w:eastAsia="Times New Roman" w:hAnsi="Times New Roman"/>
          <w:bCs/>
          <w:i/>
          <w:sz w:val="20"/>
          <w:szCs w:val="20"/>
          <w:lang w:val="en-GB" w:eastAsia="zh-CN"/>
        </w:rPr>
        <w:t xml:space="preserve"> interface availability/unavailability</w:t>
      </w:r>
      <w:r>
        <w:rPr>
          <w:rFonts w:ascii="Times New Roman" w:eastAsia="Times New Roman" w:hAnsi="Times New Roman"/>
          <w:bCs/>
          <w:i/>
          <w:sz w:val="20"/>
          <w:szCs w:val="20"/>
          <w:lang w:val="en-GB" w:eastAsia="zh-CN"/>
        </w:rPr>
        <w: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53B852BC"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457CE">
        <w:rPr>
          <w:rFonts w:ascii="Times New Roman" w:eastAsia="Times New Roman" w:hAnsi="Times New Roman"/>
          <w:bCs/>
          <w:sz w:val="20"/>
          <w:szCs w:val="20"/>
          <w:lang w:val="en-GB" w:eastAsia="zh-CN"/>
        </w:rPr>
        <w:t xml:space="preserve">indication of PC5 RAT availability to the upper layers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4AB03E9B" w14:textId="77777777" w:rsidR="008457CE" w:rsidRDefault="008457CE"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53C16EB4" w14:textId="77777777" w:rsidR="002C6289" w:rsidRPr="00F22C9F" w:rsidRDefault="002C6289" w:rsidP="002C628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discuss and confirm that </w:t>
      </w:r>
      <w:r w:rsidRPr="00645F3A">
        <w:rPr>
          <w:rFonts w:ascii="Times New Roman" w:eastAsia="Times New Roman" w:hAnsi="Times New Roman"/>
          <w:bCs/>
          <w:i/>
          <w:sz w:val="20"/>
          <w:szCs w:val="20"/>
          <w:lang w:val="en-GB" w:eastAsia="zh-CN"/>
        </w:rPr>
        <w:t xml:space="preserve">only AS level link status (based on RLM/RLF mechanism) is adopted as </w:t>
      </w:r>
      <w:r>
        <w:rPr>
          <w:rFonts w:ascii="Times New Roman" w:eastAsia="Times New Roman" w:hAnsi="Times New Roman"/>
          <w:bCs/>
          <w:i/>
          <w:sz w:val="20"/>
          <w:szCs w:val="20"/>
          <w:lang w:val="en-GB" w:eastAsia="zh-CN"/>
        </w:rPr>
        <w:t>the AS layer criteria for indicating PC5 availability to the upper layer.</w:t>
      </w:r>
    </w:p>
    <w:p w14:paraId="3EC0C9C1" w14:textId="77777777" w:rsidR="002C6289" w:rsidRPr="00F22C9F" w:rsidRDefault="002C6289" w:rsidP="002C628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agrees that </w:t>
      </w:r>
      <w:r w:rsidRPr="00B556A6">
        <w:rPr>
          <w:rFonts w:ascii="Times New Roman" w:eastAsia="Times New Roman" w:hAnsi="Times New Roman"/>
          <w:bCs/>
          <w:i/>
          <w:sz w:val="20"/>
          <w:szCs w:val="20"/>
          <w:lang w:val="en-GB" w:eastAsia="zh-CN"/>
        </w:rPr>
        <w:t>t</w:t>
      </w:r>
      <w:r>
        <w:rPr>
          <w:rFonts w:ascii="Times New Roman" w:eastAsia="Times New Roman" w:hAnsi="Times New Roman"/>
          <w:bCs/>
          <w:i/>
          <w:sz w:val="20"/>
          <w:szCs w:val="20"/>
          <w:lang w:val="en-GB" w:eastAsia="zh-CN"/>
        </w:rPr>
        <w:t xml:space="preserve">here is no need to specify how and when the </w:t>
      </w:r>
      <w:r w:rsidRPr="00B556A6">
        <w:rPr>
          <w:rFonts w:ascii="Times New Roman" w:eastAsia="Times New Roman" w:hAnsi="Times New Roman"/>
          <w:bCs/>
          <w:i/>
          <w:sz w:val="20"/>
          <w:szCs w:val="20"/>
          <w:lang w:val="en-GB" w:eastAsia="zh-CN"/>
        </w:rPr>
        <w:t>access stratum signal</w:t>
      </w:r>
      <w:r>
        <w:rPr>
          <w:rFonts w:ascii="Times New Roman" w:eastAsia="Times New Roman" w:hAnsi="Times New Roman"/>
          <w:bCs/>
          <w:i/>
          <w:sz w:val="20"/>
          <w:szCs w:val="20"/>
          <w:lang w:val="en-GB" w:eastAsia="zh-CN"/>
        </w:rPr>
        <w:t>s</w:t>
      </w:r>
      <w:r w:rsidRPr="00B556A6">
        <w:rPr>
          <w:rFonts w:ascii="Times New Roman" w:eastAsia="Times New Roman" w:hAnsi="Times New Roman"/>
          <w:bCs/>
          <w:i/>
          <w:sz w:val="20"/>
          <w:szCs w:val="20"/>
          <w:lang w:val="en-GB" w:eastAsia="zh-CN"/>
        </w:rPr>
        <w:t xml:space="preserve"> to UE upper layer </w:t>
      </w:r>
      <w:r>
        <w:rPr>
          <w:rFonts w:ascii="Times New Roman" w:eastAsia="Times New Roman" w:hAnsi="Times New Roman"/>
          <w:bCs/>
          <w:i/>
          <w:sz w:val="20"/>
          <w:szCs w:val="20"/>
          <w:lang w:val="en-GB" w:eastAsia="zh-CN"/>
        </w:rPr>
        <w:t xml:space="preserve">any information </w:t>
      </w:r>
      <w:r w:rsidRPr="00B556A6">
        <w:rPr>
          <w:rFonts w:ascii="Times New Roman" w:eastAsia="Times New Roman" w:hAnsi="Times New Roman"/>
          <w:bCs/>
          <w:i/>
          <w:sz w:val="20"/>
          <w:szCs w:val="20"/>
          <w:lang w:val="en-GB" w:eastAsia="zh-CN"/>
        </w:rPr>
        <w:t xml:space="preserve">related to </w:t>
      </w:r>
      <w:r>
        <w:rPr>
          <w:rFonts w:ascii="Times New Roman" w:eastAsia="Times New Roman" w:hAnsi="Times New Roman"/>
          <w:bCs/>
          <w:i/>
          <w:sz w:val="20"/>
          <w:szCs w:val="20"/>
          <w:lang w:val="en-GB" w:eastAsia="zh-CN"/>
        </w:rPr>
        <w:t>PC5</w:t>
      </w:r>
      <w:r w:rsidRPr="00B556A6">
        <w:rPr>
          <w:rFonts w:ascii="Times New Roman" w:eastAsia="Times New Roman" w:hAnsi="Times New Roman"/>
          <w:bCs/>
          <w:i/>
          <w:sz w:val="20"/>
          <w:szCs w:val="20"/>
          <w:lang w:val="en-GB" w:eastAsia="zh-CN"/>
        </w:rPr>
        <w:t xml:space="preserve"> interface availability/unavailability</w:t>
      </w:r>
      <w:r>
        <w:rPr>
          <w:rFonts w:ascii="Times New Roman" w:eastAsia="Times New Roman" w:hAnsi="Times New Roman"/>
          <w:bCs/>
          <w:i/>
          <w:sz w:val="20"/>
          <w:szCs w:val="20"/>
          <w:lang w:val="en-GB" w:eastAsia="zh-CN"/>
        </w:rPr>
        <w:t>.</w:t>
      </w:r>
    </w:p>
    <w:bookmarkStart w:id="1" w:name="_GoBack" w:displacedByCustomXml="next"/>
    <w:bookmarkEnd w:id="1" w:displacedByCustomXml="next"/>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20F7C4DF" w14:textId="77777777" w:rsidR="002B5528" w:rsidRDefault="000A472B" w:rsidP="002B5528">
          <w:pPr>
            <w:divId w:val="1131898881"/>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B5528" w14:paraId="60052479" w14:textId="77777777" w:rsidTr="002B5528">
            <w:trPr>
              <w:divId w:val="1131898881"/>
              <w:tblCellSpacing w:w="15" w:type="dxa"/>
            </w:trPr>
            <w:tc>
              <w:tcPr>
                <w:tcW w:w="50" w:type="pct"/>
                <w:hideMark/>
              </w:tcPr>
              <w:p w14:paraId="761779E7" w14:textId="77777777" w:rsidR="002B5528" w:rsidRDefault="002B5528">
                <w:pPr>
                  <w:pStyle w:val="Bibliography"/>
                  <w:rPr>
                    <w:noProof/>
                    <w:sz w:val="24"/>
                    <w:szCs w:val="24"/>
                  </w:rPr>
                </w:pPr>
                <w:r>
                  <w:rPr>
                    <w:noProof/>
                  </w:rPr>
                  <w:t xml:space="preserve">[1] </w:t>
                </w:r>
              </w:p>
            </w:tc>
            <w:tc>
              <w:tcPr>
                <w:tcW w:w="0" w:type="auto"/>
                <w:hideMark/>
              </w:tcPr>
              <w:p w14:paraId="7DAC8F5F" w14:textId="77777777" w:rsidR="002B5528" w:rsidRDefault="002B5528">
                <w:pPr>
                  <w:pStyle w:val="Bibliography"/>
                  <w:rPr>
                    <w:noProof/>
                  </w:rPr>
                </w:pPr>
                <w:r>
                  <w:rPr>
                    <w:noProof/>
                  </w:rPr>
                  <w:t xml:space="preserve">"RAN2#105, NR V2X: Chairman Notes". </w:t>
                </w:r>
              </w:p>
            </w:tc>
          </w:tr>
          <w:tr w:rsidR="002B5528" w14:paraId="2AF28DA7" w14:textId="77777777" w:rsidTr="002B5528">
            <w:trPr>
              <w:divId w:val="1131898881"/>
              <w:tblCellSpacing w:w="15" w:type="dxa"/>
            </w:trPr>
            <w:tc>
              <w:tcPr>
                <w:tcW w:w="50" w:type="pct"/>
                <w:hideMark/>
              </w:tcPr>
              <w:p w14:paraId="405524A0" w14:textId="77777777" w:rsidR="002B5528" w:rsidRDefault="002B5528">
                <w:pPr>
                  <w:pStyle w:val="Bibliography"/>
                  <w:rPr>
                    <w:noProof/>
                  </w:rPr>
                </w:pPr>
                <w:r>
                  <w:rPr>
                    <w:noProof/>
                  </w:rPr>
                  <w:t xml:space="preserve">[2] </w:t>
                </w:r>
              </w:p>
            </w:tc>
            <w:tc>
              <w:tcPr>
                <w:tcW w:w="0" w:type="auto"/>
                <w:hideMark/>
              </w:tcPr>
              <w:p w14:paraId="1D6AF2D5" w14:textId="77777777" w:rsidR="002B5528" w:rsidRDefault="002B5528">
                <w:pPr>
                  <w:pStyle w:val="Bibliography"/>
                  <w:rPr>
                    <w:noProof/>
                  </w:rPr>
                </w:pPr>
                <w:r>
                  <w:rPr>
                    <w:noProof/>
                  </w:rPr>
                  <w:t xml:space="preserve">"R2-1901705, Report of email discussion [104#57][NR/V2X] interface selection (Ericsson)". </w:t>
                </w:r>
              </w:p>
            </w:tc>
          </w:tr>
          <w:tr w:rsidR="002B5528" w14:paraId="0B6A0CDC" w14:textId="77777777" w:rsidTr="002B5528">
            <w:trPr>
              <w:divId w:val="1131898881"/>
              <w:tblCellSpacing w:w="15" w:type="dxa"/>
            </w:trPr>
            <w:tc>
              <w:tcPr>
                <w:tcW w:w="50" w:type="pct"/>
                <w:hideMark/>
              </w:tcPr>
              <w:p w14:paraId="363102F4" w14:textId="77777777" w:rsidR="002B5528" w:rsidRDefault="002B5528">
                <w:pPr>
                  <w:pStyle w:val="Bibliography"/>
                  <w:rPr>
                    <w:noProof/>
                  </w:rPr>
                </w:pPr>
                <w:r>
                  <w:rPr>
                    <w:noProof/>
                  </w:rPr>
                  <w:t xml:space="preserve">[3] </w:t>
                </w:r>
              </w:p>
            </w:tc>
            <w:tc>
              <w:tcPr>
                <w:tcW w:w="0" w:type="auto"/>
                <w:hideMark/>
              </w:tcPr>
              <w:p w14:paraId="114B28D4" w14:textId="77777777" w:rsidR="002B5528" w:rsidRDefault="002B5528">
                <w:pPr>
                  <w:pStyle w:val="Bibliography"/>
                  <w:rPr>
                    <w:noProof/>
                  </w:rPr>
                </w:pPr>
                <w:r>
                  <w:rPr>
                    <w:noProof/>
                  </w:rPr>
                  <w:t xml:space="preserve">"RP-190766, New WID on 5G V2X with NR sidelink (LG,Huawei)". </w:t>
                </w:r>
              </w:p>
            </w:tc>
          </w:tr>
          <w:tr w:rsidR="002B5528" w14:paraId="4FAB5FAB" w14:textId="77777777" w:rsidTr="002B5528">
            <w:trPr>
              <w:divId w:val="1131898881"/>
              <w:tblCellSpacing w:w="15" w:type="dxa"/>
            </w:trPr>
            <w:tc>
              <w:tcPr>
                <w:tcW w:w="50" w:type="pct"/>
                <w:hideMark/>
              </w:tcPr>
              <w:p w14:paraId="7E7BFE1A" w14:textId="77777777" w:rsidR="002B5528" w:rsidRDefault="002B5528">
                <w:pPr>
                  <w:pStyle w:val="Bibliography"/>
                  <w:rPr>
                    <w:noProof/>
                  </w:rPr>
                </w:pPr>
                <w:r>
                  <w:rPr>
                    <w:noProof/>
                  </w:rPr>
                  <w:t xml:space="preserve">[4] </w:t>
                </w:r>
              </w:p>
            </w:tc>
            <w:tc>
              <w:tcPr>
                <w:tcW w:w="0" w:type="auto"/>
                <w:hideMark/>
              </w:tcPr>
              <w:p w14:paraId="75D035C3" w14:textId="77777777" w:rsidR="002B5528" w:rsidRDefault="002B5528">
                <w:pPr>
                  <w:pStyle w:val="Bibliography"/>
                  <w:rPr>
                    <w:noProof/>
                  </w:rPr>
                </w:pPr>
                <w:r>
                  <w:rPr>
                    <w:noProof/>
                  </w:rPr>
                  <w:t xml:space="preserve">"R2-1902504, LS on SL RLM / RLF in NR V2X for unicast". </w:t>
                </w:r>
              </w:p>
            </w:tc>
          </w:tr>
        </w:tbl>
        <w:p w14:paraId="7C81F743" w14:textId="77777777" w:rsidR="002B5528" w:rsidRDefault="002B5528" w:rsidP="002B5528">
          <w:pPr>
            <w:divId w:val="1131898881"/>
            <w:rPr>
              <w:rFonts w:eastAsia="Times New Roman"/>
              <w:noProof/>
            </w:rPr>
          </w:pPr>
        </w:p>
        <w:p w14:paraId="3B293168" w14:textId="42F460DC" w:rsidR="00E43B63" w:rsidRDefault="000A472B" w:rsidP="002B5528">
          <w:pPr>
            <w:divId w:val="1131898881"/>
            <w:rPr>
              <w:rFonts w:eastAsia="Times New Roman"/>
              <w:noProof/>
            </w:rPr>
          </w:pPr>
          <w:r>
            <w:rPr>
              <w:rFonts w:eastAsia="Times New Roman"/>
              <w:noProof/>
            </w:rPr>
            <w:fldChar w:fldCharType="end"/>
          </w:r>
        </w:p>
        <w:p w14:paraId="50A28EEF" w14:textId="41D9B9E6" w:rsidR="00E0063E" w:rsidRPr="00E43B63" w:rsidRDefault="002C6289" w:rsidP="00E43B63"/>
      </w:sdtContent>
    </w:sdt>
    <w:bookmarkEnd w:id="0"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6289">
      <w:rPr>
        <w:rFonts w:ascii="Arial" w:hAnsi="Arial" w:cs="Arial"/>
        <w:b/>
        <w:noProof/>
        <w:sz w:val="18"/>
        <w:szCs w:val="18"/>
      </w:rPr>
      <w:t>3</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2"/>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1"/>
  </w:num>
  <w:num w:numId="8">
    <w:abstractNumId w:val="11"/>
  </w:num>
  <w:num w:numId="9">
    <w:abstractNumId w:val="8"/>
  </w:num>
  <w:num w:numId="10">
    <w:abstractNumId w:val="26"/>
  </w:num>
  <w:num w:numId="11">
    <w:abstractNumId w:val="33"/>
  </w:num>
  <w:num w:numId="12">
    <w:abstractNumId w:val="6"/>
  </w:num>
  <w:num w:numId="13">
    <w:abstractNumId w:val="9"/>
  </w:num>
  <w:num w:numId="14">
    <w:abstractNumId w:val="3"/>
  </w:num>
  <w:num w:numId="15">
    <w:abstractNumId w:val="4"/>
  </w:num>
  <w:num w:numId="16">
    <w:abstractNumId w:val="14"/>
  </w:num>
  <w:num w:numId="17">
    <w:abstractNumId w:val="30"/>
  </w:num>
  <w:num w:numId="18">
    <w:abstractNumId w:val="12"/>
  </w:num>
  <w:num w:numId="19">
    <w:abstractNumId w:val="27"/>
  </w:num>
  <w:num w:numId="20">
    <w:abstractNumId w:val="2"/>
  </w:num>
  <w:num w:numId="21">
    <w:abstractNumId w:val="32"/>
  </w:num>
  <w:num w:numId="22">
    <w:abstractNumId w:val="1"/>
  </w:num>
  <w:num w:numId="23">
    <w:abstractNumId w:val="25"/>
  </w:num>
  <w:num w:numId="24">
    <w:abstractNumId w:val="36"/>
  </w:num>
  <w:num w:numId="25">
    <w:abstractNumId w:val="23"/>
  </w:num>
  <w:num w:numId="26">
    <w:abstractNumId w:val="20"/>
  </w:num>
  <w:num w:numId="27">
    <w:abstractNumId w:val="18"/>
  </w:num>
  <w:num w:numId="28">
    <w:abstractNumId w:val="35"/>
  </w:num>
  <w:num w:numId="29">
    <w:abstractNumId w:val="0"/>
  </w:num>
  <w:num w:numId="30">
    <w:abstractNumId w:val="10"/>
  </w:num>
  <w:num w:numId="31">
    <w:abstractNumId w:val="28"/>
  </w:num>
  <w:num w:numId="32">
    <w:abstractNumId w:val="19"/>
  </w:num>
  <w:num w:numId="33">
    <w:abstractNumId w:val="24"/>
  </w:num>
  <w:num w:numId="34">
    <w:abstractNumId w:val="21"/>
  </w:num>
  <w:num w:numId="35">
    <w:abstractNumId w:val="13"/>
  </w:num>
  <w:num w:numId="36">
    <w:abstractNumId w:val="17"/>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7E1C"/>
    <w:rsid w:val="000A7FE2"/>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793C"/>
    <w:rsid w:val="001B7098"/>
    <w:rsid w:val="001C0E72"/>
    <w:rsid w:val="001C137C"/>
    <w:rsid w:val="001C479B"/>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86CD8"/>
    <w:rsid w:val="00291433"/>
    <w:rsid w:val="00291DB2"/>
    <w:rsid w:val="00293F66"/>
    <w:rsid w:val="0029495D"/>
    <w:rsid w:val="002A5F0F"/>
    <w:rsid w:val="002A78E6"/>
    <w:rsid w:val="002B17B0"/>
    <w:rsid w:val="002B2F0A"/>
    <w:rsid w:val="002B5528"/>
    <w:rsid w:val="002C6289"/>
    <w:rsid w:val="002D2168"/>
    <w:rsid w:val="002D7099"/>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54333"/>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45F3A"/>
    <w:rsid w:val="00661C20"/>
    <w:rsid w:val="00667231"/>
    <w:rsid w:val="006720DF"/>
    <w:rsid w:val="00673EBD"/>
    <w:rsid w:val="006821CE"/>
    <w:rsid w:val="0068421C"/>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57C"/>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457"/>
    <w:rsid w:val="008457CE"/>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B388C"/>
    <w:rsid w:val="00AC4F72"/>
    <w:rsid w:val="00AD20FE"/>
    <w:rsid w:val="00AE0020"/>
    <w:rsid w:val="00AE0A3D"/>
    <w:rsid w:val="00AE13FE"/>
    <w:rsid w:val="00AE5BAD"/>
    <w:rsid w:val="00AE7C91"/>
    <w:rsid w:val="00AF256D"/>
    <w:rsid w:val="00B019D2"/>
    <w:rsid w:val="00B117C2"/>
    <w:rsid w:val="00B14023"/>
    <w:rsid w:val="00B20B32"/>
    <w:rsid w:val="00B3013F"/>
    <w:rsid w:val="00B329F9"/>
    <w:rsid w:val="00B33EE3"/>
    <w:rsid w:val="00B438F2"/>
    <w:rsid w:val="00B45EDF"/>
    <w:rsid w:val="00B556A6"/>
    <w:rsid w:val="00B70F01"/>
    <w:rsid w:val="00B737FF"/>
    <w:rsid w:val="00B74D9C"/>
    <w:rsid w:val="00B76EA2"/>
    <w:rsid w:val="00B810AC"/>
    <w:rsid w:val="00B81256"/>
    <w:rsid w:val="00B836AE"/>
    <w:rsid w:val="00B9000F"/>
    <w:rsid w:val="00B91D6D"/>
    <w:rsid w:val="00B92FEE"/>
    <w:rsid w:val="00B9460B"/>
    <w:rsid w:val="00BA2CEB"/>
    <w:rsid w:val="00BB7B6E"/>
    <w:rsid w:val="00BC052F"/>
    <w:rsid w:val="00BC068A"/>
    <w:rsid w:val="00BD4114"/>
    <w:rsid w:val="00BD4C5D"/>
    <w:rsid w:val="00BD4D14"/>
    <w:rsid w:val="00BD67D0"/>
    <w:rsid w:val="00BE0DBD"/>
    <w:rsid w:val="00BE4AC7"/>
    <w:rsid w:val="00BE6D20"/>
    <w:rsid w:val="00BF5579"/>
    <w:rsid w:val="00BF78E3"/>
    <w:rsid w:val="00C10CE1"/>
    <w:rsid w:val="00C13538"/>
    <w:rsid w:val="00C13DB4"/>
    <w:rsid w:val="00C16A65"/>
    <w:rsid w:val="00C2591C"/>
    <w:rsid w:val="00C27475"/>
    <w:rsid w:val="00C348A8"/>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CF4268"/>
    <w:rsid w:val="00D0160E"/>
    <w:rsid w:val="00D05CFA"/>
    <w:rsid w:val="00D13EAA"/>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458F"/>
    <w:rsid w:val="00FA4DC9"/>
    <w:rsid w:val="00FB08ED"/>
    <w:rsid w:val="00FC16BC"/>
    <w:rsid w:val="00FC2DCE"/>
    <w:rsid w:val="00FC2EDB"/>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083">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57554403">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4139823">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277075">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66691049">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27472075">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078448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282147069">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040013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599370681">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8413786">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19808059">
      <w:bodyDiv w:val="1"/>
      <w:marLeft w:val="0"/>
      <w:marRight w:val="0"/>
      <w:marTop w:val="0"/>
      <w:marBottom w:val="0"/>
      <w:divBdr>
        <w:top w:val="none" w:sz="0" w:space="0" w:color="auto"/>
        <w:left w:val="none" w:sz="0" w:space="0" w:color="auto"/>
        <w:bottom w:val="none" w:sz="0" w:space="0" w:color="auto"/>
        <w:right w:val="none" w:sz="0" w:space="0" w:color="auto"/>
      </w:divBdr>
    </w:div>
    <w:div w:id="1824927877">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RPWID</b:Tag>
    <b:SourceType>ConferenceProceedings</b:SourceType>
    <b:Guid>{B3E5E684-F587-4391-B9C9-7CB5ED91C1E1}</b:Guid>
    <b:Title>RP-190766, New WID on 5G V2X with NR sidelink (LG,Huawei)</b:Title>
    <b:RefOrder>3</b:RefOrder>
  </b:Source>
  <b:Source>
    <b:Tag>105interfaceSelection</b:Tag>
    <b:SourceType>ConferenceProceedings</b:SourceType>
    <b:Guid>{95A8EA4E-6BE6-40D5-8084-346FA134CE98}</b:Guid>
    <b:Title>R2-1901705, Report of email discussion [104#57][NR/V2X] interface selection (Ericsson)</b:Title>
    <b:RefOrder>2</b:RefOrder>
  </b:Source>
  <b:Source>
    <b:Tag>R2105RLMRLFLS</b:Tag>
    <b:SourceType>ConferenceProceedings</b:SourceType>
    <b:Guid>{161CC899-D6B4-47CC-860C-8B79656C0396}</b:Guid>
    <b:Title>R2-1902504, LS on SL RLM / RLF in NR V2X for unicast</b:Title>
    <b:RefOrder>4</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668286C6-4D44-4E71-83FD-03B7DFE3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11023</TotalTime>
  <Pages>3</Pages>
  <Words>1110</Words>
  <Characters>5716</Characters>
  <Application>Microsoft Office Word</Application>
  <DocSecurity>0</DocSecurity>
  <Lines>103</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355</cp:revision>
  <dcterms:created xsi:type="dcterms:W3CDTF">2017-08-12T02:26:00Z</dcterms:created>
  <dcterms:modified xsi:type="dcterms:W3CDTF">2019-03-29T01:00:00Z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2019-03-29 01:00:22Z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