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36D87754"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A68B2">
        <w:rPr>
          <w:sz w:val="24"/>
          <w:lang w:val="en-GB" w:eastAsia="zh-CN"/>
        </w:rPr>
        <w:t>5</w:t>
      </w:r>
      <w:r w:rsidR="00E67A80">
        <w:rPr>
          <w:sz w:val="24"/>
          <w:lang w:val="en-GB" w:eastAsia="zh-CN"/>
        </w:rPr>
        <w:t>bis</w:t>
      </w:r>
      <w:r w:rsidRPr="00EE6198">
        <w:rPr>
          <w:sz w:val="24"/>
          <w:lang w:val="en-GB" w:eastAsia="zh-CN"/>
        </w:rPr>
        <w:tab/>
      </w:r>
      <w:r w:rsidR="008205AE">
        <w:rPr>
          <w:sz w:val="24"/>
          <w:lang w:val="en-GB" w:eastAsia="zh-CN"/>
        </w:rPr>
        <w:t>R2-1903656</w:t>
      </w:r>
    </w:p>
    <w:p w14:paraId="60273E23" w14:textId="77777777" w:rsidR="00351059" w:rsidRPr="00351059" w:rsidRDefault="00351059" w:rsidP="00351059">
      <w:pPr>
        <w:pStyle w:val="Header"/>
        <w:tabs>
          <w:tab w:val="right" w:pos="9639"/>
        </w:tabs>
        <w:rPr>
          <w:sz w:val="24"/>
          <w:lang w:val="en-GB" w:eastAsia="zh-CN"/>
        </w:rPr>
      </w:pPr>
      <w:r w:rsidRPr="00351059">
        <w:rPr>
          <w:sz w:val="24"/>
          <w:lang w:val="en-GB" w:eastAsia="zh-CN"/>
        </w:rPr>
        <w:t>Xi'an, China, 8</w:t>
      </w:r>
      <w:r w:rsidRPr="00351059">
        <w:rPr>
          <w:sz w:val="24"/>
          <w:vertAlign w:val="superscript"/>
          <w:lang w:val="en-GB" w:eastAsia="zh-CN"/>
        </w:rPr>
        <w:t>th</w:t>
      </w:r>
      <w:r w:rsidRPr="00351059">
        <w:rPr>
          <w:sz w:val="24"/>
          <w:lang w:val="en-GB" w:eastAsia="zh-CN"/>
        </w:rPr>
        <w:t xml:space="preserve"> – 12</w:t>
      </w:r>
      <w:r w:rsidRPr="00351059">
        <w:rPr>
          <w:sz w:val="24"/>
          <w:vertAlign w:val="superscript"/>
          <w:lang w:val="en-GB" w:eastAsia="zh-CN"/>
        </w:rPr>
        <w:t>th</w:t>
      </w:r>
      <w:r w:rsidRPr="00351059">
        <w:rPr>
          <w:sz w:val="24"/>
          <w:lang w:val="en-GB" w:eastAsia="zh-CN"/>
        </w:rPr>
        <w:t xml:space="preserve"> April 2019</w:t>
      </w:r>
    </w:p>
    <w:p w14:paraId="50A28E94" w14:textId="77433D6E" w:rsidR="007D05E3" w:rsidRPr="00740DDE" w:rsidRDefault="009D5BAB" w:rsidP="00740DDE">
      <w:pPr>
        <w:pStyle w:val="Header"/>
        <w:tabs>
          <w:tab w:val="right" w:pos="9639"/>
        </w:tabs>
        <w:rPr>
          <w:sz w:val="24"/>
          <w:lang w:val="en-GB" w:eastAsia="zh-CN"/>
        </w:rPr>
      </w:pPr>
      <w:r w:rsidRPr="009D56B1">
        <w:rPr>
          <w:noProof w:val="0"/>
          <w:sz w:val="24"/>
          <w:lang w:eastAsia="zh-CN"/>
        </w:rPr>
        <w:tab/>
      </w:r>
    </w:p>
    <w:p w14:paraId="45805EAE" w14:textId="7ADDEE24" w:rsidR="00E33532" w:rsidRPr="009D56B1" w:rsidRDefault="00E33532" w:rsidP="00E33532">
      <w:pPr>
        <w:tabs>
          <w:tab w:val="left" w:pos="1985"/>
        </w:tabs>
        <w:ind w:left="1985" w:hanging="1985"/>
        <w:rPr>
          <w:rFonts w:ascii="Arial" w:hAnsi="Arial" w:cs="Arial"/>
          <w:b/>
          <w:bCs/>
          <w:sz w:val="24"/>
          <w:lang w:eastAsia="zh-CN"/>
        </w:rPr>
      </w:pPr>
      <w:r>
        <w:rPr>
          <w:rFonts w:ascii="Arial" w:hAnsi="Arial" w:cs="Arial"/>
          <w:b/>
          <w:bCs/>
          <w:sz w:val="24"/>
        </w:rPr>
        <w:t>Agenda</w:t>
      </w:r>
      <w:r w:rsidRPr="009D56B1">
        <w:rPr>
          <w:rFonts w:ascii="Arial" w:hAnsi="Arial" w:cs="Arial"/>
          <w:b/>
          <w:bCs/>
          <w:sz w:val="24"/>
        </w:rPr>
        <w:t>:</w:t>
      </w:r>
      <w:r w:rsidRPr="009D56B1">
        <w:rPr>
          <w:rFonts w:ascii="Arial" w:hAnsi="Arial" w:cs="Arial"/>
          <w:b/>
          <w:bCs/>
          <w:sz w:val="24"/>
        </w:rPr>
        <w:tab/>
      </w:r>
      <w:r w:rsidRPr="009D56B1">
        <w:rPr>
          <w:rFonts w:ascii="Arial" w:hAnsi="Arial" w:cs="Arial"/>
          <w:b/>
          <w:bCs/>
          <w:sz w:val="24"/>
        </w:rPr>
        <w:tab/>
      </w:r>
      <w:r w:rsidR="00351059">
        <w:rPr>
          <w:rFonts w:ascii="Arial" w:hAnsi="Arial" w:cs="Arial"/>
          <w:b/>
          <w:bCs/>
          <w:sz w:val="24"/>
        </w:rPr>
        <w:t>11.4.4</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F895266"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E33532" w:rsidRPr="00E33532">
        <w:rPr>
          <w:rFonts w:ascii="Arial" w:hAnsi="Arial" w:cs="Arial"/>
          <w:b/>
          <w:bCs/>
          <w:sz w:val="24"/>
        </w:rPr>
        <w:t>UE capability information exchange for NR sidelink</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10FA7431" w:rsidR="007356BA" w:rsidRDefault="00351059"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 xml:space="preserve">One </w:t>
      </w:r>
      <w:r w:rsidR="00E33532">
        <w:rPr>
          <w:rFonts w:ascii="Times New Roman" w:hAnsi="Times New Roman"/>
          <w:sz w:val="20"/>
          <w:szCs w:val="20"/>
          <w:lang w:eastAsia="zh-CN"/>
        </w:rPr>
        <w:t xml:space="preserve">of the </w:t>
      </w:r>
      <w:r>
        <w:rPr>
          <w:rFonts w:ascii="Times New Roman" w:hAnsi="Times New Roman"/>
          <w:sz w:val="20"/>
          <w:szCs w:val="20"/>
          <w:lang w:eastAsia="zh-CN"/>
        </w:rPr>
        <w:t xml:space="preserve">key </w:t>
      </w:r>
      <w:r w:rsidR="00E33532">
        <w:rPr>
          <w:rFonts w:ascii="Times New Roman" w:hAnsi="Times New Roman"/>
          <w:sz w:val="20"/>
          <w:szCs w:val="20"/>
          <w:lang w:eastAsia="zh-CN"/>
        </w:rPr>
        <w:t xml:space="preserve">aspects related to unicast operation in particular </w:t>
      </w:r>
      <w:r>
        <w:rPr>
          <w:rFonts w:ascii="Times New Roman" w:hAnsi="Times New Roman"/>
          <w:sz w:val="20"/>
          <w:szCs w:val="20"/>
          <w:lang w:eastAsia="zh-CN"/>
        </w:rPr>
        <w:t>is</w:t>
      </w:r>
      <w:r w:rsidR="00E33532">
        <w:rPr>
          <w:rFonts w:ascii="Times New Roman" w:hAnsi="Times New Roman"/>
          <w:sz w:val="20"/>
          <w:szCs w:val="20"/>
          <w:lang w:eastAsia="zh-CN"/>
        </w:rPr>
        <w:t xml:space="preserve"> the exchange of UE capability over sidelink. In this regard, several agreements were </w:t>
      </w:r>
      <w:r w:rsidR="00336D48">
        <w:rPr>
          <w:rFonts w:ascii="Times New Roman" w:hAnsi="Times New Roman"/>
          <w:sz w:val="20"/>
          <w:szCs w:val="20"/>
          <w:lang w:eastAsia="zh-CN"/>
        </w:rPr>
        <w:t xml:space="preserve">made in the last RAN2 meeting </w:t>
      </w:r>
      <w:sdt>
        <w:sdtPr>
          <w:rPr>
            <w:rFonts w:ascii="Times New Roman" w:hAnsi="Times New Roman"/>
            <w:sz w:val="20"/>
            <w:szCs w:val="20"/>
            <w:lang w:eastAsia="zh-CN"/>
          </w:rPr>
          <w:id w:val="-1252653014"/>
          <w:citation/>
        </w:sdtPr>
        <w:sdtEndPr/>
        <w:sdtContent>
          <w:r w:rsidR="00336D48">
            <w:rPr>
              <w:rFonts w:ascii="Times New Roman" w:hAnsi="Times New Roman"/>
              <w:sz w:val="20"/>
              <w:szCs w:val="20"/>
              <w:lang w:eastAsia="zh-CN"/>
            </w:rPr>
            <w:fldChar w:fldCharType="begin"/>
          </w:r>
          <w:r w:rsidR="00336D48">
            <w:rPr>
              <w:rFonts w:ascii="Times New Roman" w:hAnsi="Times New Roman"/>
              <w:sz w:val="20"/>
              <w:szCs w:val="20"/>
              <w:lang w:eastAsia="zh-CN"/>
            </w:rPr>
            <w:instrText xml:space="preserve"> CITATION 105V2XNotes \l 1033 </w:instrText>
          </w:r>
          <w:r w:rsidR="00336D48">
            <w:rPr>
              <w:rFonts w:ascii="Times New Roman" w:hAnsi="Times New Roman"/>
              <w:sz w:val="20"/>
              <w:szCs w:val="20"/>
              <w:lang w:eastAsia="zh-CN"/>
            </w:rPr>
            <w:fldChar w:fldCharType="separate"/>
          </w:r>
          <w:r w:rsidR="00CD7164" w:rsidRPr="00CD7164">
            <w:rPr>
              <w:rFonts w:ascii="Times New Roman" w:hAnsi="Times New Roman"/>
              <w:noProof/>
              <w:sz w:val="20"/>
              <w:szCs w:val="20"/>
              <w:lang w:eastAsia="zh-CN"/>
            </w:rPr>
            <w:t>[1]</w:t>
          </w:r>
          <w:r w:rsidR="00336D48">
            <w:rPr>
              <w:rFonts w:ascii="Times New Roman" w:hAnsi="Times New Roman"/>
              <w:sz w:val="20"/>
              <w:szCs w:val="20"/>
              <w:lang w:eastAsia="zh-CN"/>
            </w:rPr>
            <w:fldChar w:fldCharType="end"/>
          </w:r>
        </w:sdtContent>
      </w:sdt>
      <w:r w:rsidR="00E33532">
        <w:rPr>
          <w:rFonts w:ascii="Times New Roman" w:hAnsi="Times New Roman"/>
          <w:sz w:val="20"/>
          <w:szCs w:val="20"/>
          <w:lang w:eastAsia="zh-CN"/>
        </w:rPr>
        <w:t>:</w:t>
      </w:r>
    </w:p>
    <w:p w14:paraId="5E22D885" w14:textId="77777777" w:rsidR="00B56EFA" w:rsidRDefault="00B56EF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0516EF2"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E33532">
        <w:rPr>
          <w:rFonts w:ascii="Arial" w:eastAsia="MS Mincho" w:hAnsi="Arial"/>
          <w:sz w:val="20"/>
          <w:szCs w:val="24"/>
          <w:lang w:val="en-GB" w:eastAsia="en-GB"/>
        </w:rPr>
        <w:t>Agreements on V2X unicast:</w:t>
      </w:r>
    </w:p>
    <w:p w14:paraId="0F1A0692"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E33532">
        <w:rPr>
          <w:rFonts w:ascii="Arial" w:eastAsia="MS Mincho" w:hAnsi="Arial"/>
          <w:sz w:val="20"/>
          <w:szCs w:val="24"/>
          <w:lang w:val="en-GB" w:eastAsia="en-GB"/>
        </w:rPr>
        <w:t xml:space="preserve">1: </w:t>
      </w:r>
      <w:r w:rsidRPr="00E33532">
        <w:rPr>
          <w:rFonts w:ascii="Arial" w:eastAsia="MS Mincho" w:hAnsi="Arial"/>
          <w:noProof/>
          <w:sz w:val="20"/>
          <w:szCs w:val="24"/>
          <w:lang w:val="en-GB" w:eastAsia="en-GB"/>
        </w:rPr>
        <w:t>PC5-RRC is used to exchange UE capability and AS-layer configuration at least.</w:t>
      </w:r>
    </w:p>
    <w:p w14:paraId="747ABB8B"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highlight w:val="yellow"/>
          <w:lang w:val="en-GB" w:eastAsia="en-GB"/>
        </w:rPr>
      </w:pPr>
      <w:r w:rsidRPr="00E33532">
        <w:rPr>
          <w:rFonts w:ascii="Arial" w:eastAsia="MS Mincho" w:hAnsi="Arial"/>
          <w:noProof/>
          <w:sz w:val="20"/>
          <w:szCs w:val="24"/>
          <w:highlight w:val="yellow"/>
          <w:lang w:val="en-GB" w:eastAsia="en-GB"/>
        </w:rPr>
        <w:t>2: PC5-RRC based UE capability transfer procedure is triggered during or after PC5-S signalling for direct link setup. Further details can be discussed in WI stage.</w:t>
      </w:r>
    </w:p>
    <w:p w14:paraId="2379BFA8"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highlight w:val="yellow"/>
          <w:lang w:val="en-GB" w:eastAsia="en-GB"/>
        </w:rPr>
      </w:pPr>
      <w:r w:rsidRPr="00E33532">
        <w:rPr>
          <w:rFonts w:ascii="Arial" w:eastAsia="MS Mincho" w:hAnsi="Arial"/>
          <w:noProof/>
          <w:sz w:val="20"/>
          <w:szCs w:val="24"/>
          <w:highlight w:val="yellow"/>
          <w:lang w:val="en-GB" w:eastAsia="en-GB"/>
        </w:rPr>
        <w:t>3: PC5-RRC based UE capability transfer can be done in either one-way or two-way manner. Further details can be discussed in WI stage.</w:t>
      </w:r>
    </w:p>
    <w:p w14:paraId="10BA42C3"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E33532">
        <w:rPr>
          <w:rFonts w:ascii="Arial" w:eastAsia="MS Mincho" w:hAnsi="Arial"/>
          <w:noProof/>
          <w:sz w:val="20"/>
          <w:szCs w:val="24"/>
          <w:highlight w:val="yellow"/>
          <w:lang w:val="en-GB" w:eastAsia="en-GB"/>
        </w:rPr>
        <w:t>4: Further details on which UE to send out its own capability information can be discussed in WI stage.</w:t>
      </w:r>
    </w:p>
    <w:p w14:paraId="549FE531"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E33532">
        <w:rPr>
          <w:rFonts w:ascii="Arial" w:eastAsia="MS Mincho" w:hAnsi="Arial"/>
          <w:noProof/>
          <w:sz w:val="20"/>
          <w:szCs w:val="24"/>
          <w:lang w:val="en-GB" w:eastAsia="en-GB"/>
        </w:rPr>
        <w:t>5: PC5-RRC based AS-layer configuration procedure is triggered during or after PC5-S signalling for direct link setup. Further details can be discussed in WI stage.</w:t>
      </w:r>
    </w:p>
    <w:p w14:paraId="1528650A"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E33532">
        <w:rPr>
          <w:rFonts w:ascii="Arial" w:eastAsia="MS Mincho" w:hAnsi="Arial"/>
          <w:noProof/>
          <w:sz w:val="20"/>
          <w:szCs w:val="24"/>
          <w:lang w:val="en-GB" w:eastAsia="en-GB"/>
        </w:rPr>
        <w:t>6: PC5-RRC based AS-layer configuration can be done in a two-way manner. Further details can be discussed in WI stage.</w:t>
      </w:r>
    </w:p>
    <w:p w14:paraId="49B8FB1C" w14:textId="77777777" w:rsidR="00E33532" w:rsidRPr="00E33532" w:rsidRDefault="00E33532" w:rsidP="00E335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E33532">
        <w:rPr>
          <w:rFonts w:ascii="Arial" w:eastAsia="MS Mincho" w:hAnsi="Arial"/>
          <w:noProof/>
          <w:sz w:val="20"/>
          <w:szCs w:val="24"/>
          <w:lang w:val="en-GB" w:eastAsia="en-GB"/>
        </w:rPr>
        <w:t>7: Further details on which UE to send out PC5-RRC based AS-layer configuration can be discussed in WI stage.</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220846F0" w:rsidR="00E67A80" w:rsidRPr="00C11F0A" w:rsidRDefault="00E3353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While the capability exchange is a topic that lies within the domain of both RAN1 and RAN2, RAN1 has not had any d</w:t>
      </w:r>
      <w:r w:rsidR="00351059">
        <w:rPr>
          <w:rFonts w:ascii="Times New Roman" w:hAnsi="Times New Roman"/>
          <w:sz w:val="20"/>
          <w:szCs w:val="20"/>
          <w:lang w:eastAsia="ja-JP"/>
        </w:rPr>
        <w:t>etailed discussions during the S</w:t>
      </w:r>
      <w:r>
        <w:rPr>
          <w:rFonts w:ascii="Times New Roman" w:hAnsi="Times New Roman"/>
          <w:sz w:val="20"/>
          <w:szCs w:val="20"/>
          <w:lang w:eastAsia="ja-JP"/>
        </w:rPr>
        <w:t xml:space="preserve">I stage. From RAN2 perspective, several aspects regarding the UE SL capability need to be considered before defining the capability exchange </w:t>
      </w:r>
      <w:r w:rsidR="00351059">
        <w:rPr>
          <w:rFonts w:ascii="Times New Roman" w:hAnsi="Times New Roman"/>
          <w:sz w:val="20"/>
          <w:szCs w:val="20"/>
          <w:lang w:eastAsia="ja-JP"/>
        </w:rPr>
        <w:t xml:space="preserve">mechanism </w:t>
      </w:r>
      <w:r>
        <w:rPr>
          <w:rFonts w:ascii="Times New Roman" w:hAnsi="Times New Roman"/>
          <w:sz w:val="20"/>
          <w:szCs w:val="20"/>
          <w:lang w:eastAsia="ja-JP"/>
        </w:rPr>
        <w:t>expected to take place during/after unicast connection establishment</w:t>
      </w:r>
      <w:r w:rsidR="00DC097B">
        <w:rPr>
          <w:rFonts w:ascii="Times New Roman" w:hAnsi="Times New Roman"/>
          <w:sz w:val="20"/>
          <w:szCs w:val="20"/>
          <w:lang w:eastAsia="ja-JP"/>
        </w:rPr>
        <w:t>.</w:t>
      </w:r>
      <w:r>
        <w:rPr>
          <w:rFonts w:ascii="Times New Roman" w:hAnsi="Times New Roman"/>
          <w:sz w:val="20"/>
          <w:szCs w:val="20"/>
          <w:lang w:eastAsia="ja-JP"/>
        </w:rPr>
        <w:t xml:space="preserve"> In this contribution, we discuss these aspects and present our view.</w:t>
      </w:r>
    </w:p>
    <w:p w14:paraId="63BA8D55" w14:textId="7D06DBFC" w:rsidR="00100A13" w:rsidRPr="00EA68B2" w:rsidRDefault="000760CC" w:rsidP="00934A52">
      <w:pPr>
        <w:pStyle w:val="Tdoc"/>
      </w:pPr>
      <w:r>
        <w:t>Discussion</w:t>
      </w:r>
    </w:p>
    <w:p w14:paraId="5424CCC2" w14:textId="77777777" w:rsidR="00A3213E" w:rsidRDefault="00A3213E" w:rsidP="00305CD5">
      <w:pPr>
        <w:rPr>
          <w:rFonts w:ascii="Times New Roman" w:hAnsi="Times New Roman"/>
          <w:sz w:val="20"/>
          <w:lang w:val="en-GB" w:eastAsia="zh-CN"/>
        </w:rPr>
      </w:pPr>
    </w:p>
    <w:p w14:paraId="2D0B0908" w14:textId="24C66027" w:rsidR="006A7B8B" w:rsidRDefault="00E33532" w:rsidP="00E67A80">
      <w:pPr>
        <w:rPr>
          <w:rFonts w:ascii="Times New Roman" w:hAnsi="Times New Roman"/>
          <w:sz w:val="20"/>
          <w:lang w:val="en-GB" w:eastAsia="zh-CN"/>
        </w:rPr>
      </w:pPr>
      <w:r>
        <w:rPr>
          <w:rFonts w:ascii="Times New Roman" w:hAnsi="Times New Roman"/>
          <w:sz w:val="20"/>
          <w:lang w:val="en-GB" w:eastAsia="zh-CN"/>
        </w:rPr>
        <w:t>Even though the method and procedure of exchanging SL capabilities between peer UEs involved in unicast operation was extensively discussed in the last RAN2 meeting, there w</w:t>
      </w:r>
      <w:r w:rsidR="006A7B8B">
        <w:rPr>
          <w:rFonts w:ascii="Times New Roman" w:hAnsi="Times New Roman"/>
          <w:sz w:val="20"/>
          <w:lang w:val="en-GB" w:eastAsia="zh-CN"/>
        </w:rPr>
        <w:t>as no consensus on a single way</w:t>
      </w:r>
      <w:r w:rsidR="00351059">
        <w:rPr>
          <w:rFonts w:ascii="Times New Roman" w:hAnsi="Times New Roman"/>
          <w:sz w:val="20"/>
          <w:lang w:val="en-GB" w:eastAsia="zh-CN"/>
        </w:rPr>
        <w:t xml:space="preserve"> forward</w:t>
      </w:r>
      <w:r w:rsidR="006A7B8B">
        <w:rPr>
          <w:rFonts w:ascii="Times New Roman" w:hAnsi="Times New Roman"/>
          <w:sz w:val="20"/>
          <w:lang w:val="en-GB" w:eastAsia="zh-CN"/>
        </w:rPr>
        <w:t>. Specifically, two options for exchanging the capability information as well as the exact time of signalling relative to the upper layer connection request m</w:t>
      </w:r>
      <w:r w:rsidR="00336D48">
        <w:rPr>
          <w:rFonts w:ascii="Times New Roman" w:hAnsi="Times New Roman"/>
          <w:sz w:val="20"/>
          <w:lang w:val="en-GB" w:eastAsia="zh-CN"/>
        </w:rPr>
        <w:t xml:space="preserve">essage were captured in the TR </w:t>
      </w:r>
      <w:sdt>
        <w:sdtPr>
          <w:rPr>
            <w:rFonts w:ascii="Times New Roman" w:hAnsi="Times New Roman"/>
            <w:sz w:val="20"/>
            <w:lang w:val="en-GB" w:eastAsia="zh-CN"/>
          </w:rPr>
          <w:id w:val="-474613013"/>
          <w:citation/>
        </w:sdtPr>
        <w:sdtEndPr/>
        <w:sdtContent>
          <w:r w:rsidR="00336D48">
            <w:rPr>
              <w:rFonts w:ascii="Times New Roman" w:hAnsi="Times New Roman"/>
              <w:sz w:val="20"/>
              <w:lang w:val="en-GB" w:eastAsia="zh-CN"/>
            </w:rPr>
            <w:fldChar w:fldCharType="begin"/>
          </w:r>
          <w:r w:rsidR="00336D48">
            <w:rPr>
              <w:rFonts w:ascii="Times New Roman" w:hAnsi="Times New Roman"/>
              <w:sz w:val="20"/>
              <w:lang w:eastAsia="zh-CN"/>
            </w:rPr>
            <w:instrText xml:space="preserve"> CITATION TR38885 \l 1033 </w:instrText>
          </w:r>
          <w:r w:rsidR="00336D48">
            <w:rPr>
              <w:rFonts w:ascii="Times New Roman" w:hAnsi="Times New Roman"/>
              <w:sz w:val="20"/>
              <w:lang w:val="en-GB" w:eastAsia="zh-CN"/>
            </w:rPr>
            <w:fldChar w:fldCharType="separate"/>
          </w:r>
          <w:r w:rsidR="00CD7164" w:rsidRPr="00CD7164">
            <w:rPr>
              <w:rFonts w:ascii="Times New Roman" w:hAnsi="Times New Roman"/>
              <w:noProof/>
              <w:sz w:val="20"/>
              <w:lang w:eastAsia="zh-CN"/>
            </w:rPr>
            <w:t>[2]</w:t>
          </w:r>
          <w:r w:rsidR="00336D48">
            <w:rPr>
              <w:rFonts w:ascii="Times New Roman" w:hAnsi="Times New Roman"/>
              <w:sz w:val="20"/>
              <w:lang w:val="en-GB" w:eastAsia="zh-CN"/>
            </w:rPr>
            <w:fldChar w:fldCharType="end"/>
          </w:r>
        </w:sdtContent>
      </w:sdt>
      <w:r w:rsidR="006A7B8B">
        <w:rPr>
          <w:rFonts w:ascii="Times New Roman" w:hAnsi="Times New Roman"/>
          <w:sz w:val="20"/>
          <w:lang w:val="en-GB" w:eastAsia="zh-CN"/>
        </w:rPr>
        <w:t>. We think that in order to make progress and down-select from the captured options, we need to address the basic question about the content of the capability signalling itself as well as the exact impact on the unicast connection</w:t>
      </w:r>
      <w:r w:rsidR="00351059">
        <w:rPr>
          <w:rFonts w:ascii="Times New Roman" w:hAnsi="Times New Roman"/>
          <w:sz w:val="20"/>
          <w:lang w:val="en-GB" w:eastAsia="zh-CN"/>
        </w:rPr>
        <w:t xml:space="preserve"> establishment</w:t>
      </w:r>
      <w:r w:rsidR="006A7B8B">
        <w:rPr>
          <w:rFonts w:ascii="Times New Roman" w:hAnsi="Times New Roman"/>
          <w:sz w:val="20"/>
          <w:lang w:val="en-GB" w:eastAsia="zh-CN"/>
        </w:rPr>
        <w:t>. While the former lies more in the scope of RAN1 discussions, the interplay with unicast operation needs to be addressed here. The two questions identified from previous RAN2 discussions are as follows:</w:t>
      </w:r>
    </w:p>
    <w:p w14:paraId="3ADD11CA" w14:textId="30610AEB" w:rsidR="006A7B8B" w:rsidRDefault="006A7B8B" w:rsidP="006A7B8B">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Whether the UE capability transfer procedure is triggered during or after PC5-S signalling?</w:t>
      </w:r>
    </w:p>
    <w:p w14:paraId="27562F4B" w14:textId="6D2DE16F" w:rsidR="006A7B8B" w:rsidRPr="006A7B8B" w:rsidRDefault="006A7B8B" w:rsidP="006A7B8B">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Whether the UE capability transfer is done in a one-way or two-way manner?</w:t>
      </w:r>
    </w:p>
    <w:p w14:paraId="01557B9A" w14:textId="651305C3" w:rsidR="00E33532" w:rsidRDefault="006A7B8B" w:rsidP="00E67A80">
      <w:pPr>
        <w:rPr>
          <w:rFonts w:ascii="Times New Roman" w:hAnsi="Times New Roman"/>
          <w:sz w:val="20"/>
          <w:lang w:val="en-GB" w:eastAsia="zh-CN"/>
        </w:rPr>
      </w:pPr>
      <w:r>
        <w:rPr>
          <w:rFonts w:ascii="Times New Roman" w:hAnsi="Times New Roman"/>
          <w:sz w:val="20"/>
          <w:lang w:val="en-GB" w:eastAsia="zh-CN"/>
        </w:rPr>
        <w:t>In order to answer the above questions, we think that we need to address a more fundamental question: What is the importance/relevance of peer UEs being aware of/supporting each other’s capability to whether or not the unica</w:t>
      </w:r>
      <w:r w:rsidR="002C1BA0">
        <w:rPr>
          <w:rFonts w:ascii="Times New Roman" w:hAnsi="Times New Roman"/>
          <w:sz w:val="20"/>
          <w:lang w:val="en-GB" w:eastAsia="zh-CN"/>
        </w:rPr>
        <w:t>s</w:t>
      </w:r>
      <w:r>
        <w:rPr>
          <w:rFonts w:ascii="Times New Roman" w:hAnsi="Times New Roman"/>
          <w:sz w:val="20"/>
          <w:lang w:val="en-GB" w:eastAsia="zh-CN"/>
        </w:rPr>
        <w:t>t connection is successfully established</w:t>
      </w:r>
      <w:r w:rsidR="002C1BA0">
        <w:rPr>
          <w:rFonts w:ascii="Times New Roman" w:hAnsi="Times New Roman"/>
          <w:sz w:val="20"/>
          <w:lang w:val="en-GB" w:eastAsia="zh-CN"/>
        </w:rPr>
        <w:t xml:space="preserve">? Put another way, is the exchange of capability information absolutely necessary for successful connection establishment over unicast? There are two obvious answers to this question: </w:t>
      </w:r>
    </w:p>
    <w:p w14:paraId="2EBE30D4" w14:textId="4CA0DFAC" w:rsidR="006A7B8B" w:rsidRDefault="004C2254" w:rsidP="002C1BA0">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 xml:space="preserve">Option 1: </w:t>
      </w:r>
      <w:r w:rsidR="002C1BA0">
        <w:rPr>
          <w:rFonts w:ascii="Times New Roman" w:hAnsi="Times New Roman"/>
          <w:sz w:val="20"/>
          <w:lang w:val="en-GB" w:eastAsia="zh-CN"/>
        </w:rPr>
        <w:t xml:space="preserve">The exchange of UE capability is </w:t>
      </w:r>
      <w:r w:rsidR="00351059">
        <w:rPr>
          <w:rFonts w:ascii="Times New Roman" w:hAnsi="Times New Roman"/>
          <w:sz w:val="20"/>
          <w:lang w:val="en-GB" w:eastAsia="zh-CN"/>
        </w:rPr>
        <w:t xml:space="preserve">indeed </w:t>
      </w:r>
      <w:r w:rsidR="002C1BA0">
        <w:rPr>
          <w:rFonts w:ascii="Times New Roman" w:hAnsi="Times New Roman"/>
          <w:sz w:val="20"/>
          <w:lang w:val="en-GB" w:eastAsia="zh-CN"/>
        </w:rPr>
        <w:t xml:space="preserve">essential </w:t>
      </w:r>
      <w:r w:rsidR="00C8249E">
        <w:rPr>
          <w:rFonts w:ascii="Times New Roman" w:hAnsi="Times New Roman"/>
          <w:sz w:val="20"/>
          <w:lang w:val="en-GB" w:eastAsia="zh-CN"/>
        </w:rPr>
        <w:t>for</w:t>
      </w:r>
      <w:r w:rsidR="002C1BA0">
        <w:rPr>
          <w:rFonts w:ascii="Times New Roman" w:hAnsi="Times New Roman"/>
          <w:sz w:val="20"/>
          <w:lang w:val="en-GB" w:eastAsia="zh-CN"/>
        </w:rPr>
        <w:t xml:space="preserve"> the </w:t>
      </w:r>
      <w:r w:rsidR="00C8249E">
        <w:rPr>
          <w:rFonts w:ascii="Times New Roman" w:hAnsi="Times New Roman"/>
          <w:sz w:val="20"/>
          <w:lang w:val="en-GB" w:eastAsia="zh-CN"/>
        </w:rPr>
        <w:t xml:space="preserve">upper layer </w:t>
      </w:r>
      <w:r w:rsidR="002C1BA0">
        <w:rPr>
          <w:rFonts w:ascii="Times New Roman" w:hAnsi="Times New Roman"/>
          <w:sz w:val="20"/>
          <w:lang w:val="en-GB" w:eastAsia="zh-CN"/>
        </w:rPr>
        <w:t xml:space="preserve">connection to be established and without the successful exchange/negotiation of this information between the peer UEs, the </w:t>
      </w:r>
      <w:r w:rsidR="00343C4C">
        <w:rPr>
          <w:rFonts w:ascii="Times New Roman" w:hAnsi="Times New Roman"/>
          <w:sz w:val="20"/>
          <w:lang w:val="en-GB" w:eastAsia="zh-CN"/>
        </w:rPr>
        <w:t xml:space="preserve">upper layer </w:t>
      </w:r>
      <w:r w:rsidR="002C1BA0">
        <w:rPr>
          <w:rFonts w:ascii="Times New Roman" w:hAnsi="Times New Roman"/>
          <w:sz w:val="20"/>
          <w:lang w:val="en-GB" w:eastAsia="zh-CN"/>
        </w:rPr>
        <w:t>connection cannot be successful. With this interpretation, the capability exchange</w:t>
      </w:r>
      <w:r w:rsidR="001866C4">
        <w:rPr>
          <w:rFonts w:ascii="Times New Roman" w:hAnsi="Times New Roman"/>
          <w:sz w:val="20"/>
          <w:lang w:val="en-GB" w:eastAsia="zh-CN"/>
        </w:rPr>
        <w:t xml:space="preserve"> would in principle include information about whether UE(s) support unicast operation and whether mode 1 and/or </w:t>
      </w:r>
      <w:r w:rsidR="001866C4">
        <w:rPr>
          <w:rFonts w:ascii="Times New Roman" w:hAnsi="Times New Roman"/>
          <w:sz w:val="20"/>
          <w:lang w:val="en-GB" w:eastAsia="zh-CN"/>
        </w:rPr>
        <w:lastRenderedPageBreak/>
        <w:t xml:space="preserve">mode 2 are supported. Moreover, since </w:t>
      </w:r>
      <w:r w:rsidR="004D1188">
        <w:rPr>
          <w:rFonts w:ascii="Times New Roman" w:hAnsi="Times New Roman"/>
          <w:sz w:val="20"/>
          <w:lang w:val="en-GB" w:eastAsia="zh-CN"/>
        </w:rPr>
        <w:t xml:space="preserve">the </w:t>
      </w:r>
      <w:r w:rsidR="00351059">
        <w:rPr>
          <w:rFonts w:ascii="Times New Roman" w:hAnsi="Times New Roman"/>
          <w:sz w:val="20"/>
          <w:lang w:val="en-GB" w:eastAsia="zh-CN"/>
        </w:rPr>
        <w:t xml:space="preserve">initial </w:t>
      </w:r>
      <w:r w:rsidR="004D1188">
        <w:rPr>
          <w:rFonts w:ascii="Times New Roman" w:hAnsi="Times New Roman"/>
          <w:sz w:val="20"/>
          <w:lang w:val="en-GB" w:eastAsia="zh-CN"/>
        </w:rPr>
        <w:t xml:space="preserve">connection request message over PC5-S </w:t>
      </w:r>
      <w:r w:rsidR="00351059">
        <w:rPr>
          <w:rFonts w:ascii="Times New Roman" w:hAnsi="Times New Roman"/>
          <w:sz w:val="20"/>
          <w:lang w:val="en-GB" w:eastAsia="zh-CN"/>
        </w:rPr>
        <w:t xml:space="preserve">by the upper layer </w:t>
      </w:r>
      <w:r w:rsidR="004D1188">
        <w:rPr>
          <w:rFonts w:ascii="Times New Roman" w:hAnsi="Times New Roman"/>
          <w:sz w:val="20"/>
          <w:lang w:val="en-GB" w:eastAsia="zh-CN"/>
        </w:rPr>
        <w:t xml:space="preserve">has to be sent in a broadcast fashion, the capability exchange message </w:t>
      </w:r>
      <w:r w:rsidR="005D717B">
        <w:rPr>
          <w:rFonts w:ascii="Times New Roman" w:hAnsi="Times New Roman"/>
          <w:sz w:val="20"/>
          <w:lang w:val="en-GB" w:eastAsia="zh-CN"/>
        </w:rPr>
        <w:t xml:space="preserve">may only be performed once </w:t>
      </w:r>
      <w:r w:rsidR="00C20412">
        <w:rPr>
          <w:rFonts w:ascii="Times New Roman" w:hAnsi="Times New Roman"/>
          <w:sz w:val="20"/>
          <w:lang w:val="en-GB" w:eastAsia="zh-CN"/>
        </w:rPr>
        <w:t>1:1</w:t>
      </w:r>
      <w:r w:rsidR="005D717B">
        <w:rPr>
          <w:rFonts w:ascii="Times New Roman" w:hAnsi="Times New Roman"/>
          <w:sz w:val="20"/>
          <w:lang w:val="en-GB" w:eastAsia="zh-CN"/>
        </w:rPr>
        <w:t xml:space="preserve"> security </w:t>
      </w:r>
      <w:r w:rsidR="00C20412">
        <w:rPr>
          <w:rFonts w:ascii="Times New Roman" w:hAnsi="Times New Roman"/>
          <w:sz w:val="20"/>
          <w:lang w:val="en-GB" w:eastAsia="zh-CN"/>
        </w:rPr>
        <w:t>is</w:t>
      </w:r>
      <w:r w:rsidR="005D717B">
        <w:rPr>
          <w:rFonts w:ascii="Times New Roman" w:hAnsi="Times New Roman"/>
          <w:sz w:val="20"/>
          <w:lang w:val="en-GB" w:eastAsia="zh-CN"/>
        </w:rPr>
        <w:t xml:space="preserve"> successfully established </w:t>
      </w:r>
      <w:r w:rsidR="00C20412">
        <w:rPr>
          <w:rFonts w:ascii="Times New Roman" w:hAnsi="Times New Roman"/>
          <w:sz w:val="20"/>
          <w:lang w:val="en-GB" w:eastAsia="zh-CN"/>
        </w:rPr>
        <w:t xml:space="preserve">between peer UEs </w:t>
      </w:r>
      <w:r w:rsidR="005D717B">
        <w:rPr>
          <w:rFonts w:ascii="Times New Roman" w:hAnsi="Times New Roman"/>
          <w:sz w:val="20"/>
          <w:lang w:val="en-GB" w:eastAsia="zh-CN"/>
        </w:rPr>
        <w:t>and the Direct Communication Accept Response can only be sent subsequently</w:t>
      </w:r>
      <w:r w:rsidR="00C20412">
        <w:rPr>
          <w:rFonts w:ascii="Times New Roman" w:hAnsi="Times New Roman"/>
          <w:sz w:val="20"/>
          <w:lang w:val="en-GB" w:eastAsia="zh-CN"/>
        </w:rPr>
        <w:t>.</w:t>
      </w:r>
    </w:p>
    <w:p w14:paraId="47512DFB" w14:textId="08565028" w:rsidR="001866C4" w:rsidRDefault="004C2254" w:rsidP="002C1BA0">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Option</w:t>
      </w:r>
      <w:r w:rsidR="00351059">
        <w:rPr>
          <w:rFonts w:ascii="Times New Roman" w:hAnsi="Times New Roman"/>
          <w:sz w:val="20"/>
          <w:lang w:val="en-GB" w:eastAsia="zh-CN"/>
        </w:rPr>
        <w:t xml:space="preserve"> </w:t>
      </w:r>
      <w:r>
        <w:rPr>
          <w:rFonts w:ascii="Times New Roman" w:hAnsi="Times New Roman"/>
          <w:sz w:val="20"/>
          <w:lang w:val="en-GB" w:eastAsia="zh-CN"/>
        </w:rPr>
        <w:t xml:space="preserve">2: </w:t>
      </w:r>
      <w:r w:rsidR="001866C4">
        <w:rPr>
          <w:rFonts w:ascii="Times New Roman" w:hAnsi="Times New Roman"/>
          <w:sz w:val="20"/>
          <w:lang w:val="en-GB" w:eastAsia="zh-CN"/>
        </w:rPr>
        <w:t xml:space="preserve">Alternatively, the UE capability information is not considered essential for the unicast operation and that the connection can still operate and meet the minimum QoS requirements for the relevant V2X service without necessarily exchanging the capability information during the </w:t>
      </w:r>
      <w:r w:rsidR="00343C4C">
        <w:rPr>
          <w:rFonts w:ascii="Times New Roman" w:hAnsi="Times New Roman"/>
          <w:sz w:val="20"/>
          <w:lang w:val="en-GB" w:eastAsia="zh-CN"/>
        </w:rPr>
        <w:t xml:space="preserve">upper layer </w:t>
      </w:r>
      <w:r w:rsidR="001866C4">
        <w:rPr>
          <w:rFonts w:ascii="Times New Roman" w:hAnsi="Times New Roman"/>
          <w:sz w:val="20"/>
          <w:lang w:val="en-GB" w:eastAsia="zh-CN"/>
        </w:rPr>
        <w:t xml:space="preserve">connection establishment procedure. Note that this option implies the </w:t>
      </w:r>
      <w:r w:rsidR="004D1188">
        <w:rPr>
          <w:rFonts w:ascii="Times New Roman" w:hAnsi="Times New Roman"/>
          <w:sz w:val="20"/>
          <w:lang w:val="en-GB" w:eastAsia="zh-CN"/>
        </w:rPr>
        <w:t xml:space="preserve">potential </w:t>
      </w:r>
      <w:r w:rsidR="001866C4">
        <w:rPr>
          <w:rFonts w:ascii="Times New Roman" w:hAnsi="Times New Roman"/>
          <w:sz w:val="20"/>
          <w:lang w:val="en-GB" w:eastAsia="zh-CN"/>
        </w:rPr>
        <w:t xml:space="preserve">need for some default capability information that is known </w:t>
      </w:r>
      <w:r>
        <w:rPr>
          <w:rFonts w:ascii="Times New Roman" w:hAnsi="Times New Roman"/>
          <w:sz w:val="20"/>
          <w:lang w:val="en-GB" w:eastAsia="zh-CN"/>
        </w:rPr>
        <w:t xml:space="preserve">by both UEs </w:t>
      </w:r>
      <w:r w:rsidR="001866C4">
        <w:rPr>
          <w:rFonts w:ascii="Times New Roman" w:hAnsi="Times New Roman"/>
          <w:sz w:val="20"/>
          <w:lang w:val="en-GB" w:eastAsia="zh-CN"/>
        </w:rPr>
        <w:t xml:space="preserve">prior to the connection </w:t>
      </w:r>
      <w:r w:rsidR="00351059">
        <w:rPr>
          <w:rFonts w:ascii="Times New Roman" w:hAnsi="Times New Roman"/>
          <w:sz w:val="20"/>
          <w:lang w:val="en-GB" w:eastAsia="zh-CN"/>
        </w:rPr>
        <w:t>being established</w:t>
      </w:r>
      <w:r>
        <w:rPr>
          <w:rFonts w:ascii="Times New Roman" w:hAnsi="Times New Roman"/>
          <w:sz w:val="20"/>
          <w:lang w:val="en-GB" w:eastAsia="zh-CN"/>
        </w:rPr>
        <w:t xml:space="preserve">. </w:t>
      </w:r>
    </w:p>
    <w:p w14:paraId="4D01F091" w14:textId="444C1E45" w:rsidR="004C2254" w:rsidRDefault="004C2254" w:rsidP="006D692A">
      <w:pPr>
        <w:rPr>
          <w:rFonts w:ascii="Times New Roman" w:hAnsi="Times New Roman"/>
          <w:sz w:val="20"/>
          <w:lang w:val="en-GB" w:eastAsia="zh-CN"/>
        </w:rPr>
      </w:pPr>
      <w:r>
        <w:rPr>
          <w:rFonts w:ascii="Times New Roman" w:hAnsi="Times New Roman"/>
          <w:sz w:val="20"/>
          <w:lang w:val="en-GB" w:eastAsia="zh-CN"/>
        </w:rPr>
        <w:t>While both options are viable, they point towards differ</w:t>
      </w:r>
      <w:r w:rsidR="00336D48">
        <w:rPr>
          <w:rFonts w:ascii="Times New Roman" w:hAnsi="Times New Roman"/>
          <w:sz w:val="20"/>
          <w:lang w:val="en-GB" w:eastAsia="zh-CN"/>
        </w:rPr>
        <w:t xml:space="preserve">ent solutions in the TR </w:t>
      </w:r>
      <w:sdt>
        <w:sdtPr>
          <w:rPr>
            <w:rFonts w:ascii="Times New Roman" w:hAnsi="Times New Roman"/>
            <w:sz w:val="20"/>
            <w:lang w:val="en-GB" w:eastAsia="zh-CN"/>
          </w:rPr>
          <w:id w:val="-1175729542"/>
          <w:citation/>
        </w:sdtPr>
        <w:sdtEndPr/>
        <w:sdtContent>
          <w:r w:rsidR="00336D48">
            <w:rPr>
              <w:rFonts w:ascii="Times New Roman" w:hAnsi="Times New Roman"/>
              <w:sz w:val="20"/>
              <w:lang w:val="en-GB" w:eastAsia="zh-CN"/>
            </w:rPr>
            <w:fldChar w:fldCharType="begin"/>
          </w:r>
          <w:r w:rsidR="00336D48">
            <w:rPr>
              <w:rFonts w:ascii="Times New Roman" w:hAnsi="Times New Roman"/>
              <w:sz w:val="20"/>
              <w:lang w:eastAsia="zh-CN"/>
            </w:rPr>
            <w:instrText xml:space="preserve"> CITATION TR38885 \l 1033 </w:instrText>
          </w:r>
          <w:r w:rsidR="00336D48">
            <w:rPr>
              <w:rFonts w:ascii="Times New Roman" w:hAnsi="Times New Roman"/>
              <w:sz w:val="20"/>
              <w:lang w:val="en-GB" w:eastAsia="zh-CN"/>
            </w:rPr>
            <w:fldChar w:fldCharType="separate"/>
          </w:r>
          <w:r w:rsidR="00CD7164" w:rsidRPr="00CD7164">
            <w:rPr>
              <w:rFonts w:ascii="Times New Roman" w:hAnsi="Times New Roman"/>
              <w:noProof/>
              <w:sz w:val="20"/>
              <w:lang w:eastAsia="zh-CN"/>
            </w:rPr>
            <w:t>[2]</w:t>
          </w:r>
          <w:r w:rsidR="00336D48">
            <w:rPr>
              <w:rFonts w:ascii="Times New Roman" w:hAnsi="Times New Roman"/>
              <w:sz w:val="20"/>
              <w:lang w:val="en-GB" w:eastAsia="zh-CN"/>
            </w:rPr>
            <w:fldChar w:fldCharType="end"/>
          </w:r>
        </w:sdtContent>
      </w:sdt>
      <w:r>
        <w:rPr>
          <w:rFonts w:ascii="Times New Roman" w:hAnsi="Times New Roman"/>
          <w:sz w:val="20"/>
          <w:lang w:val="en-GB" w:eastAsia="zh-CN"/>
        </w:rPr>
        <w:t>. In case of option</w:t>
      </w:r>
      <w:r w:rsidR="00351059">
        <w:rPr>
          <w:rFonts w:ascii="Times New Roman" w:hAnsi="Times New Roman"/>
          <w:sz w:val="20"/>
          <w:lang w:val="en-GB" w:eastAsia="zh-CN"/>
        </w:rPr>
        <w:t xml:space="preserve"> </w:t>
      </w:r>
      <w:r>
        <w:rPr>
          <w:rFonts w:ascii="Times New Roman" w:hAnsi="Times New Roman"/>
          <w:sz w:val="20"/>
          <w:lang w:val="en-GB" w:eastAsia="zh-CN"/>
        </w:rPr>
        <w:t xml:space="preserve">1, since UE capability is critical to </w:t>
      </w:r>
      <w:r w:rsidR="00343C4C">
        <w:rPr>
          <w:rFonts w:ascii="Times New Roman" w:hAnsi="Times New Roman"/>
          <w:sz w:val="20"/>
          <w:lang w:val="en-GB" w:eastAsia="zh-CN"/>
        </w:rPr>
        <w:t xml:space="preserve">upper layer </w:t>
      </w:r>
      <w:r>
        <w:rPr>
          <w:rFonts w:ascii="Times New Roman" w:hAnsi="Times New Roman"/>
          <w:sz w:val="20"/>
          <w:lang w:val="en-GB" w:eastAsia="zh-CN"/>
        </w:rPr>
        <w:t xml:space="preserve">connection establishment, the exchange has to necessarily happen during the connection establishment phase by the upper layer. This is because, depending on capability mismatch between the UEs, the connection request response could be different. Moreover, the capability exchange </w:t>
      </w:r>
      <w:r w:rsidR="006D692A">
        <w:rPr>
          <w:rFonts w:ascii="Times New Roman" w:hAnsi="Times New Roman"/>
          <w:sz w:val="20"/>
          <w:lang w:val="en-GB" w:eastAsia="zh-CN"/>
        </w:rPr>
        <w:t xml:space="preserve">in this case might happen before the Direct Communication Accept message is received from the peer UE, since the UEs have to ensure that the unicast connection can be established based on the agreed upon capabilities. This introduces </w:t>
      </w:r>
      <w:r w:rsidR="003B384A">
        <w:rPr>
          <w:rFonts w:ascii="Times New Roman" w:hAnsi="Times New Roman"/>
          <w:sz w:val="20"/>
          <w:lang w:val="en-GB" w:eastAsia="zh-CN"/>
        </w:rPr>
        <w:t>restrictions regarding the exact timing on when this signalling is exchanged, since it has to happen once security mode has been agreed upon by the UEs but before the connection is actually established, leading to unnecessary latency in setting up the connection</w:t>
      </w:r>
      <w:r w:rsidR="006D692A">
        <w:rPr>
          <w:rFonts w:ascii="Times New Roman" w:hAnsi="Times New Roman"/>
          <w:sz w:val="20"/>
          <w:lang w:val="en-GB" w:eastAsia="zh-CN"/>
        </w:rPr>
        <w:t xml:space="preserve"> (see companion contribution </w:t>
      </w:r>
      <w:sdt>
        <w:sdtPr>
          <w:rPr>
            <w:rFonts w:ascii="Times New Roman" w:hAnsi="Times New Roman"/>
            <w:sz w:val="20"/>
            <w:lang w:val="en-GB" w:eastAsia="zh-CN"/>
          </w:rPr>
          <w:id w:val="1336352963"/>
          <w:citation/>
        </w:sdtPr>
        <w:sdtEndPr/>
        <w:sdtContent>
          <w:r w:rsidR="00CD7164">
            <w:rPr>
              <w:rFonts w:ascii="Times New Roman" w:hAnsi="Times New Roman"/>
              <w:sz w:val="20"/>
              <w:lang w:val="en-GB" w:eastAsia="zh-CN"/>
            </w:rPr>
            <w:fldChar w:fldCharType="begin"/>
          </w:r>
          <w:r w:rsidR="00CD7164">
            <w:rPr>
              <w:rFonts w:ascii="Times New Roman" w:hAnsi="Times New Roman"/>
              <w:sz w:val="20"/>
              <w:lang w:eastAsia="zh-CN"/>
            </w:rPr>
            <w:instrText xml:space="preserve"> CITATION RRCConnectionNeed \l 1033 </w:instrText>
          </w:r>
          <w:r w:rsidR="00CD7164">
            <w:rPr>
              <w:rFonts w:ascii="Times New Roman" w:hAnsi="Times New Roman"/>
              <w:sz w:val="20"/>
              <w:lang w:val="en-GB" w:eastAsia="zh-CN"/>
            </w:rPr>
            <w:fldChar w:fldCharType="separate"/>
          </w:r>
          <w:r w:rsidR="00CD7164" w:rsidRPr="00CD7164">
            <w:rPr>
              <w:rFonts w:ascii="Times New Roman" w:hAnsi="Times New Roman"/>
              <w:noProof/>
              <w:sz w:val="20"/>
              <w:lang w:eastAsia="zh-CN"/>
            </w:rPr>
            <w:t>[3]</w:t>
          </w:r>
          <w:r w:rsidR="00CD7164">
            <w:rPr>
              <w:rFonts w:ascii="Times New Roman" w:hAnsi="Times New Roman"/>
              <w:sz w:val="20"/>
              <w:lang w:val="en-GB" w:eastAsia="zh-CN"/>
            </w:rPr>
            <w:fldChar w:fldCharType="end"/>
          </w:r>
        </w:sdtContent>
      </w:sdt>
      <w:r w:rsidR="006D692A">
        <w:rPr>
          <w:rFonts w:ascii="Times New Roman" w:hAnsi="Times New Roman"/>
          <w:sz w:val="20"/>
          <w:lang w:val="en-GB" w:eastAsia="zh-CN"/>
        </w:rPr>
        <w:t xml:space="preserve"> for more details).</w:t>
      </w:r>
      <w:r>
        <w:rPr>
          <w:rFonts w:ascii="Times New Roman" w:hAnsi="Times New Roman"/>
          <w:sz w:val="20"/>
          <w:lang w:val="en-GB" w:eastAsia="zh-CN"/>
        </w:rPr>
        <w:t xml:space="preserve"> Conversely, for the case of option2, the exchange can </w:t>
      </w:r>
      <w:r w:rsidR="006D692A">
        <w:rPr>
          <w:rFonts w:ascii="Times New Roman" w:hAnsi="Times New Roman"/>
          <w:sz w:val="20"/>
          <w:lang w:val="en-GB" w:eastAsia="zh-CN"/>
        </w:rPr>
        <w:t>happen</w:t>
      </w:r>
      <w:r>
        <w:rPr>
          <w:rFonts w:ascii="Times New Roman" w:hAnsi="Times New Roman"/>
          <w:sz w:val="20"/>
          <w:lang w:val="en-GB" w:eastAsia="zh-CN"/>
        </w:rPr>
        <w:t xml:space="preserve"> after connection establishment</w:t>
      </w:r>
      <w:r w:rsidR="006D692A">
        <w:rPr>
          <w:rFonts w:ascii="Times New Roman" w:hAnsi="Times New Roman"/>
          <w:sz w:val="20"/>
          <w:lang w:val="en-GB" w:eastAsia="zh-CN"/>
        </w:rPr>
        <w:t xml:space="preserve"> (from upper layer perspective)</w:t>
      </w:r>
      <w:r>
        <w:rPr>
          <w:rFonts w:ascii="Times New Roman" w:hAnsi="Times New Roman"/>
          <w:sz w:val="20"/>
          <w:lang w:val="en-GB" w:eastAsia="zh-CN"/>
        </w:rPr>
        <w:t>, since there is no direct dependence on connection establishment itself</w:t>
      </w:r>
      <w:r w:rsidR="004D1188">
        <w:rPr>
          <w:rFonts w:ascii="Times New Roman" w:hAnsi="Times New Roman"/>
          <w:sz w:val="20"/>
          <w:lang w:val="en-GB" w:eastAsia="zh-CN"/>
        </w:rPr>
        <w:t>. In</w:t>
      </w:r>
      <w:r w:rsidR="00684FB4">
        <w:rPr>
          <w:rFonts w:ascii="Times New Roman" w:hAnsi="Times New Roman"/>
          <w:sz w:val="20"/>
          <w:lang w:val="en-GB" w:eastAsia="zh-CN"/>
        </w:rPr>
        <w:t xml:space="preserve"> </w:t>
      </w:r>
      <w:r w:rsidR="004D1188">
        <w:rPr>
          <w:rFonts w:ascii="Times New Roman" w:hAnsi="Times New Roman"/>
          <w:sz w:val="20"/>
          <w:lang w:val="en-GB" w:eastAsia="zh-CN"/>
        </w:rPr>
        <w:t>fact, if both UEs support some default set of capabilities, the actual capability exchange can happen</w:t>
      </w:r>
      <w:r w:rsidR="00351059">
        <w:rPr>
          <w:rFonts w:ascii="Times New Roman" w:hAnsi="Times New Roman"/>
          <w:sz w:val="20"/>
          <w:lang w:val="en-GB" w:eastAsia="zh-CN"/>
        </w:rPr>
        <w:t xml:space="preserve"> at</w:t>
      </w:r>
      <w:r w:rsidR="004D1188">
        <w:rPr>
          <w:rFonts w:ascii="Times New Roman" w:hAnsi="Times New Roman"/>
          <w:sz w:val="20"/>
          <w:lang w:val="en-GB" w:eastAsia="zh-CN"/>
        </w:rPr>
        <w:t xml:space="preserve"> any time before data transmission</w:t>
      </w:r>
      <w:r>
        <w:rPr>
          <w:rFonts w:ascii="Times New Roman" w:hAnsi="Times New Roman"/>
          <w:sz w:val="20"/>
          <w:lang w:val="en-GB" w:eastAsia="zh-CN"/>
        </w:rPr>
        <w:t>.</w:t>
      </w:r>
      <w:r w:rsidR="006D692A">
        <w:rPr>
          <w:rFonts w:ascii="Times New Roman" w:hAnsi="Times New Roman"/>
          <w:sz w:val="20"/>
          <w:lang w:val="en-GB" w:eastAsia="zh-CN"/>
        </w:rPr>
        <w:t xml:space="preserve"> T</w:t>
      </w:r>
      <w:r w:rsidR="004D1188">
        <w:rPr>
          <w:rFonts w:ascii="Times New Roman" w:hAnsi="Times New Roman"/>
          <w:sz w:val="20"/>
          <w:lang w:val="en-GB" w:eastAsia="zh-CN"/>
        </w:rPr>
        <w:t>he capability transfer can either be a one-step procedure to save signalling overhead or base</w:t>
      </w:r>
      <w:r w:rsidR="006D692A">
        <w:rPr>
          <w:rFonts w:ascii="Times New Roman" w:hAnsi="Times New Roman"/>
          <w:sz w:val="20"/>
          <w:lang w:val="en-GB" w:eastAsia="zh-CN"/>
        </w:rPr>
        <w:t>d on a 2-step request response format</w:t>
      </w:r>
      <w:r w:rsidR="004D1188">
        <w:rPr>
          <w:rFonts w:ascii="Times New Roman" w:hAnsi="Times New Roman"/>
          <w:sz w:val="20"/>
          <w:lang w:val="en-GB" w:eastAsia="zh-CN"/>
        </w:rPr>
        <w:t xml:space="preserve">. </w:t>
      </w:r>
      <w:r w:rsidR="003B384A">
        <w:rPr>
          <w:rFonts w:ascii="Times New Roman" w:hAnsi="Times New Roman"/>
          <w:sz w:val="20"/>
          <w:lang w:val="en-GB" w:eastAsia="zh-CN"/>
        </w:rPr>
        <w:t>Alternatively, since there are no timing restrictions on this exchange with regards to connection set up, it can be sent alongside the AS layer SLRB configuration exchange over PC5-RRC</w:t>
      </w:r>
      <w:r w:rsidR="00F02718">
        <w:rPr>
          <w:rFonts w:ascii="Times New Roman" w:hAnsi="Times New Roman"/>
          <w:sz w:val="20"/>
          <w:lang w:val="en-GB" w:eastAsia="zh-CN"/>
        </w:rPr>
        <w:t>, i.e. after the connection is established from the upper layer perspective</w:t>
      </w:r>
      <w:r w:rsidR="003B384A">
        <w:rPr>
          <w:rFonts w:ascii="Times New Roman" w:hAnsi="Times New Roman"/>
          <w:sz w:val="20"/>
          <w:lang w:val="en-GB" w:eastAsia="zh-CN"/>
        </w:rPr>
        <w:t>. This would simplify the procedure as well as reduce the overhead of signalling.</w:t>
      </w:r>
    </w:p>
    <w:p w14:paraId="09D7C80A" w14:textId="77777777" w:rsidR="004D1188" w:rsidRDefault="004D1188" w:rsidP="004C2254">
      <w:pPr>
        <w:rPr>
          <w:rFonts w:ascii="Times New Roman" w:hAnsi="Times New Roman"/>
          <w:sz w:val="20"/>
          <w:lang w:val="en-GB" w:eastAsia="zh-CN"/>
        </w:rPr>
      </w:pPr>
    </w:p>
    <w:p w14:paraId="16583589" w14:textId="77777777" w:rsidR="00F97472" w:rsidRDefault="004D1188" w:rsidP="004C2254">
      <w:pPr>
        <w:rPr>
          <w:rFonts w:ascii="Times New Roman" w:hAnsi="Times New Roman"/>
          <w:sz w:val="20"/>
          <w:lang w:val="en-GB" w:eastAsia="zh-CN"/>
        </w:rPr>
      </w:pPr>
      <w:r>
        <w:rPr>
          <w:rFonts w:ascii="Times New Roman" w:hAnsi="Times New Roman"/>
          <w:sz w:val="20"/>
          <w:lang w:val="en-GB" w:eastAsia="zh-CN"/>
        </w:rPr>
        <w:t>In our view, RAN2 first needs to address and seek to answer the question raised above, i.e. is the exchange of SL capability information considered essential for unicast connection establishment? In this regard, the two options detailed above can be considered as a baseline for further discussion and decision. We think that since the support of unicast operation over sidelink its</w:t>
      </w:r>
      <w:r w:rsidR="00351059">
        <w:rPr>
          <w:rFonts w:ascii="Times New Roman" w:hAnsi="Times New Roman"/>
          <w:sz w:val="20"/>
          <w:lang w:val="en-GB" w:eastAsia="zh-CN"/>
        </w:rPr>
        <w:t>elf is expected to be optional</w:t>
      </w:r>
      <w:r>
        <w:rPr>
          <w:rFonts w:ascii="Times New Roman" w:hAnsi="Times New Roman"/>
          <w:sz w:val="20"/>
          <w:lang w:val="en-GB" w:eastAsia="zh-CN"/>
        </w:rPr>
        <w:t xml:space="preserve"> based on capability, for two UEs supporting such capability for unicast operation, the exchange of ot</w:t>
      </w:r>
      <w:r w:rsidR="00351059">
        <w:rPr>
          <w:rFonts w:ascii="Times New Roman" w:hAnsi="Times New Roman"/>
          <w:sz w:val="20"/>
          <w:lang w:val="en-GB" w:eastAsia="zh-CN"/>
        </w:rPr>
        <w:t>her SL capability information c</w:t>
      </w:r>
      <w:r>
        <w:rPr>
          <w:rFonts w:ascii="Times New Roman" w:hAnsi="Times New Roman"/>
          <w:sz w:val="20"/>
          <w:lang w:val="en-GB" w:eastAsia="zh-CN"/>
        </w:rPr>
        <w:t>ould be auxiliary to the connection establishment (i.e. option 2)</w:t>
      </w:r>
      <w:r w:rsidR="00684FB4">
        <w:rPr>
          <w:rFonts w:ascii="Times New Roman" w:hAnsi="Times New Roman"/>
          <w:sz w:val="20"/>
          <w:lang w:val="en-GB" w:eastAsia="zh-CN"/>
        </w:rPr>
        <w:t xml:space="preserve">. </w:t>
      </w:r>
      <w:r w:rsidR="00F97472">
        <w:rPr>
          <w:rFonts w:ascii="Times New Roman" w:hAnsi="Times New Roman"/>
          <w:sz w:val="20"/>
          <w:lang w:val="en-GB" w:eastAsia="zh-CN"/>
        </w:rPr>
        <w:t xml:space="preserve">Therefore, we propose to support option 2, i.e. UE capability exchange is performed after the connection is established from upper layer perspective. </w:t>
      </w:r>
      <w:r w:rsidR="00684FB4">
        <w:rPr>
          <w:rFonts w:ascii="Times New Roman" w:hAnsi="Times New Roman"/>
          <w:sz w:val="20"/>
          <w:lang w:val="en-GB" w:eastAsia="zh-CN"/>
        </w:rPr>
        <w:t xml:space="preserve">In this case, </w:t>
      </w:r>
      <w:r w:rsidR="00351059">
        <w:rPr>
          <w:rFonts w:ascii="Times New Roman" w:hAnsi="Times New Roman"/>
          <w:sz w:val="20"/>
          <w:lang w:val="en-GB" w:eastAsia="zh-CN"/>
        </w:rPr>
        <w:t xml:space="preserve">some </w:t>
      </w:r>
      <w:r w:rsidR="00684FB4">
        <w:rPr>
          <w:rFonts w:ascii="Times New Roman" w:hAnsi="Times New Roman"/>
          <w:sz w:val="20"/>
          <w:lang w:val="en-GB" w:eastAsia="zh-CN"/>
        </w:rPr>
        <w:t>minimum/default capability to be supported by all UEs which support unicast operation over sidelink</w:t>
      </w:r>
      <w:r w:rsidR="00351059">
        <w:rPr>
          <w:rFonts w:ascii="Times New Roman" w:hAnsi="Times New Roman"/>
          <w:sz w:val="20"/>
          <w:lang w:val="en-GB" w:eastAsia="zh-CN"/>
        </w:rPr>
        <w:t xml:space="preserve"> can be defined</w:t>
      </w:r>
      <w:r w:rsidR="00684FB4">
        <w:rPr>
          <w:rFonts w:ascii="Times New Roman" w:hAnsi="Times New Roman"/>
          <w:sz w:val="20"/>
          <w:lang w:val="en-GB" w:eastAsia="zh-CN"/>
        </w:rPr>
        <w:t xml:space="preserve">, which meets the minimum QoS requirements applicable for advanced V2X use cases. </w:t>
      </w:r>
    </w:p>
    <w:p w14:paraId="1CEEC0B0" w14:textId="77777777" w:rsidR="006A7B8B" w:rsidRDefault="006A7B8B" w:rsidP="00E67A80">
      <w:pPr>
        <w:rPr>
          <w:rFonts w:ascii="Times New Roman" w:hAnsi="Times New Roman"/>
          <w:sz w:val="20"/>
          <w:lang w:val="en-GB" w:eastAsia="zh-CN"/>
        </w:rPr>
      </w:pPr>
    </w:p>
    <w:p w14:paraId="7058AFBB" w14:textId="77777777" w:rsidR="00E67A80" w:rsidRPr="00E67A80" w:rsidRDefault="00E67A80" w:rsidP="00E67A80">
      <w:pPr>
        <w:rPr>
          <w:rFonts w:ascii="Times New Roman" w:hAnsi="Times New Roman"/>
          <w:sz w:val="20"/>
          <w:lang w:val="en-GB" w:eastAsia="zh-CN"/>
        </w:rPr>
      </w:pPr>
    </w:p>
    <w:p w14:paraId="6D225D77" w14:textId="0E89095D" w:rsidR="00EF0145" w:rsidRDefault="00EF0145"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22C9F">
        <w:rPr>
          <w:rFonts w:ascii="Times New Roman" w:eastAsia="Times New Roman" w:hAnsi="Times New Roman"/>
          <w:b/>
          <w:bCs/>
          <w:sz w:val="20"/>
          <w:szCs w:val="20"/>
          <w:u w:val="single"/>
          <w:lang w:val="en-GB" w:eastAsia="zh-CN"/>
        </w:rPr>
        <w:t>:</w:t>
      </w:r>
      <w:r w:rsidR="00F22C9F">
        <w:rPr>
          <w:rFonts w:ascii="Times New Roman" w:eastAsia="Times New Roman" w:hAnsi="Times New Roman"/>
          <w:b/>
          <w:bCs/>
          <w:sz w:val="20"/>
          <w:szCs w:val="20"/>
          <w:lang w:val="en-GB" w:eastAsia="zh-CN"/>
        </w:rPr>
        <w:tab/>
      </w:r>
      <w:r w:rsidR="00684FB4">
        <w:rPr>
          <w:rFonts w:ascii="Times New Roman" w:eastAsia="Times New Roman" w:hAnsi="Times New Roman"/>
          <w:bCs/>
          <w:i/>
          <w:sz w:val="20"/>
          <w:szCs w:val="20"/>
          <w:lang w:val="en-GB" w:eastAsia="zh-CN"/>
        </w:rPr>
        <w:t xml:space="preserve">The role of UE capability in successful connection establishment needs to be addressed in order to </w:t>
      </w:r>
      <w:r w:rsidR="00A22006">
        <w:rPr>
          <w:rFonts w:ascii="Times New Roman" w:eastAsia="Times New Roman" w:hAnsi="Times New Roman"/>
          <w:bCs/>
          <w:i/>
          <w:sz w:val="20"/>
          <w:szCs w:val="20"/>
          <w:lang w:val="en-GB" w:eastAsia="zh-CN"/>
        </w:rPr>
        <w:t>down-select</w:t>
      </w:r>
      <w:r w:rsidR="00684FB4">
        <w:rPr>
          <w:rFonts w:ascii="Times New Roman" w:eastAsia="Times New Roman" w:hAnsi="Times New Roman"/>
          <w:bCs/>
          <w:i/>
          <w:sz w:val="20"/>
          <w:szCs w:val="20"/>
          <w:lang w:val="en-GB" w:eastAsia="zh-CN"/>
        </w:rPr>
        <w:t xml:space="preserve"> the signalling structure/mechanism</w:t>
      </w:r>
      <w:r w:rsidR="00A22006">
        <w:rPr>
          <w:rFonts w:ascii="Times New Roman" w:eastAsia="Times New Roman" w:hAnsi="Times New Roman"/>
          <w:bCs/>
          <w:i/>
          <w:sz w:val="20"/>
          <w:szCs w:val="20"/>
          <w:lang w:val="en-GB" w:eastAsia="zh-CN"/>
        </w:rPr>
        <w:t xml:space="preserve"> for UE capability exchange</w:t>
      </w:r>
      <w:r w:rsidR="00F22C9F">
        <w:rPr>
          <w:rFonts w:ascii="Times New Roman" w:eastAsia="Times New Roman" w:hAnsi="Times New Roman"/>
          <w:bCs/>
          <w:i/>
          <w:sz w:val="20"/>
          <w:szCs w:val="20"/>
          <w:lang w:val="en-GB" w:eastAsia="zh-CN"/>
        </w:rPr>
        <w:t>.</w:t>
      </w:r>
    </w:p>
    <w:p w14:paraId="6FEFB792" w14:textId="3A38DF0C" w:rsidR="00A22006"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40DDE">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A22006">
        <w:rPr>
          <w:rFonts w:ascii="Times New Roman" w:eastAsia="Times New Roman" w:hAnsi="Times New Roman"/>
          <w:bCs/>
          <w:i/>
          <w:sz w:val="20"/>
          <w:szCs w:val="20"/>
          <w:lang w:val="en-GB" w:eastAsia="zh-CN"/>
        </w:rPr>
        <w:t>RAN2 to discuss whether the SL UE capability information is essential to unicast connection establishment and the need for defining default SL capability, based on options 1 and 2 discussed above.</w:t>
      </w:r>
    </w:p>
    <w:p w14:paraId="3BCB4ED2" w14:textId="4AF0537F" w:rsidR="00A22006" w:rsidRDefault="00351059" w:rsidP="00336D48">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40DDE">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w:t>
      </w:r>
      <w:r w:rsidR="00F97472">
        <w:rPr>
          <w:rFonts w:ascii="Times New Roman" w:eastAsia="Times New Roman" w:hAnsi="Times New Roman"/>
          <w:bCs/>
          <w:i/>
          <w:sz w:val="20"/>
          <w:szCs w:val="20"/>
          <w:lang w:val="en-GB" w:eastAsia="zh-CN"/>
        </w:rPr>
        <w:t xml:space="preserve">is proposed to </w:t>
      </w:r>
      <w:r>
        <w:rPr>
          <w:rFonts w:ascii="Times New Roman" w:eastAsia="Times New Roman" w:hAnsi="Times New Roman"/>
          <w:bCs/>
          <w:i/>
          <w:sz w:val="20"/>
          <w:szCs w:val="20"/>
          <w:lang w:val="en-GB" w:eastAsia="zh-CN"/>
        </w:rPr>
        <w:t xml:space="preserve">agree that UE capability information </w:t>
      </w:r>
      <w:r w:rsidR="00F97472">
        <w:rPr>
          <w:rFonts w:ascii="Times New Roman" w:eastAsia="Times New Roman" w:hAnsi="Times New Roman"/>
          <w:bCs/>
          <w:i/>
          <w:sz w:val="20"/>
          <w:szCs w:val="20"/>
          <w:lang w:val="en-GB" w:eastAsia="zh-CN"/>
        </w:rPr>
        <w:t>is</w:t>
      </w:r>
      <w:r>
        <w:rPr>
          <w:rFonts w:ascii="Times New Roman" w:eastAsia="Times New Roman" w:hAnsi="Times New Roman"/>
          <w:bCs/>
          <w:i/>
          <w:sz w:val="20"/>
          <w:szCs w:val="20"/>
          <w:lang w:val="en-GB" w:eastAsia="zh-CN"/>
        </w:rPr>
        <w:t xml:space="preserve"> exchanged after SL connection establishment and can follow either 1 or 2 step manner (as captured in the TR).</w:t>
      </w:r>
      <w:r w:rsidR="001F0EA7">
        <w:rPr>
          <w:rFonts w:ascii="Times New Roman" w:eastAsia="Times New Roman" w:hAnsi="Times New Roman"/>
          <w:bCs/>
          <w:i/>
          <w:sz w:val="20"/>
          <w:szCs w:val="20"/>
          <w:lang w:val="en-GB" w:eastAsia="zh-CN"/>
        </w:rPr>
        <w:t xml:space="preserve"> RAN2 to further discuss if the capability exchange can be performed </w:t>
      </w:r>
      <w:r w:rsidR="00F02718">
        <w:rPr>
          <w:rFonts w:ascii="Times New Roman" w:eastAsia="Times New Roman" w:hAnsi="Times New Roman"/>
          <w:bCs/>
          <w:i/>
          <w:sz w:val="20"/>
          <w:szCs w:val="20"/>
          <w:lang w:val="en-GB" w:eastAsia="zh-CN"/>
        </w:rPr>
        <w:t>along with</w:t>
      </w:r>
      <w:r w:rsidR="001F0EA7">
        <w:rPr>
          <w:rFonts w:ascii="Times New Roman" w:eastAsia="Times New Roman" w:hAnsi="Times New Roman"/>
          <w:bCs/>
          <w:i/>
          <w:sz w:val="20"/>
          <w:szCs w:val="20"/>
          <w:lang w:val="en-GB" w:eastAsia="zh-CN"/>
        </w:rPr>
        <w:t xml:space="preserve"> AS layer SLRB configuration using PC5-RRC after </w:t>
      </w:r>
      <w:r w:rsidR="00F02718">
        <w:rPr>
          <w:rFonts w:ascii="Times New Roman" w:eastAsia="Times New Roman" w:hAnsi="Times New Roman"/>
          <w:bCs/>
          <w:i/>
          <w:sz w:val="20"/>
          <w:szCs w:val="20"/>
          <w:lang w:val="en-GB" w:eastAsia="zh-CN"/>
        </w:rPr>
        <w:t xml:space="preserve">upper layer </w:t>
      </w:r>
      <w:r w:rsidR="001F0EA7">
        <w:rPr>
          <w:rFonts w:ascii="Times New Roman" w:eastAsia="Times New Roman" w:hAnsi="Times New Roman"/>
          <w:bCs/>
          <w:i/>
          <w:sz w:val="20"/>
          <w:szCs w:val="20"/>
          <w:lang w:val="en-GB" w:eastAsia="zh-CN"/>
        </w:rPr>
        <w:t>connection establishment.</w:t>
      </w:r>
    </w:p>
    <w:p w14:paraId="190AFF95" w14:textId="77777777" w:rsidR="00A22006" w:rsidRDefault="00A22006" w:rsidP="00A22006">
      <w:pPr>
        <w:ind w:left="1350" w:hanging="1350"/>
        <w:rPr>
          <w:rFonts w:ascii="Times New Roman" w:eastAsia="Times New Roman" w:hAnsi="Times New Roman"/>
          <w:bCs/>
          <w:i/>
          <w:sz w:val="20"/>
          <w:szCs w:val="20"/>
          <w:lang w:val="en-GB" w:eastAsia="zh-CN"/>
        </w:rPr>
      </w:pP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67CB03EB" w14:textId="3137135E" w:rsidR="00351059"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336D48">
        <w:rPr>
          <w:rFonts w:ascii="Times New Roman" w:eastAsia="Times New Roman" w:hAnsi="Times New Roman"/>
          <w:bCs/>
          <w:sz w:val="20"/>
          <w:szCs w:val="20"/>
          <w:lang w:val="en-GB" w:eastAsia="zh-CN"/>
        </w:rPr>
        <w:t>SL capability exchange for unicast operation over sidelink</w:t>
      </w:r>
      <w:r w:rsidR="00181357">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28EED797" w14:textId="77777777" w:rsidR="00336D48" w:rsidRDefault="00336D48"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312DA35F" w14:textId="77777777" w:rsidR="008E42FF" w:rsidRDefault="008E42FF" w:rsidP="008E42F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role of UE capability in successful connection establishment needs to be addressed in order to down-select the signalling structure/mechanism for UE capability exchange.</w:t>
      </w:r>
    </w:p>
    <w:p w14:paraId="3EE13440" w14:textId="77777777" w:rsidR="008E42FF" w:rsidRPr="00B1479A" w:rsidRDefault="008E42FF" w:rsidP="008E42F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discuss whether the SL UE capability information is essential to unicast connection establishment and the need for defining default SL capability, based on options 1 and 2 discussed above.</w:t>
      </w:r>
    </w:p>
    <w:p w14:paraId="609E52B1" w14:textId="77777777" w:rsidR="008E42FF" w:rsidRDefault="008E42FF" w:rsidP="008E42F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is proposed to agree that UE capability information is exchanged after SL connection establishment and can follow either 1 or 2 step manner (as captured in the TR). RAN2 to further discuss if the capability exchange can be performed along with AS layer SLRB configuration using PC5-RRC after upper layer connection establishment.</w:t>
      </w:r>
    </w:p>
    <w:p w14:paraId="75B3BCA9" w14:textId="77777777" w:rsidR="00336D48" w:rsidRDefault="00336D48"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GoBack"/>
      <w:bookmarkEnd w:id="1"/>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02AD1FAD" w14:textId="77777777" w:rsidR="00CD7164" w:rsidRDefault="000A472B" w:rsidP="00CD7164">
          <w:pPr>
            <w:divId w:val="1131898881"/>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CD7164" w14:paraId="6EA4C0E4" w14:textId="77777777" w:rsidTr="00CD7164">
            <w:trPr>
              <w:divId w:val="1131898881"/>
              <w:tblCellSpacing w:w="15" w:type="dxa"/>
            </w:trPr>
            <w:tc>
              <w:tcPr>
                <w:tcW w:w="50" w:type="pct"/>
                <w:hideMark/>
              </w:tcPr>
              <w:p w14:paraId="36ED981D" w14:textId="77777777" w:rsidR="00CD7164" w:rsidRDefault="00CD7164">
                <w:pPr>
                  <w:pStyle w:val="Bibliography"/>
                  <w:rPr>
                    <w:noProof/>
                    <w:sz w:val="24"/>
                    <w:szCs w:val="24"/>
                  </w:rPr>
                </w:pPr>
                <w:r>
                  <w:rPr>
                    <w:noProof/>
                  </w:rPr>
                  <w:t xml:space="preserve">[1] </w:t>
                </w:r>
              </w:p>
            </w:tc>
            <w:tc>
              <w:tcPr>
                <w:tcW w:w="0" w:type="auto"/>
                <w:hideMark/>
              </w:tcPr>
              <w:p w14:paraId="53F16461" w14:textId="77777777" w:rsidR="00CD7164" w:rsidRDefault="00CD7164">
                <w:pPr>
                  <w:pStyle w:val="Bibliography"/>
                  <w:rPr>
                    <w:noProof/>
                  </w:rPr>
                </w:pPr>
                <w:r>
                  <w:rPr>
                    <w:noProof/>
                  </w:rPr>
                  <w:t xml:space="preserve">"RAN2#105, NR V2X: Chairman Notes". </w:t>
                </w:r>
              </w:p>
            </w:tc>
          </w:tr>
          <w:tr w:rsidR="00CD7164" w14:paraId="33F8596D" w14:textId="77777777" w:rsidTr="00CD7164">
            <w:trPr>
              <w:divId w:val="1131898881"/>
              <w:tblCellSpacing w:w="15" w:type="dxa"/>
            </w:trPr>
            <w:tc>
              <w:tcPr>
                <w:tcW w:w="50" w:type="pct"/>
                <w:hideMark/>
              </w:tcPr>
              <w:p w14:paraId="4188DAFF" w14:textId="77777777" w:rsidR="00CD7164" w:rsidRDefault="00CD7164">
                <w:pPr>
                  <w:pStyle w:val="Bibliography"/>
                  <w:rPr>
                    <w:noProof/>
                  </w:rPr>
                </w:pPr>
                <w:r>
                  <w:rPr>
                    <w:noProof/>
                  </w:rPr>
                  <w:t xml:space="preserve">[2] </w:t>
                </w:r>
              </w:p>
            </w:tc>
            <w:tc>
              <w:tcPr>
                <w:tcW w:w="0" w:type="auto"/>
                <w:hideMark/>
              </w:tcPr>
              <w:p w14:paraId="3A463F54" w14:textId="77777777" w:rsidR="00CD7164" w:rsidRDefault="00CD7164">
                <w:pPr>
                  <w:pStyle w:val="Bibliography"/>
                  <w:rPr>
                    <w:noProof/>
                  </w:rPr>
                </w:pPr>
                <w:r>
                  <w:rPr>
                    <w:noProof/>
                  </w:rPr>
                  <w:t xml:space="preserve">"TR 38.885, Technical Specification Group Radio Access Network; NR; Study on Vehicle-to-Everything". </w:t>
                </w:r>
              </w:p>
            </w:tc>
          </w:tr>
          <w:tr w:rsidR="00CD7164" w14:paraId="5E4C54CD" w14:textId="77777777" w:rsidTr="00CD7164">
            <w:trPr>
              <w:divId w:val="1131898881"/>
              <w:tblCellSpacing w:w="15" w:type="dxa"/>
            </w:trPr>
            <w:tc>
              <w:tcPr>
                <w:tcW w:w="50" w:type="pct"/>
                <w:hideMark/>
              </w:tcPr>
              <w:p w14:paraId="598B7141" w14:textId="77777777" w:rsidR="00CD7164" w:rsidRDefault="00CD7164">
                <w:pPr>
                  <w:pStyle w:val="Bibliography"/>
                  <w:rPr>
                    <w:noProof/>
                  </w:rPr>
                </w:pPr>
                <w:r>
                  <w:rPr>
                    <w:noProof/>
                  </w:rPr>
                  <w:t xml:space="preserve">[3] </w:t>
                </w:r>
              </w:p>
            </w:tc>
            <w:tc>
              <w:tcPr>
                <w:tcW w:w="0" w:type="auto"/>
                <w:hideMark/>
              </w:tcPr>
              <w:p w14:paraId="5584AF77" w14:textId="77777777" w:rsidR="00CD7164" w:rsidRDefault="00CD7164">
                <w:pPr>
                  <w:pStyle w:val="Bibliography"/>
                  <w:rPr>
                    <w:noProof/>
                  </w:rPr>
                </w:pPr>
                <w:r>
                  <w:rPr>
                    <w:noProof/>
                  </w:rPr>
                  <w:t xml:space="preserve">"R2-190xxxx, On the need for PC5-RRC Connection establishment, Intel Corporation". </w:t>
                </w:r>
              </w:p>
            </w:tc>
          </w:tr>
        </w:tbl>
        <w:p w14:paraId="315E1DE1" w14:textId="77777777" w:rsidR="00CD7164" w:rsidRDefault="00CD7164" w:rsidP="00CD7164">
          <w:pPr>
            <w:divId w:val="1131898881"/>
            <w:rPr>
              <w:rFonts w:eastAsia="Times New Roman"/>
              <w:noProof/>
            </w:rPr>
          </w:pPr>
        </w:p>
        <w:p w14:paraId="3B293168" w14:textId="42F460DC" w:rsidR="00E43B63" w:rsidRDefault="000A472B" w:rsidP="00CD7164">
          <w:pPr>
            <w:divId w:val="1131898881"/>
            <w:rPr>
              <w:rFonts w:eastAsia="Times New Roman"/>
              <w:noProof/>
            </w:rPr>
          </w:pPr>
          <w:r>
            <w:rPr>
              <w:rFonts w:eastAsia="Times New Roman"/>
              <w:noProof/>
            </w:rPr>
            <w:fldChar w:fldCharType="end"/>
          </w:r>
        </w:p>
        <w:p w14:paraId="50A28EEF" w14:textId="41D9B9E6" w:rsidR="00E0063E" w:rsidRPr="00E43B63" w:rsidRDefault="008E42FF" w:rsidP="00E43B63"/>
      </w:sdtContent>
    </w:sdt>
    <w:bookmarkEnd w:id="0"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42FF">
      <w:rPr>
        <w:rFonts w:ascii="Arial" w:hAnsi="Arial" w:cs="Arial"/>
        <w:b/>
        <w:noProof/>
        <w:sz w:val="18"/>
        <w:szCs w:val="18"/>
      </w:rPr>
      <w:t>3</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634B74"/>
    <w:multiLevelType w:val="hybridMultilevel"/>
    <w:tmpl w:val="E9D05B78"/>
    <w:lvl w:ilvl="0" w:tplc="282A235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60583"/>
    <w:multiLevelType w:val="hybridMultilevel"/>
    <w:tmpl w:val="C57CCA10"/>
    <w:lvl w:ilvl="0" w:tplc="4C2EF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F4E26"/>
    <w:multiLevelType w:val="hybridMultilevel"/>
    <w:tmpl w:val="F9D050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6"/>
  </w:num>
  <w:num w:numId="3">
    <w:abstractNumId w:val="17"/>
  </w:num>
  <w:num w:numId="4">
    <w:abstractNumId w:val="16"/>
  </w:num>
  <w:num w:numId="5">
    <w:abstractNumId w:val="5"/>
    <w:lvlOverride w:ilvl="0">
      <w:startOverride w:val="1"/>
    </w:lvlOverride>
  </w:num>
  <w:num w:numId="6">
    <w:abstractNumId w:val="7"/>
    <w:lvlOverride w:ilvl="0">
      <w:startOverride w:val="2"/>
    </w:lvlOverride>
  </w:num>
  <w:num w:numId="7">
    <w:abstractNumId w:val="36"/>
  </w:num>
  <w:num w:numId="8">
    <w:abstractNumId w:val="12"/>
  </w:num>
  <w:num w:numId="9">
    <w:abstractNumId w:val="9"/>
  </w:num>
  <w:num w:numId="10">
    <w:abstractNumId w:val="30"/>
  </w:num>
  <w:num w:numId="11">
    <w:abstractNumId w:val="38"/>
  </w:num>
  <w:num w:numId="12">
    <w:abstractNumId w:val="6"/>
  </w:num>
  <w:num w:numId="13">
    <w:abstractNumId w:val="10"/>
  </w:num>
  <w:num w:numId="14">
    <w:abstractNumId w:val="3"/>
  </w:num>
  <w:num w:numId="15">
    <w:abstractNumId w:val="4"/>
  </w:num>
  <w:num w:numId="16">
    <w:abstractNumId w:val="15"/>
  </w:num>
  <w:num w:numId="17">
    <w:abstractNumId w:val="35"/>
  </w:num>
  <w:num w:numId="18">
    <w:abstractNumId w:val="13"/>
  </w:num>
  <w:num w:numId="19">
    <w:abstractNumId w:val="31"/>
  </w:num>
  <w:num w:numId="20">
    <w:abstractNumId w:val="2"/>
  </w:num>
  <w:num w:numId="21">
    <w:abstractNumId w:val="37"/>
  </w:num>
  <w:num w:numId="22">
    <w:abstractNumId w:val="1"/>
  </w:num>
  <w:num w:numId="23">
    <w:abstractNumId w:val="29"/>
  </w:num>
  <w:num w:numId="24">
    <w:abstractNumId w:val="40"/>
  </w:num>
  <w:num w:numId="25">
    <w:abstractNumId w:val="27"/>
  </w:num>
  <w:num w:numId="26">
    <w:abstractNumId w:val="23"/>
  </w:num>
  <w:num w:numId="27">
    <w:abstractNumId w:val="21"/>
  </w:num>
  <w:num w:numId="28">
    <w:abstractNumId w:val="39"/>
  </w:num>
  <w:num w:numId="29">
    <w:abstractNumId w:val="0"/>
  </w:num>
  <w:num w:numId="30">
    <w:abstractNumId w:val="11"/>
  </w:num>
  <w:num w:numId="31">
    <w:abstractNumId w:val="33"/>
  </w:num>
  <w:num w:numId="32">
    <w:abstractNumId w:val="22"/>
  </w:num>
  <w:num w:numId="33">
    <w:abstractNumId w:val="28"/>
  </w:num>
  <w:num w:numId="34">
    <w:abstractNumId w:val="24"/>
  </w:num>
  <w:num w:numId="35">
    <w:abstractNumId w:val="14"/>
  </w:num>
  <w:num w:numId="36">
    <w:abstractNumId w:val="18"/>
  </w:num>
  <w:num w:numId="37">
    <w:abstractNumId w:val="20"/>
  </w:num>
  <w:num w:numId="38">
    <w:abstractNumId w:val="32"/>
  </w:num>
  <w:num w:numId="39">
    <w:abstractNumId w:val="25"/>
  </w:num>
  <w:num w:numId="40">
    <w:abstractNumId w:val="19"/>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7E1C"/>
    <w:rsid w:val="000A7FE2"/>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23B4"/>
    <w:rsid w:val="00153601"/>
    <w:rsid w:val="00153EA5"/>
    <w:rsid w:val="00154CC9"/>
    <w:rsid w:val="00160710"/>
    <w:rsid w:val="0016207C"/>
    <w:rsid w:val="0016488C"/>
    <w:rsid w:val="0016703F"/>
    <w:rsid w:val="00171180"/>
    <w:rsid w:val="00175B7F"/>
    <w:rsid w:val="00175DCB"/>
    <w:rsid w:val="00176137"/>
    <w:rsid w:val="00181357"/>
    <w:rsid w:val="001866C4"/>
    <w:rsid w:val="00195430"/>
    <w:rsid w:val="001979AB"/>
    <w:rsid w:val="00197B45"/>
    <w:rsid w:val="001A793C"/>
    <w:rsid w:val="001A79BD"/>
    <w:rsid w:val="001B2892"/>
    <w:rsid w:val="001B7098"/>
    <w:rsid w:val="001C137C"/>
    <w:rsid w:val="001C479B"/>
    <w:rsid w:val="001C60FD"/>
    <w:rsid w:val="001C6E8B"/>
    <w:rsid w:val="001D28A0"/>
    <w:rsid w:val="001D5499"/>
    <w:rsid w:val="001E221E"/>
    <w:rsid w:val="001E251D"/>
    <w:rsid w:val="001E54F9"/>
    <w:rsid w:val="001F03C4"/>
    <w:rsid w:val="001F0EA7"/>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86B58"/>
    <w:rsid w:val="00286CD8"/>
    <w:rsid w:val="00291433"/>
    <w:rsid w:val="00291DB2"/>
    <w:rsid w:val="00293F66"/>
    <w:rsid w:val="0029495D"/>
    <w:rsid w:val="002A5F0F"/>
    <w:rsid w:val="002A78E6"/>
    <w:rsid w:val="002B17B0"/>
    <w:rsid w:val="002B2F0A"/>
    <w:rsid w:val="002B6B9B"/>
    <w:rsid w:val="002C1BA0"/>
    <w:rsid w:val="002D2168"/>
    <w:rsid w:val="002F04F8"/>
    <w:rsid w:val="002F153B"/>
    <w:rsid w:val="002F432E"/>
    <w:rsid w:val="00305CD5"/>
    <w:rsid w:val="0032490D"/>
    <w:rsid w:val="00330823"/>
    <w:rsid w:val="00332463"/>
    <w:rsid w:val="00332851"/>
    <w:rsid w:val="00336D1D"/>
    <w:rsid w:val="00336D48"/>
    <w:rsid w:val="003379D6"/>
    <w:rsid w:val="00337A0E"/>
    <w:rsid w:val="003400B0"/>
    <w:rsid w:val="00343C43"/>
    <w:rsid w:val="00343C4C"/>
    <w:rsid w:val="00345654"/>
    <w:rsid w:val="00346CBD"/>
    <w:rsid w:val="00351059"/>
    <w:rsid w:val="0035278E"/>
    <w:rsid w:val="00361EF9"/>
    <w:rsid w:val="003638A3"/>
    <w:rsid w:val="0037540A"/>
    <w:rsid w:val="00377DF9"/>
    <w:rsid w:val="003848A3"/>
    <w:rsid w:val="00384CB8"/>
    <w:rsid w:val="00385E3E"/>
    <w:rsid w:val="00396B24"/>
    <w:rsid w:val="00397FA3"/>
    <w:rsid w:val="003A766F"/>
    <w:rsid w:val="003B3025"/>
    <w:rsid w:val="003B384A"/>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2254"/>
    <w:rsid w:val="004C546C"/>
    <w:rsid w:val="004D1188"/>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6268B"/>
    <w:rsid w:val="00593190"/>
    <w:rsid w:val="00597FD5"/>
    <w:rsid w:val="005A4656"/>
    <w:rsid w:val="005A7CEA"/>
    <w:rsid w:val="005C158A"/>
    <w:rsid w:val="005C3DFF"/>
    <w:rsid w:val="005D37A5"/>
    <w:rsid w:val="005D717B"/>
    <w:rsid w:val="005E3E1B"/>
    <w:rsid w:val="005E4401"/>
    <w:rsid w:val="005E4E14"/>
    <w:rsid w:val="005F30EF"/>
    <w:rsid w:val="0060381E"/>
    <w:rsid w:val="00613A40"/>
    <w:rsid w:val="00625D8E"/>
    <w:rsid w:val="00627647"/>
    <w:rsid w:val="0063286E"/>
    <w:rsid w:val="00633024"/>
    <w:rsid w:val="00661C20"/>
    <w:rsid w:val="00667231"/>
    <w:rsid w:val="00667650"/>
    <w:rsid w:val="006720DF"/>
    <w:rsid w:val="00673EBD"/>
    <w:rsid w:val="006821CE"/>
    <w:rsid w:val="0068421C"/>
    <w:rsid w:val="00684FB4"/>
    <w:rsid w:val="00696FDC"/>
    <w:rsid w:val="006A27E5"/>
    <w:rsid w:val="006A65D5"/>
    <w:rsid w:val="006A7B8B"/>
    <w:rsid w:val="006B69DF"/>
    <w:rsid w:val="006C65A8"/>
    <w:rsid w:val="006D0058"/>
    <w:rsid w:val="006D1A4B"/>
    <w:rsid w:val="006D512C"/>
    <w:rsid w:val="006D53FD"/>
    <w:rsid w:val="006D692A"/>
    <w:rsid w:val="006D7CC2"/>
    <w:rsid w:val="006E09CC"/>
    <w:rsid w:val="006E0F37"/>
    <w:rsid w:val="006F4DDB"/>
    <w:rsid w:val="006F631D"/>
    <w:rsid w:val="00705D31"/>
    <w:rsid w:val="00710503"/>
    <w:rsid w:val="00711B34"/>
    <w:rsid w:val="007158F5"/>
    <w:rsid w:val="007178DB"/>
    <w:rsid w:val="0072268C"/>
    <w:rsid w:val="00722993"/>
    <w:rsid w:val="00723298"/>
    <w:rsid w:val="00732A41"/>
    <w:rsid w:val="00732CD4"/>
    <w:rsid w:val="007336B5"/>
    <w:rsid w:val="007356BA"/>
    <w:rsid w:val="00740D3E"/>
    <w:rsid w:val="00740DDE"/>
    <w:rsid w:val="00743313"/>
    <w:rsid w:val="00752D0F"/>
    <w:rsid w:val="0076354C"/>
    <w:rsid w:val="007646CF"/>
    <w:rsid w:val="00773DDF"/>
    <w:rsid w:val="0077506E"/>
    <w:rsid w:val="00777344"/>
    <w:rsid w:val="00777B6B"/>
    <w:rsid w:val="00781376"/>
    <w:rsid w:val="00786A05"/>
    <w:rsid w:val="00786EC6"/>
    <w:rsid w:val="00790DC8"/>
    <w:rsid w:val="007917EB"/>
    <w:rsid w:val="00791A9C"/>
    <w:rsid w:val="00792327"/>
    <w:rsid w:val="00792CF2"/>
    <w:rsid w:val="00797358"/>
    <w:rsid w:val="007A2068"/>
    <w:rsid w:val="007A49CD"/>
    <w:rsid w:val="007B7DD5"/>
    <w:rsid w:val="007C3A70"/>
    <w:rsid w:val="007D042C"/>
    <w:rsid w:val="007D05E3"/>
    <w:rsid w:val="007D32DD"/>
    <w:rsid w:val="007F247C"/>
    <w:rsid w:val="007F2F4C"/>
    <w:rsid w:val="00813FBF"/>
    <w:rsid w:val="008205AE"/>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E03BE"/>
    <w:rsid w:val="008E42FF"/>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2006"/>
    <w:rsid w:val="00A27826"/>
    <w:rsid w:val="00A30EAF"/>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3013F"/>
    <w:rsid w:val="00B329F9"/>
    <w:rsid w:val="00B33EE3"/>
    <w:rsid w:val="00B438F2"/>
    <w:rsid w:val="00B45EDF"/>
    <w:rsid w:val="00B556A6"/>
    <w:rsid w:val="00B56EFA"/>
    <w:rsid w:val="00B70F01"/>
    <w:rsid w:val="00B737FF"/>
    <w:rsid w:val="00B74470"/>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DBD"/>
    <w:rsid w:val="00BE4AC7"/>
    <w:rsid w:val="00BE6D20"/>
    <w:rsid w:val="00BF5579"/>
    <w:rsid w:val="00BF78E3"/>
    <w:rsid w:val="00C05171"/>
    <w:rsid w:val="00C10CE1"/>
    <w:rsid w:val="00C13538"/>
    <w:rsid w:val="00C13DB4"/>
    <w:rsid w:val="00C16A65"/>
    <w:rsid w:val="00C20412"/>
    <w:rsid w:val="00C27475"/>
    <w:rsid w:val="00C348A8"/>
    <w:rsid w:val="00C47BFB"/>
    <w:rsid w:val="00C54226"/>
    <w:rsid w:val="00C641CB"/>
    <w:rsid w:val="00C65B7C"/>
    <w:rsid w:val="00C667DF"/>
    <w:rsid w:val="00C67B49"/>
    <w:rsid w:val="00C73BA9"/>
    <w:rsid w:val="00C8249E"/>
    <w:rsid w:val="00C84589"/>
    <w:rsid w:val="00C8595C"/>
    <w:rsid w:val="00C87C55"/>
    <w:rsid w:val="00C90D45"/>
    <w:rsid w:val="00CA41AF"/>
    <w:rsid w:val="00CA4212"/>
    <w:rsid w:val="00CA751B"/>
    <w:rsid w:val="00CB248A"/>
    <w:rsid w:val="00CB6AB5"/>
    <w:rsid w:val="00CD2ABF"/>
    <w:rsid w:val="00CD4245"/>
    <w:rsid w:val="00CD7164"/>
    <w:rsid w:val="00CE5D88"/>
    <w:rsid w:val="00CE70AB"/>
    <w:rsid w:val="00CF7477"/>
    <w:rsid w:val="00D0160E"/>
    <w:rsid w:val="00D05CFA"/>
    <w:rsid w:val="00D244A7"/>
    <w:rsid w:val="00D30389"/>
    <w:rsid w:val="00D304C8"/>
    <w:rsid w:val="00D30D35"/>
    <w:rsid w:val="00D4144E"/>
    <w:rsid w:val="00D4639F"/>
    <w:rsid w:val="00D46C7D"/>
    <w:rsid w:val="00D530B4"/>
    <w:rsid w:val="00D65AAE"/>
    <w:rsid w:val="00D70FEC"/>
    <w:rsid w:val="00D714C5"/>
    <w:rsid w:val="00D74365"/>
    <w:rsid w:val="00D75EC2"/>
    <w:rsid w:val="00D75FE1"/>
    <w:rsid w:val="00D80BD1"/>
    <w:rsid w:val="00D94525"/>
    <w:rsid w:val="00DA2C5B"/>
    <w:rsid w:val="00DA70C2"/>
    <w:rsid w:val="00DC00B2"/>
    <w:rsid w:val="00DC097B"/>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3532"/>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6A2B"/>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F0145"/>
    <w:rsid w:val="00EF37F4"/>
    <w:rsid w:val="00EF7293"/>
    <w:rsid w:val="00F02718"/>
    <w:rsid w:val="00F14233"/>
    <w:rsid w:val="00F14583"/>
    <w:rsid w:val="00F16547"/>
    <w:rsid w:val="00F16840"/>
    <w:rsid w:val="00F20B33"/>
    <w:rsid w:val="00F2103E"/>
    <w:rsid w:val="00F21779"/>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07B"/>
    <w:rsid w:val="00F9593B"/>
    <w:rsid w:val="00F97382"/>
    <w:rsid w:val="00F97472"/>
    <w:rsid w:val="00FA03CA"/>
    <w:rsid w:val="00FA458F"/>
    <w:rsid w:val="00FA4DC9"/>
    <w:rsid w:val="00FB08ED"/>
    <w:rsid w:val="00FC16BC"/>
    <w:rsid w:val="00FC2DCE"/>
    <w:rsid w:val="00FC2EDB"/>
    <w:rsid w:val="00FD039C"/>
    <w:rsid w:val="00FD1EF6"/>
    <w:rsid w:val="00FD2574"/>
    <w:rsid w:val="00FD335B"/>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03242741">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3326937">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7159374">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5923555">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2834601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8864335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43651841">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86043140">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3489049">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0593535">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3984320">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68039965">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34046130">
      <w:bodyDiv w:val="1"/>
      <w:marLeft w:val="0"/>
      <w:marRight w:val="0"/>
      <w:marTop w:val="0"/>
      <w:marBottom w:val="0"/>
      <w:divBdr>
        <w:top w:val="none" w:sz="0" w:space="0" w:color="auto"/>
        <w:left w:val="none" w:sz="0" w:space="0" w:color="auto"/>
        <w:bottom w:val="none" w:sz="0" w:space="0" w:color="auto"/>
        <w:right w:val="none" w:sz="0" w:space="0" w:color="auto"/>
      </w:divBdr>
    </w:div>
    <w:div w:id="1946187892">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0472057">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63096">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TR38885</b:Tag>
    <b:SourceType>ConferenceProceedings</b:SourceType>
    <b:Guid>{B4B548D1-200B-414C-B2BA-758D851E99F2}</b:Guid>
    <b:Title>TR 38.885, Technical Specification Group Radio Access Network; NR; Study on Vehicle-to-Everything</b:Title>
    <b:RefOrder>2</b:RefOrder>
  </b:Source>
  <b:Source>
    <b:Tag>RRCConnectionNeed</b:Tag>
    <b:SourceType>ConferenceProceedings</b:SourceType>
    <b:Guid>{18A96624-8784-4D73-94F6-14D3B300AAFB}</b:Guid>
    <b:Title>R2-190xxxx, On the need for PC5-RRC Connection establishment, Intel Corporation</b:Title>
    <b:RefOrder>3</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04BEAF25-EB27-4FEB-A077-AA7760CD0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12658</TotalTime>
  <Pages>3</Pages>
  <Words>1402</Words>
  <Characters>7760</Characters>
  <Application>Microsoft Office Word</Application>
  <DocSecurity>0</DocSecurity>
  <Lines>123</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385</cp:revision>
  <dcterms:created xsi:type="dcterms:W3CDTF">2017-08-12T02:26:00Z</dcterms:created>
  <dcterms:modified xsi:type="dcterms:W3CDTF">2019-03-29T01:01:00Z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2019-03-29 01:01:17Z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