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1C2F" w14:textId="77777777" w:rsidR="00825A7A" w:rsidRDefault="00825A7A" w:rsidP="00825A7A">
      <w:pPr>
        <w:pStyle w:val="CRCoverPage"/>
        <w:tabs>
          <w:tab w:val="right" w:pos="8640"/>
        </w:tabs>
        <w:spacing w:after="0"/>
        <w:ind w:right="1260"/>
        <w:rPr>
          <w:b/>
          <w:noProof/>
          <w:sz w:val="24"/>
        </w:rPr>
      </w:pPr>
    </w:p>
    <w:p w14:paraId="43401748" w14:textId="25C6C944" w:rsidR="00825A7A" w:rsidRDefault="00825A7A" w:rsidP="00825A7A">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8146F5">
        <w:rPr>
          <w:rFonts w:ascii="Arial" w:eastAsia="Times New Roman" w:hAnsi="Arial"/>
          <w:b/>
          <w:sz w:val="24"/>
          <w:szCs w:val="24"/>
        </w:rPr>
        <w:t>bis</w:t>
      </w:r>
      <w:r>
        <w:rPr>
          <w:rFonts w:ascii="Arial" w:eastAsia="Times New Roman" w:hAnsi="Arial"/>
          <w:b/>
          <w:bCs/>
          <w:sz w:val="24"/>
          <w:szCs w:val="24"/>
        </w:rPr>
        <w:tab/>
      </w:r>
      <w:r w:rsidR="00DB405F" w:rsidRPr="00DB405F">
        <w:rPr>
          <w:rFonts w:ascii="Arial" w:hAnsi="Arial" w:cs="Arial"/>
          <w:b/>
          <w:bCs/>
          <w:color w:val="000000"/>
          <w:sz w:val="26"/>
          <w:szCs w:val="26"/>
        </w:rPr>
        <w:t>R2-1903650</w:t>
      </w:r>
    </w:p>
    <w:p w14:paraId="3D95BF4F" w14:textId="3E757030" w:rsidR="00825A7A" w:rsidRPr="008146F5" w:rsidRDefault="008146F5" w:rsidP="008146F5">
      <w:pPr>
        <w:widowControl w:val="0"/>
        <w:tabs>
          <w:tab w:val="right" w:pos="9639"/>
        </w:tabs>
        <w:spacing w:after="0"/>
        <w:rPr>
          <w:rFonts w:ascii="Arial" w:eastAsia="Times New Roman" w:hAnsi="Arial"/>
          <w:b/>
          <w:bCs/>
          <w:i/>
          <w:sz w:val="24"/>
          <w:szCs w:val="24"/>
        </w:rPr>
      </w:pPr>
      <w:r w:rsidRPr="008146F5">
        <w:rPr>
          <w:rFonts w:ascii="Arial" w:hAnsi="Arial"/>
          <w:b/>
          <w:sz w:val="24"/>
          <w:szCs w:val="24"/>
          <w:lang w:eastAsia="zh-CN"/>
        </w:rPr>
        <w:t xml:space="preserve">Xi’an, China, April 8th – April 12th, 2019                 </w:t>
      </w:r>
      <w:r>
        <w:rPr>
          <w:rFonts w:ascii="Arial" w:hAnsi="Arial"/>
          <w:b/>
          <w:sz w:val="24"/>
          <w:szCs w:val="24"/>
          <w:lang w:eastAsia="zh-CN"/>
        </w:rPr>
        <w:t xml:space="preserve">             </w:t>
      </w:r>
      <w:r w:rsidRPr="008146F5">
        <w:rPr>
          <w:rFonts w:ascii="Arial" w:hAnsi="Arial"/>
          <w:b/>
          <w:sz w:val="24"/>
          <w:szCs w:val="24"/>
          <w:lang w:eastAsia="zh-CN"/>
        </w:rPr>
        <w:t xml:space="preserve"> </w:t>
      </w:r>
      <w:r>
        <w:rPr>
          <w:rFonts w:ascii="Arial" w:hAnsi="Arial"/>
          <w:b/>
          <w:sz w:val="24"/>
          <w:szCs w:val="24"/>
          <w:lang w:eastAsia="zh-CN"/>
        </w:rPr>
        <w:t xml:space="preserve">Revision of </w:t>
      </w:r>
      <w:r w:rsidRPr="005C11A0">
        <w:rPr>
          <w:rFonts w:ascii="Arial" w:hAnsi="Arial" w:cs="Arial"/>
          <w:b/>
          <w:bCs/>
          <w:color w:val="000000"/>
          <w:sz w:val="26"/>
          <w:szCs w:val="26"/>
        </w:rPr>
        <w:t>R2-1900364</w:t>
      </w:r>
      <w:r w:rsidRPr="008146F5">
        <w:rPr>
          <w:rFonts w:ascii="Arial" w:hAnsi="Arial"/>
          <w:b/>
          <w:sz w:val="24"/>
          <w:szCs w:val="24"/>
          <w:lang w:eastAsia="zh-CN"/>
        </w:rPr>
        <w:t xml:space="preserve">            </w:t>
      </w:r>
      <w:r w:rsidR="00825A7A">
        <w:rPr>
          <w:rFonts w:ascii="Arial" w:hAnsi="Arial"/>
          <w:b/>
          <w:sz w:val="24"/>
          <w:szCs w:val="24"/>
          <w:lang w:eastAsia="zh-CN"/>
        </w:rPr>
        <w:tab/>
      </w:r>
    </w:p>
    <w:p w14:paraId="34D90168" w14:textId="4202B8C1" w:rsidR="00825A7A" w:rsidRPr="006D3016" w:rsidRDefault="00825A7A" w:rsidP="00825A7A">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B405F">
        <w:rPr>
          <w:rFonts w:ascii="Arial" w:eastAsia="MS Mincho" w:hAnsi="Arial" w:cs="Arial"/>
          <w:b/>
          <w:bCs/>
          <w:sz w:val="24"/>
        </w:rPr>
        <w:t>11.9.2</w:t>
      </w:r>
      <w:bookmarkStart w:id="1" w:name="_GoBack"/>
      <w:bookmarkEnd w:id="1"/>
      <w:r>
        <w:rPr>
          <w:rFonts w:ascii="Arial" w:eastAsia="MS Mincho" w:hAnsi="Arial" w:cs="Arial"/>
          <w:b/>
          <w:bCs/>
          <w:sz w:val="24"/>
        </w:rPr>
        <w:t xml:space="preserve"> </w:t>
      </w:r>
    </w:p>
    <w:p w14:paraId="0417C61B" w14:textId="77777777" w:rsidR="00825A7A" w:rsidRDefault="00825A7A" w:rsidP="00825A7A">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F17ACB0" w14:textId="356A9701"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825A7A">
        <w:rPr>
          <w:rFonts w:ascii="Arial" w:eastAsia="Times New Roman" w:hAnsi="Arial" w:cs="Arial"/>
          <w:b/>
          <w:bCs/>
          <w:sz w:val="24"/>
        </w:rPr>
        <w:t>Single Tx</w:t>
      </w:r>
      <w:r>
        <w:rPr>
          <w:rFonts w:ascii="Arial" w:eastAsia="Times New Roman" w:hAnsi="Arial" w:cs="Arial"/>
          <w:b/>
          <w:bCs/>
          <w:sz w:val="24"/>
        </w:rPr>
        <w:t>/Rx</w:t>
      </w:r>
      <w:r w:rsidRPr="00825A7A">
        <w:rPr>
          <w:rFonts w:ascii="Arial" w:eastAsia="Times New Roman" w:hAnsi="Arial" w:cs="Arial"/>
          <w:b/>
          <w:bCs/>
          <w:sz w:val="24"/>
        </w:rPr>
        <w:t xml:space="preserve"> </w:t>
      </w:r>
      <w:r>
        <w:rPr>
          <w:rFonts w:ascii="Arial" w:eastAsia="Times New Roman" w:hAnsi="Arial" w:cs="Arial"/>
          <w:b/>
          <w:bCs/>
          <w:sz w:val="24"/>
        </w:rPr>
        <w:t xml:space="preserve">handling </w:t>
      </w:r>
      <w:r w:rsidR="007E16C5">
        <w:rPr>
          <w:rFonts w:ascii="Arial" w:eastAsia="Times New Roman" w:hAnsi="Arial" w:cs="Arial"/>
          <w:b/>
          <w:bCs/>
          <w:sz w:val="24"/>
        </w:rPr>
        <w:t>during</w:t>
      </w:r>
      <w:r>
        <w:rPr>
          <w:rFonts w:ascii="Arial" w:eastAsia="Times New Roman" w:hAnsi="Arial" w:cs="Arial"/>
          <w:b/>
          <w:bCs/>
          <w:sz w:val="24"/>
        </w:rPr>
        <w:t xml:space="preserve"> MBB </w:t>
      </w:r>
      <w:r w:rsidRPr="00825A7A">
        <w:rPr>
          <w:rFonts w:ascii="Arial" w:eastAsia="Times New Roman" w:hAnsi="Arial" w:cs="Arial"/>
          <w:b/>
          <w:bCs/>
          <w:sz w:val="24"/>
        </w:rPr>
        <w:t>HO</w:t>
      </w:r>
    </w:p>
    <w:p w14:paraId="6A489C39" w14:textId="77777777" w:rsidR="00825A7A"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7E9E3110" w14:textId="77777777" w:rsidR="00825A7A" w:rsidRPr="006D3016" w:rsidRDefault="00825A7A" w:rsidP="00825A7A">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15CD2468" w14:textId="0A97376B" w:rsidR="00825A7A" w:rsidRDefault="009258A2" w:rsidP="00825A7A">
      <w:pPr>
        <w:pStyle w:val="Heading1"/>
        <w:numPr>
          <w:ilvl w:val="0"/>
          <w:numId w:val="1"/>
        </w:numPr>
        <w:pBdr>
          <w:top w:val="single" w:sz="12" w:space="2" w:color="auto"/>
        </w:pBdr>
      </w:pPr>
      <w:r>
        <w:t>Introduction</w:t>
      </w:r>
      <w:r w:rsidR="00825A7A">
        <w:t xml:space="preserve"> </w:t>
      </w:r>
    </w:p>
    <w:p w14:paraId="6FFC116F" w14:textId="1183857B" w:rsidR="00E041E5" w:rsidRDefault="00825A7A" w:rsidP="00825A7A">
      <w:r w:rsidRPr="005809C8">
        <w:t>New WI “NR mobility enhancements” [1]</w:t>
      </w:r>
      <w:r w:rsidR="00E041E5">
        <w:t xml:space="preserve"> specifies to consider the “UE capability on the number of Tx/Rx chains” </w:t>
      </w:r>
      <w:r w:rsidR="005C11A0">
        <w:t xml:space="preserve">aspect </w:t>
      </w:r>
      <w:r w:rsidR="00E041E5">
        <w:t xml:space="preserve">for the solutions studied to </w:t>
      </w:r>
      <w:r w:rsidR="00E041E5" w:rsidRPr="00657E51">
        <w:rPr>
          <w:lang w:val="en-US" w:eastAsia="ja-JP"/>
        </w:rPr>
        <w:t xml:space="preserve">reduce </w:t>
      </w:r>
      <w:r w:rsidR="00E041E5">
        <w:rPr>
          <w:lang w:val="en-US" w:eastAsia="ja-JP"/>
        </w:rPr>
        <w:t xml:space="preserve">mobility </w:t>
      </w:r>
      <w:r w:rsidR="00E041E5" w:rsidRPr="00657E51">
        <w:rPr>
          <w:lang w:val="en-US" w:eastAsia="ja-JP"/>
        </w:rPr>
        <w:t>interruption time</w:t>
      </w:r>
      <w:r w:rsidRPr="005809C8">
        <w:t xml:space="preserve">. </w:t>
      </w:r>
      <w:r>
        <w:t xml:space="preserve">In this document, we discuss the </w:t>
      </w:r>
      <w:r w:rsidR="00E041E5">
        <w:t>potential issues and the solutions for supporting Make-Before-Break (MBB) HO for UEs with different Tx/Rx RF chain capabilities.</w:t>
      </w:r>
    </w:p>
    <w:p w14:paraId="3D8BE021" w14:textId="3942636F" w:rsidR="00825A7A" w:rsidRDefault="00825A7A" w:rsidP="00825A7A">
      <w:pPr>
        <w:pStyle w:val="Heading1"/>
        <w:numPr>
          <w:ilvl w:val="0"/>
          <w:numId w:val="1"/>
        </w:numPr>
        <w:pBdr>
          <w:top w:val="single" w:sz="12" w:space="2" w:color="auto"/>
        </w:pBdr>
      </w:pPr>
      <w:r>
        <w:t>Discussion</w:t>
      </w:r>
    </w:p>
    <w:p w14:paraId="5174BBE0" w14:textId="0B4C1986" w:rsidR="002607BA" w:rsidRPr="005809C8" w:rsidRDefault="002607BA" w:rsidP="002607BA">
      <w:pPr>
        <w:rPr>
          <w:lang w:val="en-US"/>
        </w:rPr>
      </w:pPr>
      <w:r>
        <w:rPr>
          <w:lang w:val="en-US"/>
        </w:rPr>
        <w:t xml:space="preserve">The definition of 0ms interruption time from </w:t>
      </w:r>
      <w:r w:rsidR="00BA104A">
        <w:rPr>
          <w:lang w:val="en-US"/>
        </w:rPr>
        <w:t>[2]</w:t>
      </w:r>
      <w:r>
        <w:rPr>
          <w:lang w:val="en-US"/>
        </w:rPr>
        <w:t xml:space="preserve"> </w:t>
      </w:r>
      <w:r w:rsidR="009873EF">
        <w:rPr>
          <w:lang w:val="en-US"/>
        </w:rPr>
        <w:t>is copied</w:t>
      </w:r>
      <w:r>
        <w:rPr>
          <w:lang w:val="en-US"/>
        </w:rPr>
        <w:t xml:space="preserve"> below</w:t>
      </w:r>
      <w:r>
        <w:t>:</w:t>
      </w:r>
    </w:p>
    <w:p w14:paraId="06586E00"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09809F8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26743032" w14:textId="77777777" w:rsidR="002607BA" w:rsidRDefault="002607BA" w:rsidP="002607BA">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5269AC34" w14:textId="77777777" w:rsidR="002607BA" w:rsidRPr="00C44B8F" w:rsidRDefault="002607BA" w:rsidP="002607BA">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r>
        <w:rPr>
          <w:rFonts w:eastAsia="SimSun" w:hint="eastAsia"/>
          <w:lang w:eastAsia="zh-CN"/>
        </w:rPr>
        <w:t xml:space="preserve">NR </w:t>
      </w:r>
      <w:r w:rsidRPr="003866EC">
        <w:rPr>
          <w:lang w:eastAsia="ja-JP"/>
        </w:rPr>
        <w:t xml:space="preserve"> mobility</w:t>
      </w:r>
    </w:p>
    <w:p w14:paraId="4E070C06" w14:textId="77777777" w:rsidR="00B3365F" w:rsidRDefault="00B3365F" w:rsidP="002607BA"/>
    <w:p w14:paraId="3B003004" w14:textId="6E41D7C0" w:rsidR="002607BA" w:rsidRDefault="002607BA" w:rsidP="002607BA">
      <w:r>
        <w:t xml:space="preserve">According to this definition, </w:t>
      </w:r>
      <w:r w:rsidR="00BA104A">
        <w:t>to support 0ms</w:t>
      </w:r>
      <w:r>
        <w:t xml:space="preserve"> mobility interruption on both UL and DL, the user plane data (i.e. the PDCP packets) should be transmitted</w:t>
      </w:r>
      <w:r w:rsidR="00BA104A">
        <w:t xml:space="preserve"> and received</w:t>
      </w:r>
      <w:r>
        <w:t xml:space="preserve"> without any gaps during mobility from one gNB to another gNB. </w:t>
      </w:r>
    </w:p>
    <w:p w14:paraId="59FEC12E" w14:textId="00F33459" w:rsidR="002607BA" w:rsidRDefault="002607BA" w:rsidP="002607BA">
      <w:r>
        <w:t xml:space="preserve">Make-Before-Break (MBB) HO is one of the solutions being studied to reduce the mobility interruption time </w:t>
      </w:r>
      <w:r>
        <w:rPr>
          <w:lang w:eastAsia="ja-JP"/>
        </w:rPr>
        <w:t xml:space="preserve">as part of the </w:t>
      </w:r>
      <w:r w:rsidRPr="005809C8">
        <w:t>New WI “NR mobility enhancements” [1]</w:t>
      </w:r>
      <w:r>
        <w:t>. T</w:t>
      </w:r>
      <w:r w:rsidR="009245BB">
        <w:t>o</w:t>
      </w:r>
      <w:r>
        <w:t xml:space="preserve"> support 0ms UL/DL mobility interruption time with MBB HO, UE </w:t>
      </w:r>
      <w:proofErr w:type="gramStart"/>
      <w:r>
        <w:t>has to</w:t>
      </w:r>
      <w:proofErr w:type="gramEnd"/>
      <w:r w:rsidR="009245BB">
        <w:t xml:space="preserve"> </w:t>
      </w:r>
      <w:r>
        <w:t>support simultaneous Tx/Rx with the source cell and target cell</w:t>
      </w:r>
      <w:r w:rsidR="009245BB">
        <w:t xml:space="preserve"> without any gaps in the data transmission</w:t>
      </w:r>
      <w:r>
        <w:t xml:space="preserve">. That is, the UE needs to support </w:t>
      </w:r>
      <w:proofErr w:type="spellStart"/>
      <w:r w:rsidR="009245BB">
        <w:t>atleast</w:t>
      </w:r>
      <w:proofErr w:type="spellEnd"/>
      <w:r w:rsidR="009245BB">
        <w:t xml:space="preserve"> </w:t>
      </w:r>
      <w:r>
        <w:t>dual Tx/Dual Rx chain capability.</w:t>
      </w:r>
      <w:r w:rsidR="009245BB">
        <w:t xml:space="preserve"> </w:t>
      </w:r>
    </w:p>
    <w:p w14:paraId="31786F0D" w14:textId="77777777" w:rsidR="009245BB" w:rsidRDefault="009245BB" w:rsidP="009245BB">
      <w:pPr>
        <w:pStyle w:val="Caption"/>
        <w:rPr>
          <w:b/>
          <w:i w:val="0"/>
          <w:color w:val="auto"/>
          <w:sz w:val="20"/>
          <w:szCs w:val="20"/>
        </w:rPr>
      </w:pPr>
      <w:bookmarkStart w:id="2" w:name="_Ref536803033"/>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Pr>
          <w:b/>
          <w:i w:val="0"/>
          <w:noProof/>
          <w:color w:val="auto"/>
          <w:sz w:val="20"/>
          <w:szCs w:val="20"/>
        </w:rPr>
        <w:t>1</w:t>
      </w:r>
      <w:r w:rsidRPr="00F91056">
        <w:rPr>
          <w:b/>
          <w:i w:val="0"/>
          <w:color w:val="auto"/>
          <w:sz w:val="20"/>
          <w:szCs w:val="20"/>
        </w:rPr>
        <w:fldChar w:fldCharType="end"/>
      </w:r>
      <w:r>
        <w:t xml:space="preserve">. </w:t>
      </w:r>
      <w:r>
        <w:rPr>
          <w:b/>
          <w:i w:val="0"/>
          <w:color w:val="auto"/>
          <w:sz w:val="20"/>
          <w:szCs w:val="20"/>
        </w:rPr>
        <w:t>Simultaneous connectivity during MBB HO to achieve 0ms UL/DL mobility interruption time requires simultaneous Tx/Rx capability on the UE.</w:t>
      </w:r>
      <w:bookmarkEnd w:id="2"/>
    </w:p>
    <w:p w14:paraId="406BA290" w14:textId="7CA09D6C" w:rsidR="00D2591D" w:rsidRDefault="009245BB" w:rsidP="000B442F">
      <w:r>
        <w:t xml:space="preserve">However, we think that it may not be realistic to assume every device to support Dual Tx/Dual Rx chain capability and some devices may only support </w:t>
      </w:r>
      <w:r w:rsidR="002607BA" w:rsidRPr="00E31F74">
        <w:t>Single Tx</w:t>
      </w:r>
      <w:r>
        <w:t xml:space="preserve">. In some HO scenarios, even a device with dual Tx/dual Rx may not be able to </w:t>
      </w:r>
      <w:proofErr w:type="spellStart"/>
      <w:r>
        <w:t>tx</w:t>
      </w:r>
      <w:proofErr w:type="spellEnd"/>
      <w:r>
        <w:t xml:space="preserve"> simultaneously on both links due to incompatible band combination /interference issues. </w:t>
      </w:r>
    </w:p>
    <w:p w14:paraId="6C91C809" w14:textId="0D6C6EC9" w:rsidR="00A25051" w:rsidRDefault="000C756B" w:rsidP="00A25051">
      <w:pPr>
        <w:pStyle w:val="Caption"/>
        <w:rPr>
          <w:b/>
          <w:i w:val="0"/>
          <w:color w:val="auto"/>
          <w:sz w:val="20"/>
          <w:szCs w:val="20"/>
        </w:rPr>
      </w:pPr>
      <w:bookmarkStart w:id="3" w:name="_Ref536803034"/>
      <w:r w:rsidRPr="000C756B">
        <w:rPr>
          <w:b/>
          <w:i w:val="0"/>
          <w:color w:val="auto"/>
          <w:sz w:val="20"/>
          <w:szCs w:val="20"/>
        </w:rPr>
        <w:t>Observation 2. Simultaneous Tx capability may not be supported by some UEs (single Tx/dual Rx</w:t>
      </w:r>
      <w:proofErr w:type="gramStart"/>
      <w:r w:rsidRPr="000C756B">
        <w:rPr>
          <w:b/>
          <w:i w:val="0"/>
          <w:color w:val="auto"/>
          <w:sz w:val="20"/>
          <w:szCs w:val="20"/>
        </w:rPr>
        <w:t>), and</w:t>
      </w:r>
      <w:proofErr w:type="gramEnd"/>
      <w:r w:rsidRPr="000C756B">
        <w:rPr>
          <w:b/>
          <w:i w:val="0"/>
          <w:color w:val="auto"/>
          <w:sz w:val="20"/>
          <w:szCs w:val="20"/>
        </w:rPr>
        <w:t xml:space="preserve"> may not be possible to use in some HO scenarios (e.g. Intra-Freq HO) even for a dual </w:t>
      </w:r>
      <w:proofErr w:type="spellStart"/>
      <w:r w:rsidRPr="000C756B">
        <w:rPr>
          <w:b/>
          <w:i w:val="0"/>
          <w:color w:val="auto"/>
          <w:sz w:val="20"/>
          <w:szCs w:val="20"/>
        </w:rPr>
        <w:t>tx</w:t>
      </w:r>
      <w:proofErr w:type="spellEnd"/>
      <w:r w:rsidRPr="000C756B">
        <w:rPr>
          <w:b/>
          <w:i w:val="0"/>
          <w:color w:val="auto"/>
          <w:sz w:val="20"/>
          <w:szCs w:val="20"/>
        </w:rPr>
        <w:t>/dual Rx UE</w:t>
      </w:r>
      <w:r w:rsidR="00A25051" w:rsidRPr="00506D68">
        <w:rPr>
          <w:b/>
          <w:i w:val="0"/>
          <w:color w:val="auto"/>
          <w:sz w:val="20"/>
          <w:szCs w:val="20"/>
        </w:rPr>
        <w:t>.</w:t>
      </w:r>
      <w:bookmarkEnd w:id="3"/>
    </w:p>
    <w:p w14:paraId="43EF2C5B" w14:textId="4370674B" w:rsidR="00A25051" w:rsidRDefault="000B442F" w:rsidP="000B442F">
      <w:r>
        <w:fldChar w:fldCharType="begin"/>
      </w:r>
      <w:r>
        <w:instrText xml:space="preserve"> REF _Ref536803032 \h </w:instrText>
      </w:r>
      <w:r>
        <w:fldChar w:fldCharType="separate"/>
      </w:r>
      <w:r>
        <w:t xml:space="preserve">Figure </w:t>
      </w:r>
      <w:r>
        <w:rPr>
          <w:noProof/>
        </w:rPr>
        <w:t>1</w:t>
      </w:r>
      <w:r>
        <w:fldChar w:fldCharType="end"/>
      </w:r>
      <w:r>
        <w:t xml:space="preserve"> below shows an example of the </w:t>
      </w:r>
      <w:r w:rsidR="00A25051">
        <w:t>mobility</w:t>
      </w:r>
      <w:r>
        <w:t xml:space="preserve"> interruption due to no support of simultaneous Tx capability on the UE. </w:t>
      </w:r>
      <w:r w:rsidR="00D2591D">
        <w:t xml:space="preserve">In this example, UE is assumed to have simultaneous Rx capability and tune away is not required for the Rx chain. </w:t>
      </w:r>
      <w:r>
        <w:t xml:space="preserve">On receiving the MBB HO command, UE tunes away the Tx chain </w:t>
      </w:r>
      <w:r w:rsidR="00A25051">
        <w:t>to target cell</w:t>
      </w:r>
      <w:r>
        <w:t xml:space="preserve"> to perform PRACH Tx on the target cell as shown at step 1. </w:t>
      </w:r>
      <w:r w:rsidR="00D2591D">
        <w:t xml:space="preserve">After the PRACH </w:t>
      </w:r>
      <w:proofErr w:type="spellStart"/>
      <w:r w:rsidR="00D2591D">
        <w:t>tx</w:t>
      </w:r>
      <w:proofErr w:type="spellEnd"/>
      <w:r w:rsidR="00D2591D">
        <w:t xml:space="preserve">, UE waits for RAR and sends RRC Reconfiguration Complete to the target cell at step 2. Thus, the Tx chain is not available for any UL data </w:t>
      </w:r>
      <w:proofErr w:type="spellStart"/>
      <w:r w:rsidR="00D2591D">
        <w:t>tx</w:t>
      </w:r>
      <w:proofErr w:type="spellEnd"/>
      <w:r w:rsidR="00D2591D">
        <w:t xml:space="preserve"> on the source cell between step1 </w:t>
      </w:r>
      <w:r w:rsidR="008976CB">
        <w:t>and</w:t>
      </w:r>
      <w:r w:rsidR="00D2591D">
        <w:t xml:space="preserve"> step 2</w:t>
      </w:r>
      <w:r w:rsidR="00A25051">
        <w:t xml:space="preserve"> during the MBB HO</w:t>
      </w:r>
      <w:r w:rsidR="00D2591D">
        <w:t xml:space="preserve"> and this results in UL data interruption for any data waiting for Tx. The DL data on source cell may also experience some delays due to no HARQ feedback Tx on the source cell for any DL data sent on the source cell during the </w:t>
      </w:r>
      <w:r w:rsidR="008976CB">
        <w:t>time UE is performing HO execution to the target cell</w:t>
      </w:r>
      <w:r w:rsidR="00D2591D">
        <w:t xml:space="preserve">. </w:t>
      </w:r>
      <w:r w:rsidR="00A25051">
        <w:t>Thus, the mobility interruption time achievable on UL and DL is dependent on the UE RF chain capabilities, and, can be &gt;0ms when UE cannot support simultaneous Tx/Rx during MBB HO.</w:t>
      </w:r>
    </w:p>
    <w:p w14:paraId="75894981" w14:textId="057DABC6" w:rsidR="000B442F" w:rsidRDefault="00D2591D" w:rsidP="009245BB">
      <w:r>
        <w:object w:dxaOrig="14670" w:dyaOrig="8596" w14:anchorId="6C9F3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5pt;height:219.75pt" o:ole="">
            <v:imagedata r:id="rId8" o:title=""/>
          </v:shape>
          <o:OLEObject Type="Embed" ProgID="Visio.Drawing.15" ShapeID="_x0000_i1025" DrawAspect="Content" ObjectID="_1615288599" r:id="rId9"/>
        </w:object>
      </w:r>
    </w:p>
    <w:p w14:paraId="313AB9DD" w14:textId="1CF56652" w:rsidR="000B442F" w:rsidRDefault="000B442F" w:rsidP="000B442F">
      <w:pPr>
        <w:pStyle w:val="Caption"/>
      </w:pPr>
      <w:bookmarkStart w:id="4" w:name="_Ref536803032"/>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DE72F7">
        <w:t>Mobility Interruption during MBB HO for</w:t>
      </w:r>
      <w:r w:rsidRPr="000B442F">
        <w:t xml:space="preserve"> Single Tx, Dual Rx UE</w:t>
      </w:r>
    </w:p>
    <w:p w14:paraId="14FFBB86" w14:textId="00CCA486" w:rsidR="009245BB" w:rsidRPr="009245BB" w:rsidRDefault="00A25051" w:rsidP="008E5722">
      <w:r w:rsidRPr="008E5722">
        <w:t>However, i</w:t>
      </w:r>
      <w:r w:rsidR="002C75E6" w:rsidRPr="008E5722">
        <w:t>t should be noted</w:t>
      </w:r>
      <w:r w:rsidR="008976CB" w:rsidRPr="008E5722">
        <w:t xml:space="preserve"> that the </w:t>
      </w:r>
      <w:r w:rsidR="009245BB">
        <w:t>service interruption time</w:t>
      </w:r>
      <w:r w:rsidR="008976CB" w:rsidRPr="008E5722">
        <w:t xml:space="preserve"> experienced by a service</w:t>
      </w:r>
      <w:r w:rsidR="009245BB">
        <w:t xml:space="preserve"> is not the same as the mobility interruption time. </w:t>
      </w:r>
      <w:r w:rsidR="008976CB" w:rsidRPr="008E5722">
        <w:t xml:space="preserve">The service interruption time </w:t>
      </w:r>
      <w:r w:rsidR="009245BB">
        <w:t xml:space="preserve">is strongly dependent on the traffic patterns of the service in addition to the UE capabilities. That is, if there is no data queued in the buffer during </w:t>
      </w:r>
      <w:proofErr w:type="gramStart"/>
      <w:r w:rsidR="009245BB">
        <w:t>a</w:t>
      </w:r>
      <w:proofErr w:type="gramEnd"/>
      <w:r w:rsidR="009245BB">
        <w:t xml:space="preserve"> </w:t>
      </w:r>
      <w:r w:rsidRPr="008E5722">
        <w:t xml:space="preserve">MBB </w:t>
      </w:r>
      <w:r w:rsidR="009245BB">
        <w:t xml:space="preserve">handover, then the mobility interruption time &gt;0ms </w:t>
      </w:r>
      <w:r w:rsidR="008976CB" w:rsidRPr="008E5722">
        <w:t xml:space="preserve">due to the device Tx/Rx chain tune away </w:t>
      </w:r>
      <w:r w:rsidR="009245BB">
        <w:t>has no impact on the user experience</w:t>
      </w:r>
      <w:r w:rsidR="00625642" w:rsidRPr="008E5722">
        <w:t>.</w:t>
      </w:r>
      <w:r w:rsidR="009245BB" w:rsidRPr="009148D7">
        <w:t xml:space="preserve"> </w:t>
      </w:r>
    </w:p>
    <w:p w14:paraId="6B8A804B" w14:textId="44D57D1D" w:rsidR="00F91056" w:rsidRDefault="00F91056" w:rsidP="00F91056">
      <w:pPr>
        <w:pStyle w:val="Caption"/>
        <w:rPr>
          <w:b/>
          <w:i w:val="0"/>
          <w:color w:val="auto"/>
          <w:sz w:val="20"/>
          <w:szCs w:val="20"/>
        </w:rPr>
      </w:pPr>
      <w:bookmarkStart w:id="5" w:name="_Ref536803035"/>
      <w:r w:rsidRPr="00F91056">
        <w:rPr>
          <w:b/>
          <w:i w:val="0"/>
          <w:color w:val="auto"/>
          <w:sz w:val="20"/>
          <w:szCs w:val="20"/>
        </w:rPr>
        <w:t xml:space="preserve">Observation </w:t>
      </w:r>
      <w:r w:rsidRPr="00F91056">
        <w:rPr>
          <w:b/>
          <w:i w:val="0"/>
          <w:color w:val="auto"/>
          <w:sz w:val="20"/>
          <w:szCs w:val="20"/>
        </w:rPr>
        <w:fldChar w:fldCharType="begin"/>
      </w:r>
      <w:r w:rsidRPr="00F91056">
        <w:rPr>
          <w:b/>
          <w:i w:val="0"/>
          <w:color w:val="auto"/>
          <w:sz w:val="20"/>
          <w:szCs w:val="20"/>
        </w:rPr>
        <w:instrText xml:space="preserve"> SEQ Observation \* ARABIC </w:instrText>
      </w:r>
      <w:r w:rsidRPr="00F91056">
        <w:rPr>
          <w:b/>
          <w:i w:val="0"/>
          <w:color w:val="auto"/>
          <w:sz w:val="20"/>
          <w:szCs w:val="20"/>
        </w:rPr>
        <w:fldChar w:fldCharType="separate"/>
      </w:r>
      <w:r w:rsidR="00BA59F4">
        <w:rPr>
          <w:b/>
          <w:i w:val="0"/>
          <w:noProof/>
          <w:color w:val="auto"/>
          <w:sz w:val="20"/>
          <w:szCs w:val="20"/>
        </w:rPr>
        <w:t>3</w:t>
      </w:r>
      <w:r w:rsidRPr="00F91056">
        <w:rPr>
          <w:b/>
          <w:i w:val="0"/>
          <w:color w:val="auto"/>
          <w:sz w:val="20"/>
          <w:szCs w:val="20"/>
        </w:rPr>
        <w:fldChar w:fldCharType="end"/>
      </w:r>
      <w:r w:rsidRPr="00F91056">
        <w:rPr>
          <w:b/>
          <w:i w:val="0"/>
          <w:color w:val="auto"/>
          <w:sz w:val="20"/>
          <w:szCs w:val="20"/>
        </w:rPr>
        <w:t>. UL/DL Mobility interruption time &gt;0ms does not always result in Service Interruption, i.e. user data transmission interruption.</w:t>
      </w:r>
      <w:bookmarkEnd w:id="5"/>
    </w:p>
    <w:p w14:paraId="18A675C7" w14:textId="43EEEED3" w:rsidR="009245BB" w:rsidRPr="00625642" w:rsidRDefault="00625642" w:rsidP="008E5722">
      <w:r w:rsidRPr="008E5722">
        <w:t xml:space="preserve">Services </w:t>
      </w:r>
      <w:r>
        <w:t>like voice, instant messaging, IOT applications, AR/VR transmit periodically small data packets</w:t>
      </w:r>
      <w:r w:rsidRPr="008E5722">
        <w:t xml:space="preserve">, and, </w:t>
      </w:r>
      <w:r w:rsidR="002C75E6" w:rsidRPr="008E5722">
        <w:t>can</w:t>
      </w:r>
      <w:r w:rsidRPr="008E5722">
        <w:t xml:space="preserve"> tolerate </w:t>
      </w:r>
      <w:r w:rsidR="002C75E6" w:rsidRPr="008E5722">
        <w:t>some unavailability of the Tx/Rx chain</w:t>
      </w:r>
      <w:r>
        <w:t xml:space="preserve">. </w:t>
      </w:r>
      <w:r w:rsidRPr="009148D7">
        <w:t xml:space="preserve">For example, if a service provides a packet every 20 </w:t>
      </w:r>
      <w:proofErr w:type="spellStart"/>
      <w:r w:rsidRPr="009148D7">
        <w:t>ms</w:t>
      </w:r>
      <w:proofErr w:type="spellEnd"/>
      <w:r w:rsidRPr="009148D7">
        <w:t xml:space="preserve"> and the </w:t>
      </w:r>
      <w:r w:rsidR="00A25051" w:rsidRPr="008E5722">
        <w:t xml:space="preserve">RACH to the target cell is executed between the packet arrival times, then </w:t>
      </w:r>
      <w:r w:rsidRPr="009148D7">
        <w:t>UL</w:t>
      </w:r>
      <w:r w:rsidR="00A25051" w:rsidRPr="008E5722">
        <w:t>/DL</w:t>
      </w:r>
      <w:r w:rsidRPr="009148D7">
        <w:t xml:space="preserve"> service interruption time can be 0 </w:t>
      </w:r>
      <w:proofErr w:type="spellStart"/>
      <w:r w:rsidRPr="009148D7">
        <w:t>ms</w:t>
      </w:r>
      <w:proofErr w:type="spellEnd"/>
      <w:r w:rsidRPr="009148D7">
        <w:t xml:space="preserve"> </w:t>
      </w:r>
      <w:r w:rsidR="00A25051" w:rsidRPr="008E5722">
        <w:t>for the service</w:t>
      </w:r>
      <w:r w:rsidRPr="009148D7">
        <w:t xml:space="preserve">. </w:t>
      </w:r>
      <w:r w:rsidRPr="008E5722">
        <w:t xml:space="preserve">Such services which </w:t>
      </w:r>
      <w:r w:rsidR="008976CB" w:rsidRPr="008E5722">
        <w:t xml:space="preserve">can tolerate </w:t>
      </w:r>
      <w:r w:rsidRPr="008E5722">
        <w:t xml:space="preserve">a </w:t>
      </w:r>
      <w:r w:rsidR="008976CB" w:rsidRPr="008E5722">
        <w:t>mobility interruption time of &gt;0ms</w:t>
      </w:r>
      <w:r w:rsidRPr="008E5722">
        <w:t>, without any impact to user experience</w:t>
      </w:r>
      <w:r w:rsidR="0077766A">
        <w:t xml:space="preserve">, </w:t>
      </w:r>
      <w:r w:rsidRPr="008E5722">
        <w:t>can</w:t>
      </w:r>
      <w:r w:rsidR="002C75E6" w:rsidRPr="008E5722">
        <w:t xml:space="preserve"> benefit from MBB HO even while </w:t>
      </w:r>
      <w:r w:rsidRPr="008E5722">
        <w:t>run</w:t>
      </w:r>
      <w:r w:rsidR="002C75E6" w:rsidRPr="008E5722">
        <w:t>ning</w:t>
      </w:r>
      <w:r w:rsidRPr="008E5722">
        <w:t xml:space="preserve"> on </w:t>
      </w:r>
      <w:r w:rsidR="008E5722">
        <w:t xml:space="preserve">a </w:t>
      </w:r>
      <w:r w:rsidR="002C75E6" w:rsidRPr="008E5722">
        <w:t>UE</w:t>
      </w:r>
      <w:r w:rsidRPr="008E5722">
        <w:t xml:space="preserve"> with no simultaneous Tx capabilities.</w:t>
      </w:r>
      <w:r w:rsidR="008976CB" w:rsidRPr="008E5722">
        <w:t xml:space="preserve"> </w:t>
      </w:r>
    </w:p>
    <w:p w14:paraId="085A4554" w14:textId="19C48C6E" w:rsidR="00506D68" w:rsidRDefault="00506D68" w:rsidP="00506D68">
      <w:pPr>
        <w:pStyle w:val="Caption"/>
        <w:rPr>
          <w:b/>
          <w:i w:val="0"/>
          <w:color w:val="auto"/>
          <w:sz w:val="20"/>
          <w:szCs w:val="20"/>
        </w:rPr>
      </w:pPr>
      <w:bookmarkStart w:id="6" w:name="_Ref536803038"/>
      <w:r w:rsidRPr="000901F9">
        <w:rPr>
          <w:b/>
          <w:i w:val="0"/>
          <w:color w:val="auto"/>
          <w:sz w:val="20"/>
          <w:szCs w:val="20"/>
        </w:rPr>
        <w:t xml:space="preserve">Proposal </w:t>
      </w:r>
      <w:r w:rsidRPr="000901F9">
        <w:rPr>
          <w:b/>
          <w:i w:val="0"/>
          <w:color w:val="auto"/>
          <w:sz w:val="20"/>
          <w:szCs w:val="20"/>
        </w:rPr>
        <w:fldChar w:fldCharType="begin"/>
      </w:r>
      <w:r w:rsidRPr="000901F9">
        <w:rPr>
          <w:b/>
          <w:i w:val="0"/>
          <w:color w:val="auto"/>
          <w:sz w:val="20"/>
          <w:szCs w:val="20"/>
        </w:rPr>
        <w:instrText xml:space="preserve"> SEQ Proposal \* ARABIC </w:instrText>
      </w:r>
      <w:r w:rsidRPr="000901F9">
        <w:rPr>
          <w:b/>
          <w:i w:val="0"/>
          <w:color w:val="auto"/>
          <w:sz w:val="20"/>
          <w:szCs w:val="20"/>
        </w:rPr>
        <w:fldChar w:fldCharType="separate"/>
      </w:r>
      <w:r w:rsidR="00BA59F4">
        <w:rPr>
          <w:b/>
          <w:i w:val="0"/>
          <w:noProof/>
          <w:color w:val="auto"/>
          <w:sz w:val="20"/>
          <w:szCs w:val="20"/>
        </w:rPr>
        <w:t>1</w:t>
      </w:r>
      <w:r w:rsidRPr="000901F9">
        <w:rPr>
          <w:b/>
          <w:i w:val="0"/>
          <w:color w:val="auto"/>
          <w:sz w:val="20"/>
          <w:szCs w:val="20"/>
        </w:rPr>
        <w:fldChar w:fldCharType="end"/>
      </w:r>
      <w:r w:rsidRPr="000901F9">
        <w:rPr>
          <w:b/>
          <w:i w:val="0"/>
          <w:color w:val="auto"/>
          <w:sz w:val="20"/>
          <w:szCs w:val="20"/>
        </w:rPr>
        <w:t xml:space="preserve">. </w:t>
      </w:r>
      <w:r w:rsidR="004B716C">
        <w:rPr>
          <w:b/>
          <w:i w:val="0"/>
          <w:color w:val="auto"/>
          <w:sz w:val="20"/>
          <w:szCs w:val="20"/>
        </w:rPr>
        <w:t xml:space="preserve">RAN2 should discuss </w:t>
      </w:r>
      <w:bookmarkStart w:id="7" w:name="_Ref535405080"/>
      <w:r w:rsidR="00323462">
        <w:rPr>
          <w:b/>
          <w:i w:val="0"/>
          <w:color w:val="auto"/>
          <w:sz w:val="20"/>
          <w:szCs w:val="20"/>
        </w:rPr>
        <w:t>whether MBB HO should be supported for the HO scenarios where the UE cannot support simultaneous Tx</w:t>
      </w:r>
      <w:r w:rsidR="00C855C1">
        <w:rPr>
          <w:b/>
          <w:i w:val="0"/>
          <w:color w:val="auto"/>
          <w:sz w:val="20"/>
          <w:szCs w:val="20"/>
        </w:rPr>
        <w:t xml:space="preserve"> and </w:t>
      </w:r>
      <w:r w:rsidR="004B716C">
        <w:rPr>
          <w:b/>
          <w:i w:val="0"/>
          <w:color w:val="auto"/>
          <w:sz w:val="20"/>
          <w:szCs w:val="20"/>
        </w:rPr>
        <w:t xml:space="preserve">the UL mobility interruption time is </w:t>
      </w:r>
      <w:r w:rsidR="00C855C1">
        <w:rPr>
          <w:b/>
          <w:i w:val="0"/>
          <w:color w:val="auto"/>
          <w:sz w:val="20"/>
          <w:szCs w:val="20"/>
        </w:rPr>
        <w:t>&gt;</w:t>
      </w:r>
      <w:r w:rsidR="004B716C">
        <w:rPr>
          <w:b/>
          <w:i w:val="0"/>
          <w:color w:val="auto"/>
          <w:sz w:val="20"/>
          <w:szCs w:val="20"/>
        </w:rPr>
        <w:t>0ms</w:t>
      </w:r>
      <w:bookmarkEnd w:id="7"/>
      <w:bookmarkEnd w:id="6"/>
    </w:p>
    <w:p w14:paraId="7E62D204" w14:textId="77777777" w:rsidR="00825A7A" w:rsidRDefault="00825A7A" w:rsidP="00825A7A">
      <w:pPr>
        <w:pStyle w:val="Heading1"/>
      </w:pPr>
      <w:r>
        <w:t>3. Conclusion</w:t>
      </w:r>
    </w:p>
    <w:p w14:paraId="301FE920" w14:textId="77777777" w:rsidR="00825A7A" w:rsidRDefault="00825A7A" w:rsidP="00825A7A">
      <w:pPr>
        <w:spacing w:before="120" w:after="0"/>
      </w:pPr>
      <w:bookmarkStart w:id="8" w:name="_Hlk512894710"/>
      <w:r>
        <w:t>Based on the above discussions, we recommend RAN2 discusses the following observations and proposals:</w:t>
      </w:r>
      <w:bookmarkEnd w:id="8"/>
    </w:p>
    <w:bookmarkStart w:id="9" w:name="_Hlk961699"/>
    <w:p w14:paraId="533F4C43" w14:textId="3983E585" w:rsidR="00825A7A" w:rsidRPr="00FB15E9" w:rsidRDefault="00FB15E9" w:rsidP="00825A7A">
      <w:pPr>
        <w:spacing w:before="120" w:after="0"/>
      </w:pPr>
      <w:r w:rsidRPr="00FB15E9">
        <w:fldChar w:fldCharType="begin"/>
      </w:r>
      <w:r w:rsidRPr="00FB15E9">
        <w:instrText xml:space="preserve"> REF _Ref536803033 \h  \* MERGEFORMAT </w:instrText>
      </w:r>
      <w:r w:rsidRPr="00FB15E9">
        <w:fldChar w:fldCharType="separate"/>
      </w:r>
      <w:r w:rsidR="00323462" w:rsidRPr="00F91056">
        <w:rPr>
          <w:b/>
        </w:rPr>
        <w:t xml:space="preserve">Observation </w:t>
      </w:r>
      <w:r w:rsidR="00323462">
        <w:rPr>
          <w:b/>
          <w:noProof/>
        </w:rPr>
        <w:t>1</w:t>
      </w:r>
      <w:r w:rsidR="00323462" w:rsidRPr="009B392D">
        <w:rPr>
          <w:b/>
          <w:noProof/>
        </w:rPr>
        <w:t>.</w:t>
      </w:r>
      <w:r w:rsidR="00323462">
        <w:t xml:space="preserve"> </w:t>
      </w:r>
      <w:r w:rsidR="00323462">
        <w:rPr>
          <w:b/>
        </w:rPr>
        <w:t>Simultaneous connectivity during MBB HO to achieve 0ms UL/DL mobility interruption time requires simultaneous Tx/Rx capability on the UE.</w:t>
      </w:r>
      <w:r w:rsidRPr="00FB15E9">
        <w:fldChar w:fldCharType="end"/>
      </w:r>
    </w:p>
    <w:p w14:paraId="7F65A4D3" w14:textId="491C88A0" w:rsidR="00FB15E9" w:rsidRPr="00FB15E9" w:rsidRDefault="00FB15E9" w:rsidP="00825A7A">
      <w:pPr>
        <w:spacing w:before="120" w:after="0"/>
      </w:pPr>
      <w:r w:rsidRPr="00FB15E9">
        <w:fldChar w:fldCharType="begin"/>
      </w:r>
      <w:r w:rsidRPr="00FB15E9">
        <w:instrText xml:space="preserve"> REF _Ref536803034 \h  \* MERGEFORMAT </w:instrText>
      </w:r>
      <w:r w:rsidRPr="00FB15E9">
        <w:fldChar w:fldCharType="separate"/>
      </w:r>
      <w:r w:rsidR="009B392D" w:rsidRPr="00506D68">
        <w:rPr>
          <w:b/>
        </w:rPr>
        <w:t xml:space="preserve">Observation </w:t>
      </w:r>
      <w:r w:rsidR="009B392D">
        <w:rPr>
          <w:b/>
          <w:noProof/>
        </w:rPr>
        <w:t>2</w:t>
      </w:r>
      <w:r w:rsidR="009B392D" w:rsidRPr="00506D68">
        <w:rPr>
          <w:b/>
          <w:noProof/>
        </w:rPr>
        <w:t>.</w:t>
      </w:r>
      <w:r w:rsidR="009B392D" w:rsidRPr="00506D68">
        <w:rPr>
          <w:b/>
        </w:rPr>
        <w:t xml:space="preserve"> Simultaneous Tx capability </w:t>
      </w:r>
      <w:r w:rsidR="000C756B">
        <w:rPr>
          <w:b/>
        </w:rPr>
        <w:t xml:space="preserve">may </w:t>
      </w:r>
      <w:r w:rsidR="009B392D" w:rsidRPr="00506D68">
        <w:rPr>
          <w:b/>
        </w:rPr>
        <w:t xml:space="preserve">not </w:t>
      </w:r>
      <w:r w:rsidR="000C756B">
        <w:rPr>
          <w:b/>
        </w:rPr>
        <w:t xml:space="preserve">be </w:t>
      </w:r>
      <w:r w:rsidR="009B392D" w:rsidRPr="00506D68">
        <w:rPr>
          <w:b/>
        </w:rPr>
        <w:t>supported by some UEs (single Tx/dual Rx</w:t>
      </w:r>
      <w:proofErr w:type="gramStart"/>
      <w:r w:rsidR="009B392D" w:rsidRPr="00506D68">
        <w:rPr>
          <w:b/>
        </w:rPr>
        <w:t>), and</w:t>
      </w:r>
      <w:proofErr w:type="gramEnd"/>
      <w:r w:rsidR="009B392D" w:rsidRPr="00506D68">
        <w:rPr>
          <w:b/>
        </w:rPr>
        <w:t xml:space="preserve"> </w:t>
      </w:r>
      <w:r w:rsidR="000C756B">
        <w:rPr>
          <w:b/>
        </w:rPr>
        <w:t>may</w:t>
      </w:r>
      <w:r w:rsidR="009B392D" w:rsidRPr="00506D68">
        <w:rPr>
          <w:b/>
        </w:rPr>
        <w:t xml:space="preserve"> not </w:t>
      </w:r>
      <w:r w:rsidR="000C756B">
        <w:rPr>
          <w:b/>
        </w:rPr>
        <w:t xml:space="preserve">be </w:t>
      </w:r>
      <w:r w:rsidR="009B392D" w:rsidRPr="00506D68">
        <w:rPr>
          <w:b/>
        </w:rPr>
        <w:t>possible</w:t>
      </w:r>
      <w:r w:rsidR="009B392D" w:rsidRPr="009851FC">
        <w:rPr>
          <w:b/>
        </w:rPr>
        <w:t xml:space="preserve"> to use</w:t>
      </w:r>
      <w:r w:rsidR="009B392D" w:rsidRPr="00506D68">
        <w:rPr>
          <w:b/>
        </w:rPr>
        <w:t xml:space="preserve"> in some HO scenarios (e.g. Intra-Freq HO) even for a dual </w:t>
      </w:r>
      <w:proofErr w:type="spellStart"/>
      <w:r w:rsidR="009B392D" w:rsidRPr="00506D68">
        <w:rPr>
          <w:b/>
        </w:rPr>
        <w:t>tx</w:t>
      </w:r>
      <w:proofErr w:type="spellEnd"/>
      <w:r w:rsidR="009B392D" w:rsidRPr="00506D68">
        <w:rPr>
          <w:b/>
        </w:rPr>
        <w:t>/dual Rx UE.</w:t>
      </w:r>
      <w:r w:rsidRPr="00FB15E9">
        <w:fldChar w:fldCharType="end"/>
      </w:r>
    </w:p>
    <w:p w14:paraId="3B922498" w14:textId="6EFEC0BB" w:rsidR="00FB15E9" w:rsidRPr="00FB15E9" w:rsidRDefault="00FB15E9" w:rsidP="00825A7A">
      <w:pPr>
        <w:spacing w:before="120" w:after="0"/>
      </w:pPr>
      <w:r w:rsidRPr="00FB15E9">
        <w:fldChar w:fldCharType="begin"/>
      </w:r>
      <w:r w:rsidRPr="00FB15E9">
        <w:instrText xml:space="preserve"> REF _Ref536803035 \h  \* MERGEFORMAT </w:instrText>
      </w:r>
      <w:r w:rsidRPr="00FB15E9">
        <w:fldChar w:fldCharType="separate"/>
      </w:r>
      <w:r w:rsidR="00C855C1" w:rsidRPr="00F91056">
        <w:rPr>
          <w:b/>
        </w:rPr>
        <w:t xml:space="preserve">Observation </w:t>
      </w:r>
      <w:r w:rsidR="00C855C1">
        <w:rPr>
          <w:b/>
          <w:noProof/>
        </w:rPr>
        <w:t>3</w:t>
      </w:r>
      <w:r w:rsidR="00C855C1" w:rsidRPr="00F91056">
        <w:rPr>
          <w:b/>
          <w:noProof/>
        </w:rPr>
        <w:t>.</w:t>
      </w:r>
      <w:r w:rsidR="00C855C1" w:rsidRPr="00F91056">
        <w:rPr>
          <w:b/>
        </w:rPr>
        <w:t xml:space="preserve"> UL/DL Mobility interruption time &gt;</w:t>
      </w:r>
      <w:r w:rsidR="000C756B">
        <w:rPr>
          <w:b/>
        </w:rPr>
        <w:t xml:space="preserve"> </w:t>
      </w:r>
      <w:r w:rsidR="00C855C1" w:rsidRPr="00F91056">
        <w:rPr>
          <w:b/>
        </w:rPr>
        <w:t>0ms does not always result in Service Interruption, i.e. user data transmission interruption.</w:t>
      </w:r>
      <w:r w:rsidRPr="00FB15E9">
        <w:fldChar w:fldCharType="end"/>
      </w:r>
      <w:r w:rsidRPr="00FB15E9">
        <w:fldChar w:fldCharType="begin"/>
      </w:r>
      <w:r w:rsidRPr="00FB15E9">
        <w:instrText xml:space="preserve"> REF _Ref536803036 \h  \* MERGEFORMAT </w:instrText>
      </w:r>
      <w:r w:rsidRPr="00FB15E9">
        <w:fldChar w:fldCharType="end"/>
      </w:r>
    </w:p>
    <w:p w14:paraId="68EA9AF1" w14:textId="4294F329" w:rsidR="00FB15E9" w:rsidRPr="00FB15E9" w:rsidRDefault="00FB15E9" w:rsidP="00825A7A">
      <w:pPr>
        <w:spacing w:before="120" w:after="0"/>
      </w:pPr>
      <w:r w:rsidRPr="00FB15E9">
        <w:fldChar w:fldCharType="begin"/>
      </w:r>
      <w:r w:rsidRPr="00FB15E9">
        <w:instrText xml:space="preserve"> REF _Ref536803038 \h  \* MERGEFORMAT </w:instrText>
      </w:r>
      <w:r w:rsidRPr="00FB15E9">
        <w:fldChar w:fldCharType="separate"/>
      </w:r>
      <w:r w:rsidR="00C855C1" w:rsidRPr="000901F9">
        <w:rPr>
          <w:b/>
        </w:rPr>
        <w:t xml:space="preserve">Proposal </w:t>
      </w:r>
      <w:r w:rsidR="00C855C1">
        <w:rPr>
          <w:b/>
          <w:noProof/>
        </w:rPr>
        <w:t>1</w:t>
      </w:r>
      <w:r w:rsidR="00C855C1" w:rsidRPr="000901F9">
        <w:rPr>
          <w:b/>
          <w:noProof/>
        </w:rPr>
        <w:t>.</w:t>
      </w:r>
      <w:r w:rsidR="00C855C1" w:rsidRPr="000901F9">
        <w:rPr>
          <w:b/>
        </w:rPr>
        <w:t xml:space="preserve"> </w:t>
      </w:r>
      <w:r w:rsidR="00C855C1">
        <w:rPr>
          <w:b/>
        </w:rPr>
        <w:t xml:space="preserve">RAN2 should discuss </w:t>
      </w:r>
      <w:r w:rsidR="00C855C1" w:rsidRPr="009851FC">
        <w:rPr>
          <w:b/>
        </w:rPr>
        <w:t>whether MBB HO should be supported for the HO scenarios where the UE cannot support simultaneous Tx</w:t>
      </w:r>
      <w:r w:rsidR="00B3365F">
        <w:rPr>
          <w:b/>
        </w:rPr>
        <w:t xml:space="preserve"> </w:t>
      </w:r>
      <w:r w:rsidR="00C855C1" w:rsidRPr="009851FC">
        <w:rPr>
          <w:b/>
        </w:rPr>
        <w:t>and</w:t>
      </w:r>
      <w:r w:rsidR="00C855C1" w:rsidRPr="009851FC">
        <w:rPr>
          <w:b/>
          <w:noProof/>
        </w:rPr>
        <w:t xml:space="preserve"> </w:t>
      </w:r>
      <w:r w:rsidR="00C855C1">
        <w:rPr>
          <w:b/>
        </w:rPr>
        <w:t xml:space="preserve">the UL mobility interruption time is </w:t>
      </w:r>
      <w:r w:rsidR="00C855C1" w:rsidRPr="009851FC">
        <w:rPr>
          <w:b/>
        </w:rPr>
        <w:t>&gt;</w:t>
      </w:r>
      <w:r w:rsidR="000C756B">
        <w:rPr>
          <w:b/>
        </w:rPr>
        <w:t xml:space="preserve"> </w:t>
      </w:r>
      <w:r w:rsidR="00C855C1">
        <w:rPr>
          <w:b/>
        </w:rPr>
        <w:t>0ms</w:t>
      </w:r>
      <w:r w:rsidRPr="00FB15E9">
        <w:fldChar w:fldCharType="end"/>
      </w:r>
      <w:bookmarkEnd w:id="9"/>
    </w:p>
    <w:p w14:paraId="3E5D85CD" w14:textId="2C71197C" w:rsidR="00825A7A" w:rsidRDefault="00BA104A" w:rsidP="00825A7A">
      <w:pPr>
        <w:pStyle w:val="Heading1"/>
      </w:pPr>
      <w:r>
        <w:t xml:space="preserve">4. </w:t>
      </w:r>
      <w:r w:rsidR="00825A7A">
        <w:t>References</w:t>
      </w:r>
    </w:p>
    <w:p w14:paraId="24E2CCAF" w14:textId="77777777" w:rsidR="00825A7A" w:rsidRDefault="00825A7A" w:rsidP="00825A7A">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BD32CCB" w14:textId="77777777" w:rsidR="00825A7A" w:rsidRDefault="00825A7A" w:rsidP="00825A7A">
      <w:pPr>
        <w:ind w:left="1350" w:hanging="1350"/>
        <w:rPr>
          <w:rFonts w:ascii="Arial" w:hAnsi="Arial" w:cs="Arial"/>
          <w:bCs/>
        </w:rPr>
      </w:pPr>
      <w:r>
        <w:rPr>
          <w:rFonts w:ascii="Arial" w:hAnsi="Arial" w:cs="Arial"/>
          <w:bCs/>
        </w:rPr>
        <w:t>[2]</w:t>
      </w:r>
      <w:r w:rsidRPr="00C30287">
        <w:t xml:space="preserve"> </w:t>
      </w:r>
      <w:r w:rsidRPr="00C30287">
        <w:rPr>
          <w:rFonts w:ascii="Arial" w:hAnsi="Arial" w:cs="Arial"/>
          <w:bCs/>
        </w:rPr>
        <w:t>TS 36.881</w:t>
      </w:r>
      <w:r w:rsidRPr="00C30287">
        <w:rPr>
          <w:rFonts w:ascii="Arial" w:hAnsi="Arial" w:cs="Arial"/>
          <w:bCs/>
        </w:rPr>
        <w:tab/>
      </w:r>
      <w:r w:rsidRPr="00C30287">
        <w:rPr>
          <w:rFonts w:ascii="Arial" w:hAnsi="Arial" w:cs="Arial"/>
          <w:bCs/>
        </w:rPr>
        <w:tab/>
        <w:t>Study on latency reduction techniques for LTE</w:t>
      </w:r>
    </w:p>
    <w:p w14:paraId="4C821424" w14:textId="77777777" w:rsidR="00412E17" w:rsidRDefault="00412E17"/>
    <w:sectPr w:rsidR="00412E17" w:rsidSect="000901F9">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C0193" w14:textId="77777777" w:rsidR="009B5E2F" w:rsidRDefault="004E3A07">
      <w:pPr>
        <w:spacing w:after="0"/>
      </w:pPr>
      <w:r>
        <w:separator/>
      </w:r>
    </w:p>
  </w:endnote>
  <w:endnote w:type="continuationSeparator" w:id="0">
    <w:p w14:paraId="489B97D3" w14:textId="77777777" w:rsidR="009B5E2F" w:rsidRDefault="004E3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B8EEE" w14:textId="77777777" w:rsidR="000901F9" w:rsidRDefault="00090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E0ED" w14:textId="77777777" w:rsidR="009B5E2F" w:rsidRDefault="004E3A07">
      <w:pPr>
        <w:spacing w:after="0"/>
      </w:pPr>
      <w:r>
        <w:separator/>
      </w:r>
    </w:p>
  </w:footnote>
  <w:footnote w:type="continuationSeparator" w:id="0">
    <w:p w14:paraId="2AF12455" w14:textId="77777777" w:rsidR="009B5E2F" w:rsidRDefault="004E3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5A1"/>
    <w:multiLevelType w:val="hybridMultilevel"/>
    <w:tmpl w:val="590A3F3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E051773"/>
    <w:multiLevelType w:val="hybridMultilevel"/>
    <w:tmpl w:val="966C4838"/>
    <w:lvl w:ilvl="0" w:tplc="0B645384">
      <w:start w:val="1"/>
      <w:numFmt w:val="bullet"/>
      <w:lvlText w:val="•"/>
      <w:lvlJc w:val="left"/>
      <w:pPr>
        <w:tabs>
          <w:tab w:val="num" w:pos="360"/>
        </w:tabs>
        <w:ind w:left="360" w:hanging="360"/>
      </w:pPr>
      <w:rPr>
        <w:rFonts w:ascii="Arial" w:hAnsi="Arial" w:hint="default"/>
      </w:rPr>
    </w:lvl>
    <w:lvl w:ilvl="1" w:tplc="79A666DE">
      <w:start w:val="249"/>
      <w:numFmt w:val="bullet"/>
      <w:lvlText w:val="•"/>
      <w:lvlJc w:val="left"/>
      <w:pPr>
        <w:tabs>
          <w:tab w:val="num" w:pos="1080"/>
        </w:tabs>
        <w:ind w:left="1080" w:hanging="360"/>
      </w:pPr>
      <w:rPr>
        <w:rFonts w:ascii="Arial" w:hAnsi="Arial" w:hint="default"/>
      </w:rPr>
    </w:lvl>
    <w:lvl w:ilvl="2" w:tplc="DD5EF3C4">
      <w:start w:val="249"/>
      <w:numFmt w:val="bullet"/>
      <w:lvlText w:val="•"/>
      <w:lvlJc w:val="left"/>
      <w:pPr>
        <w:tabs>
          <w:tab w:val="num" w:pos="1800"/>
        </w:tabs>
        <w:ind w:left="1800" w:hanging="360"/>
      </w:pPr>
      <w:rPr>
        <w:rFonts w:ascii="Arial" w:hAnsi="Arial" w:hint="default"/>
      </w:rPr>
    </w:lvl>
    <w:lvl w:ilvl="3" w:tplc="57889260" w:tentative="1">
      <w:start w:val="1"/>
      <w:numFmt w:val="bullet"/>
      <w:lvlText w:val="•"/>
      <w:lvlJc w:val="left"/>
      <w:pPr>
        <w:tabs>
          <w:tab w:val="num" w:pos="2520"/>
        </w:tabs>
        <w:ind w:left="2520" w:hanging="360"/>
      </w:pPr>
      <w:rPr>
        <w:rFonts w:ascii="Arial" w:hAnsi="Arial" w:hint="default"/>
      </w:rPr>
    </w:lvl>
    <w:lvl w:ilvl="4" w:tplc="093202D8" w:tentative="1">
      <w:start w:val="1"/>
      <w:numFmt w:val="bullet"/>
      <w:lvlText w:val="•"/>
      <w:lvlJc w:val="left"/>
      <w:pPr>
        <w:tabs>
          <w:tab w:val="num" w:pos="3240"/>
        </w:tabs>
        <w:ind w:left="3240" w:hanging="360"/>
      </w:pPr>
      <w:rPr>
        <w:rFonts w:ascii="Arial" w:hAnsi="Arial" w:hint="default"/>
      </w:rPr>
    </w:lvl>
    <w:lvl w:ilvl="5" w:tplc="7C925D46" w:tentative="1">
      <w:start w:val="1"/>
      <w:numFmt w:val="bullet"/>
      <w:lvlText w:val="•"/>
      <w:lvlJc w:val="left"/>
      <w:pPr>
        <w:tabs>
          <w:tab w:val="num" w:pos="3960"/>
        </w:tabs>
        <w:ind w:left="3960" w:hanging="360"/>
      </w:pPr>
      <w:rPr>
        <w:rFonts w:ascii="Arial" w:hAnsi="Arial" w:hint="default"/>
      </w:rPr>
    </w:lvl>
    <w:lvl w:ilvl="6" w:tplc="A4644376" w:tentative="1">
      <w:start w:val="1"/>
      <w:numFmt w:val="bullet"/>
      <w:lvlText w:val="•"/>
      <w:lvlJc w:val="left"/>
      <w:pPr>
        <w:tabs>
          <w:tab w:val="num" w:pos="4680"/>
        </w:tabs>
        <w:ind w:left="4680" w:hanging="360"/>
      </w:pPr>
      <w:rPr>
        <w:rFonts w:ascii="Arial" w:hAnsi="Arial" w:hint="default"/>
      </w:rPr>
    </w:lvl>
    <w:lvl w:ilvl="7" w:tplc="50D8C642" w:tentative="1">
      <w:start w:val="1"/>
      <w:numFmt w:val="bullet"/>
      <w:lvlText w:val="•"/>
      <w:lvlJc w:val="left"/>
      <w:pPr>
        <w:tabs>
          <w:tab w:val="num" w:pos="5400"/>
        </w:tabs>
        <w:ind w:left="5400" w:hanging="360"/>
      </w:pPr>
      <w:rPr>
        <w:rFonts w:ascii="Arial" w:hAnsi="Arial" w:hint="default"/>
      </w:rPr>
    </w:lvl>
    <w:lvl w:ilvl="8" w:tplc="67A0DC2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7A"/>
    <w:rsid w:val="00012277"/>
    <w:rsid w:val="000901F9"/>
    <w:rsid w:val="000A37AB"/>
    <w:rsid w:val="000B442F"/>
    <w:rsid w:val="000C756B"/>
    <w:rsid w:val="001161BD"/>
    <w:rsid w:val="001C1F03"/>
    <w:rsid w:val="002607BA"/>
    <w:rsid w:val="00273536"/>
    <w:rsid w:val="002A154D"/>
    <w:rsid w:val="002C75E6"/>
    <w:rsid w:val="00323462"/>
    <w:rsid w:val="003614C2"/>
    <w:rsid w:val="003D1A92"/>
    <w:rsid w:val="00412E17"/>
    <w:rsid w:val="004A03B4"/>
    <w:rsid w:val="004B716C"/>
    <w:rsid w:val="004E3A07"/>
    <w:rsid w:val="00506D68"/>
    <w:rsid w:val="00515154"/>
    <w:rsid w:val="005C11A0"/>
    <w:rsid w:val="00625642"/>
    <w:rsid w:val="006F61F3"/>
    <w:rsid w:val="00753A0D"/>
    <w:rsid w:val="0077766A"/>
    <w:rsid w:val="007E16C5"/>
    <w:rsid w:val="008146F5"/>
    <w:rsid w:val="00825A7A"/>
    <w:rsid w:val="00831E5E"/>
    <w:rsid w:val="008976CB"/>
    <w:rsid w:val="008D07A7"/>
    <w:rsid w:val="008E5722"/>
    <w:rsid w:val="00911D79"/>
    <w:rsid w:val="009245BB"/>
    <w:rsid w:val="009258A2"/>
    <w:rsid w:val="009851FC"/>
    <w:rsid w:val="009873EF"/>
    <w:rsid w:val="009B392D"/>
    <w:rsid w:val="009B5E2F"/>
    <w:rsid w:val="00A25051"/>
    <w:rsid w:val="00B3365F"/>
    <w:rsid w:val="00B67EC9"/>
    <w:rsid w:val="00BA104A"/>
    <w:rsid w:val="00BA59F4"/>
    <w:rsid w:val="00C761FD"/>
    <w:rsid w:val="00C855C1"/>
    <w:rsid w:val="00D179B8"/>
    <w:rsid w:val="00D2591D"/>
    <w:rsid w:val="00DB405F"/>
    <w:rsid w:val="00DE72F7"/>
    <w:rsid w:val="00E041E5"/>
    <w:rsid w:val="00F61823"/>
    <w:rsid w:val="00F91056"/>
    <w:rsid w:val="00FB1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85508D"/>
  <w15:chartTrackingRefBased/>
  <w15:docId w15:val="{C36846CC-E8B7-4348-AB46-93E95377F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5A7A"/>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5A7A"/>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A7A"/>
    <w:rPr>
      <w:rFonts w:ascii="Arial" w:eastAsia="Malgun Gothic" w:hAnsi="Arial" w:cs="Times New Roman"/>
      <w:sz w:val="36"/>
      <w:szCs w:val="20"/>
      <w:lang w:val="en-GB"/>
    </w:rPr>
  </w:style>
  <w:style w:type="paragraph" w:styleId="Footer">
    <w:name w:val="footer"/>
    <w:basedOn w:val="Normal"/>
    <w:link w:val="FooterChar"/>
    <w:rsid w:val="00825A7A"/>
    <w:pPr>
      <w:widowControl w:val="0"/>
      <w:spacing w:after="0"/>
      <w:jc w:val="center"/>
    </w:pPr>
    <w:rPr>
      <w:rFonts w:ascii="Arial" w:hAnsi="Arial"/>
      <w:b/>
      <w:i/>
      <w:noProof/>
      <w:sz w:val="18"/>
    </w:rPr>
  </w:style>
  <w:style w:type="character" w:customStyle="1" w:styleId="FooterChar">
    <w:name w:val="Footer Char"/>
    <w:basedOn w:val="DefaultParagraphFont"/>
    <w:link w:val="Footer"/>
    <w:rsid w:val="00825A7A"/>
    <w:rPr>
      <w:rFonts w:ascii="Arial" w:eastAsia="Malgun Gothic" w:hAnsi="Arial" w:cs="Times New Roman"/>
      <w:b/>
      <w:i/>
      <w:noProof/>
      <w:sz w:val="18"/>
      <w:szCs w:val="20"/>
      <w:lang w:val="en-GB"/>
    </w:rPr>
  </w:style>
  <w:style w:type="paragraph" w:customStyle="1" w:styleId="B1">
    <w:name w:val="B1"/>
    <w:basedOn w:val="Normal"/>
    <w:link w:val="B1Char"/>
    <w:qFormat/>
    <w:rsid w:val="00825A7A"/>
    <w:pPr>
      <w:ind w:left="568" w:hanging="284"/>
    </w:pPr>
    <w:rPr>
      <w:lang w:eastAsia="x-none"/>
    </w:rPr>
  </w:style>
  <w:style w:type="character" w:customStyle="1" w:styleId="B1Char">
    <w:name w:val="B1 Char"/>
    <w:link w:val="B1"/>
    <w:rsid w:val="00825A7A"/>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25A7A"/>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825A7A"/>
    <w:rPr>
      <w:rFonts w:ascii="Arial" w:eastAsia="MS Mincho" w:hAnsi="Arial" w:cs="Times New Roman"/>
      <w:sz w:val="20"/>
      <w:szCs w:val="20"/>
      <w:lang w:val="en-GB"/>
    </w:rPr>
  </w:style>
  <w:style w:type="paragraph" w:styleId="Caption">
    <w:name w:val="caption"/>
    <w:basedOn w:val="Normal"/>
    <w:next w:val="Normal"/>
    <w:uiPriority w:val="35"/>
    <w:unhideWhenUsed/>
    <w:qFormat/>
    <w:rsid w:val="00825A7A"/>
    <w:pPr>
      <w:spacing w:after="200"/>
    </w:pPr>
    <w:rPr>
      <w:i/>
      <w:iCs/>
      <w:color w:val="44546A" w:themeColor="text2"/>
      <w:sz w:val="18"/>
      <w:szCs w:val="18"/>
    </w:rPr>
  </w:style>
  <w:style w:type="paragraph" w:customStyle="1" w:styleId="Doc-text2">
    <w:name w:val="Doc-text2"/>
    <w:basedOn w:val="Normal"/>
    <w:link w:val="Doc-text2Char"/>
    <w:qFormat/>
    <w:rsid w:val="00260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7BA"/>
    <w:rPr>
      <w:rFonts w:ascii="Arial" w:eastAsia="MS Mincho" w:hAnsi="Arial" w:cs="Times New Roman"/>
      <w:sz w:val="20"/>
      <w:szCs w:val="24"/>
      <w:lang w:val="en-GB" w:eastAsia="en-GB"/>
    </w:rPr>
  </w:style>
  <w:style w:type="paragraph" w:styleId="ListParagraph">
    <w:name w:val="List Paragraph"/>
    <w:basedOn w:val="Normal"/>
    <w:uiPriority w:val="34"/>
    <w:qFormat/>
    <w:rsid w:val="002607BA"/>
    <w:pPr>
      <w:ind w:left="720"/>
      <w:contextualSpacing/>
    </w:pPr>
  </w:style>
  <w:style w:type="paragraph" w:customStyle="1" w:styleId="Proposal">
    <w:name w:val="Proposal"/>
    <w:basedOn w:val="ListParagraph"/>
    <w:link w:val="ProposalChar"/>
    <w:qFormat/>
    <w:rsid w:val="009245B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9245BB"/>
    <w:rPr>
      <w:rFonts w:ascii="Times New Roman" w:eastAsia="Times New Roman" w:hAnsi="Times New Roman" w:cs="Times New Roman"/>
      <w:b/>
      <w:sz w:val="20"/>
      <w:szCs w:val="20"/>
      <w:lang w:val="en-GB"/>
    </w:rPr>
  </w:style>
  <w:style w:type="character" w:styleId="CommentReference">
    <w:name w:val="annotation reference"/>
    <w:basedOn w:val="DefaultParagraphFont"/>
    <w:uiPriority w:val="99"/>
    <w:semiHidden/>
    <w:unhideWhenUsed/>
    <w:rsid w:val="00273536"/>
    <w:rPr>
      <w:sz w:val="16"/>
      <w:szCs w:val="16"/>
    </w:rPr>
  </w:style>
  <w:style w:type="paragraph" w:styleId="CommentText">
    <w:name w:val="annotation text"/>
    <w:basedOn w:val="Normal"/>
    <w:link w:val="CommentTextChar"/>
    <w:uiPriority w:val="99"/>
    <w:semiHidden/>
    <w:unhideWhenUsed/>
    <w:rsid w:val="00273536"/>
  </w:style>
  <w:style w:type="character" w:customStyle="1" w:styleId="CommentTextChar">
    <w:name w:val="Comment Text Char"/>
    <w:basedOn w:val="DefaultParagraphFont"/>
    <w:link w:val="CommentText"/>
    <w:uiPriority w:val="99"/>
    <w:semiHidden/>
    <w:rsid w:val="0027353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3536"/>
    <w:rPr>
      <w:b/>
      <w:bCs/>
    </w:rPr>
  </w:style>
  <w:style w:type="character" w:customStyle="1" w:styleId="CommentSubjectChar">
    <w:name w:val="Comment Subject Char"/>
    <w:basedOn w:val="CommentTextChar"/>
    <w:link w:val="CommentSubject"/>
    <w:uiPriority w:val="99"/>
    <w:semiHidden/>
    <w:rsid w:val="00273536"/>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2735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536"/>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4779">
      <w:bodyDiv w:val="1"/>
      <w:marLeft w:val="0"/>
      <w:marRight w:val="0"/>
      <w:marTop w:val="0"/>
      <w:marBottom w:val="0"/>
      <w:divBdr>
        <w:top w:val="none" w:sz="0" w:space="0" w:color="auto"/>
        <w:left w:val="none" w:sz="0" w:space="0" w:color="auto"/>
        <w:bottom w:val="none" w:sz="0" w:space="0" w:color="auto"/>
        <w:right w:val="none" w:sz="0" w:space="0" w:color="auto"/>
      </w:divBdr>
    </w:div>
    <w:div w:id="256408317">
      <w:bodyDiv w:val="1"/>
      <w:marLeft w:val="0"/>
      <w:marRight w:val="0"/>
      <w:marTop w:val="0"/>
      <w:marBottom w:val="0"/>
      <w:divBdr>
        <w:top w:val="none" w:sz="0" w:space="0" w:color="auto"/>
        <w:left w:val="none" w:sz="0" w:space="0" w:color="auto"/>
        <w:bottom w:val="none" w:sz="0" w:space="0" w:color="auto"/>
        <w:right w:val="none" w:sz="0" w:space="0" w:color="auto"/>
      </w:divBdr>
    </w:div>
    <w:div w:id="1048727095">
      <w:bodyDiv w:val="1"/>
      <w:marLeft w:val="0"/>
      <w:marRight w:val="0"/>
      <w:marTop w:val="0"/>
      <w:marBottom w:val="0"/>
      <w:divBdr>
        <w:top w:val="none" w:sz="0" w:space="0" w:color="auto"/>
        <w:left w:val="none" w:sz="0" w:space="0" w:color="auto"/>
        <w:bottom w:val="none" w:sz="0" w:space="0" w:color="auto"/>
        <w:right w:val="none" w:sz="0" w:space="0" w:color="auto"/>
      </w:divBdr>
      <w:divsChild>
        <w:div w:id="1542014306">
          <w:marLeft w:val="360"/>
          <w:marRight w:val="0"/>
          <w:marTop w:val="200"/>
          <w:marBottom w:val="0"/>
          <w:divBdr>
            <w:top w:val="none" w:sz="0" w:space="0" w:color="auto"/>
            <w:left w:val="none" w:sz="0" w:space="0" w:color="auto"/>
            <w:bottom w:val="none" w:sz="0" w:space="0" w:color="auto"/>
            <w:right w:val="none" w:sz="0" w:space="0" w:color="auto"/>
          </w:divBdr>
        </w:div>
        <w:div w:id="1533878716">
          <w:marLeft w:val="1080"/>
          <w:marRight w:val="0"/>
          <w:marTop w:val="100"/>
          <w:marBottom w:val="0"/>
          <w:divBdr>
            <w:top w:val="none" w:sz="0" w:space="0" w:color="auto"/>
            <w:left w:val="none" w:sz="0" w:space="0" w:color="auto"/>
            <w:bottom w:val="none" w:sz="0" w:space="0" w:color="auto"/>
            <w:right w:val="none" w:sz="0" w:space="0" w:color="auto"/>
          </w:divBdr>
        </w:div>
        <w:div w:id="1986279770">
          <w:marLeft w:val="360"/>
          <w:marRight w:val="0"/>
          <w:marTop w:val="200"/>
          <w:marBottom w:val="0"/>
          <w:divBdr>
            <w:top w:val="none" w:sz="0" w:space="0" w:color="auto"/>
            <w:left w:val="none" w:sz="0" w:space="0" w:color="auto"/>
            <w:bottom w:val="none" w:sz="0" w:space="0" w:color="auto"/>
            <w:right w:val="none" w:sz="0" w:space="0" w:color="auto"/>
          </w:divBdr>
        </w:div>
        <w:div w:id="397049243">
          <w:marLeft w:val="1080"/>
          <w:marRight w:val="0"/>
          <w:marTop w:val="100"/>
          <w:marBottom w:val="0"/>
          <w:divBdr>
            <w:top w:val="none" w:sz="0" w:space="0" w:color="auto"/>
            <w:left w:val="none" w:sz="0" w:space="0" w:color="auto"/>
            <w:bottom w:val="none" w:sz="0" w:space="0" w:color="auto"/>
            <w:right w:val="none" w:sz="0" w:space="0" w:color="auto"/>
          </w:divBdr>
        </w:div>
        <w:div w:id="289021671">
          <w:marLeft w:val="1080"/>
          <w:marRight w:val="0"/>
          <w:marTop w:val="100"/>
          <w:marBottom w:val="0"/>
          <w:divBdr>
            <w:top w:val="none" w:sz="0" w:space="0" w:color="auto"/>
            <w:left w:val="none" w:sz="0" w:space="0" w:color="auto"/>
            <w:bottom w:val="none" w:sz="0" w:space="0" w:color="auto"/>
            <w:right w:val="none" w:sz="0" w:space="0" w:color="auto"/>
          </w:divBdr>
        </w:div>
        <w:div w:id="1771241977">
          <w:marLeft w:val="1800"/>
          <w:marRight w:val="0"/>
          <w:marTop w:val="100"/>
          <w:marBottom w:val="0"/>
          <w:divBdr>
            <w:top w:val="none" w:sz="0" w:space="0" w:color="auto"/>
            <w:left w:val="none" w:sz="0" w:space="0" w:color="auto"/>
            <w:bottom w:val="none" w:sz="0" w:space="0" w:color="auto"/>
            <w:right w:val="none" w:sz="0" w:space="0" w:color="auto"/>
          </w:divBdr>
        </w:div>
      </w:divsChild>
    </w:div>
    <w:div w:id="146449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C2490-E017-40BA-9F6C-530B943B9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2019-03-28T21:30:00Z</dcterms:created>
  <dcterms:modified xsi:type="dcterms:W3CDTF">2019-03-28T21:30:00Z</dcterms:modified>
</cp:coreProperties>
</file>