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42C" w:rsidRPr="00B25FA2" w:rsidRDefault="0041642C" w:rsidP="0041642C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WG2 Meeting #105bis                                            </w:t>
      </w:r>
      <w:bookmarkStart w:id="0" w:name="_GoBack"/>
      <w:r w:rsidR="00B66569" w:rsidRPr="00B66569">
        <w:rPr>
          <w:rFonts w:ascii="Arial" w:hAnsi="Arial" w:cs="Arial"/>
          <w:b/>
          <w:sz w:val="24"/>
        </w:rPr>
        <w:t>R2-1903330</w:t>
      </w:r>
      <w:r w:rsidR="00B66569">
        <w:rPr>
          <w:rFonts w:ascii="Arial" w:hAnsi="Arial" w:cs="Arial"/>
          <w:b/>
          <w:sz w:val="24"/>
        </w:rPr>
        <w:t xml:space="preserve"> </w:t>
      </w:r>
      <w:bookmarkEnd w:id="0"/>
      <w:r>
        <w:rPr>
          <w:rFonts w:ascii="Arial" w:hAnsi="Arial" w:cs="Arial"/>
          <w:b/>
          <w:sz w:val="24"/>
        </w:rPr>
        <w:t>Xi’an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Pr="00716D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8 -12 April 2019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:rsidR="0041642C" w:rsidRDefault="0041642C" w:rsidP="0041642C">
      <w:pPr>
        <w:pStyle w:val="Header"/>
        <w:rPr>
          <w:bCs/>
          <w:noProof w:val="0"/>
          <w:sz w:val="24"/>
          <w:lang w:eastAsia="ja-JP"/>
        </w:rPr>
      </w:pPr>
    </w:p>
    <w:p w:rsidR="0041642C" w:rsidRDefault="0041642C" w:rsidP="0041642C">
      <w:pPr>
        <w:pStyle w:val="CRCoverPage"/>
        <w:rPr>
          <w:rFonts w:eastAsia="宋体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 xml:space="preserve">Agenda item:      </w:t>
      </w:r>
      <w:r w:rsidR="00927A2C">
        <w:rPr>
          <w:rFonts w:cs="Arial"/>
          <w:b/>
          <w:bCs/>
          <w:sz w:val="24"/>
          <w:lang w:val="en-US"/>
        </w:rPr>
        <w:t xml:space="preserve"> </w:t>
      </w:r>
      <w:r w:rsidR="00470C38" w:rsidRPr="00470C38">
        <w:rPr>
          <w:rFonts w:eastAsia="宋体" w:cs="Arial"/>
          <w:b/>
          <w:bCs/>
          <w:sz w:val="24"/>
          <w:lang w:val="en-US"/>
        </w:rPr>
        <w:t>11.9.2.2</w:t>
      </w:r>
    </w:p>
    <w:p w:rsidR="0041642C" w:rsidRDefault="0041642C" w:rsidP="0041642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Mediatek Inc. </w:t>
      </w:r>
    </w:p>
    <w:p w:rsidR="0041642C" w:rsidRDefault="0041642C" w:rsidP="00927A2C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27A2C">
        <w:rPr>
          <w:rFonts w:ascii="Arial" w:hAnsi="Arial" w:cs="Arial"/>
          <w:b/>
          <w:bCs/>
          <w:sz w:val="24"/>
        </w:rPr>
        <w:t xml:space="preserve">                   </w:t>
      </w:r>
      <w:r w:rsidR="00956BD1">
        <w:rPr>
          <w:rFonts w:ascii="Arial" w:hAnsi="Arial" w:cs="Arial"/>
          <w:b/>
          <w:bCs/>
          <w:sz w:val="24"/>
        </w:rPr>
        <w:t>User Plane Details in Non-DC-based Solutions</w:t>
      </w:r>
    </w:p>
    <w:p w:rsidR="0041642C" w:rsidRDefault="0041642C" w:rsidP="0041642C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     Discussion and Decision</w:t>
      </w:r>
    </w:p>
    <w:p w:rsidR="0041642C" w:rsidRPr="00237F70" w:rsidRDefault="0041642C" w:rsidP="0041642C">
      <w:pPr>
        <w:pStyle w:val="Heading1"/>
      </w:pPr>
      <w:r w:rsidRPr="00242FBB">
        <w:t>Introduction</w:t>
      </w:r>
    </w:p>
    <w:p w:rsidR="00AD4B22" w:rsidRDefault="00A71A72" w:rsidP="00956BD1">
      <w:pPr>
        <w:spacing w:before="120" w:after="120"/>
        <w:jc w:val="both"/>
        <w:rPr>
          <w:sz w:val="22"/>
          <w:szCs w:val="22"/>
        </w:rPr>
      </w:pPr>
      <w:r w:rsidRPr="00682F63">
        <w:rPr>
          <w:sz w:val="22"/>
          <w:szCs w:val="22"/>
        </w:rPr>
        <w:t xml:space="preserve">In RAN2#105 meeting, </w:t>
      </w:r>
      <w:r w:rsidR="00956BD1">
        <w:rPr>
          <w:sz w:val="22"/>
          <w:szCs w:val="22"/>
        </w:rPr>
        <w:t xml:space="preserve">some general agreements on mobility enhancement were achieved for mobility interruption reduction. </w:t>
      </w:r>
    </w:p>
    <w:p w:rsidR="00956BD1" w:rsidRDefault="00956BD1" w:rsidP="00956B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956BD1" w:rsidRDefault="00956BD1" w:rsidP="00956B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</w:p>
    <w:p w:rsidR="00956BD1" w:rsidRDefault="00956BD1" w:rsidP="00956B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 w:rsidRPr="00E4528E">
        <w:tab/>
        <w:t>The UE ability to simultaneously receive and transmit to/from the source and target cells is to be considered in the study on NR mobility enhancements.</w:t>
      </w:r>
      <w:r>
        <w:t xml:space="preserve"> </w:t>
      </w:r>
    </w:p>
    <w:p w:rsidR="00956BD1" w:rsidRDefault="00956BD1" w:rsidP="00956BD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 xml:space="preserve">We prioritize on intra-NR handovers in this WID. </w:t>
      </w:r>
    </w:p>
    <w:p w:rsidR="00AD4B22" w:rsidRPr="00613D1E" w:rsidRDefault="00AD4B22" w:rsidP="000D7D18">
      <w:pPr>
        <w:spacing w:before="120" w:after="120"/>
        <w:jc w:val="both"/>
        <w:rPr>
          <w:sz w:val="22"/>
          <w:szCs w:val="22"/>
        </w:rPr>
      </w:pPr>
      <w:r w:rsidRPr="00613D1E">
        <w:rPr>
          <w:sz w:val="22"/>
          <w:szCs w:val="22"/>
        </w:rPr>
        <w:t xml:space="preserve">In this contribution, </w:t>
      </w:r>
      <w:r w:rsidR="00956BD1">
        <w:rPr>
          <w:sz w:val="22"/>
          <w:szCs w:val="22"/>
        </w:rPr>
        <w:t xml:space="preserve">we </w:t>
      </w:r>
      <w:r w:rsidR="00470C38">
        <w:rPr>
          <w:sz w:val="22"/>
          <w:szCs w:val="22"/>
        </w:rPr>
        <w:t>discuss</w:t>
      </w:r>
      <w:r w:rsidR="00956BD1">
        <w:rPr>
          <w:sz w:val="22"/>
          <w:szCs w:val="22"/>
        </w:rPr>
        <w:t xml:space="preserve"> the UP details for non-DC-based solution</w:t>
      </w:r>
      <w:r w:rsidR="007B5576">
        <w:rPr>
          <w:sz w:val="22"/>
          <w:szCs w:val="22"/>
        </w:rPr>
        <w:t>s</w:t>
      </w:r>
      <w:r w:rsidR="00956BD1">
        <w:rPr>
          <w:sz w:val="22"/>
          <w:szCs w:val="22"/>
        </w:rPr>
        <w:t xml:space="preserve">. </w:t>
      </w:r>
    </w:p>
    <w:p w:rsidR="00682F63" w:rsidRDefault="00682F63" w:rsidP="00682F63">
      <w:pPr>
        <w:pStyle w:val="Heading1"/>
      </w:pPr>
      <w:r>
        <w:t>Discussion</w:t>
      </w:r>
    </w:p>
    <w:p w:rsidR="00D5286E" w:rsidRDefault="00801567" w:rsidP="007B5576">
      <w:pPr>
        <w:spacing w:before="120" w:after="120"/>
        <w:jc w:val="both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The general process on UP architecture for non-DC-based solutions is illustrated in Fig.1. </w:t>
      </w:r>
    </w:p>
    <w:p w:rsidR="00172C2B" w:rsidRDefault="00E82AE4" w:rsidP="007B5576">
      <w:pPr>
        <w:spacing w:before="120" w:after="120"/>
        <w:jc w:val="both"/>
        <w:rPr>
          <w:lang w:val="en-GB"/>
        </w:rPr>
      </w:pPr>
      <w:r>
        <w:rPr>
          <w:rFonts w:eastAsia="Times New Roman"/>
          <w:lang w:val="en-GB"/>
        </w:rPr>
        <w:t xml:space="preserve">In current NR RRC procedure, cell group configuration </w:t>
      </w:r>
      <w:r w:rsidR="00ED0E20">
        <w:rPr>
          <w:rFonts w:eastAsia="Times New Roman"/>
          <w:lang w:val="en-GB"/>
        </w:rPr>
        <w:t xml:space="preserve">for MCG and SCG </w:t>
      </w:r>
      <w:r w:rsidR="00703CF4">
        <w:rPr>
          <w:rFonts w:eastAsia="Times New Roman"/>
          <w:lang w:val="en-GB"/>
        </w:rPr>
        <w:t xml:space="preserve">provides the MAC configuration and RLC configuration through RLC bearer add/modify/release.  </w:t>
      </w:r>
      <w:r w:rsidR="00ED0E20">
        <w:rPr>
          <w:lang w:val="en-GB"/>
        </w:rPr>
        <w:t xml:space="preserve">In non-DC based solution, UE needs to create a MAC entity and establish RLC entity(s) for the target cell when the connection with the source cell is maintained. </w:t>
      </w:r>
    </w:p>
    <w:p w:rsidR="00D5286E" w:rsidRDefault="00ED0E20" w:rsidP="007B5576">
      <w:pPr>
        <w:spacing w:before="120" w:after="120"/>
        <w:jc w:val="both"/>
        <w:rPr>
          <w:b/>
          <w:lang w:val="en-GB"/>
        </w:rPr>
      </w:pPr>
      <w:r w:rsidRPr="00214DC1">
        <w:rPr>
          <w:b/>
          <w:lang w:val="en-GB"/>
        </w:rPr>
        <w:t xml:space="preserve">Observation 1: In non-DC based solution, UE needs to create a MAC entity and establish RLC entity(s) </w:t>
      </w:r>
      <w:r w:rsidR="00214DC1" w:rsidRPr="00214DC1">
        <w:rPr>
          <w:b/>
          <w:lang w:val="en-GB"/>
        </w:rPr>
        <w:t xml:space="preserve">for the target cell. </w:t>
      </w:r>
    </w:p>
    <w:p w:rsidR="00214DC1" w:rsidRDefault="00214DC1" w:rsidP="007B5576">
      <w:pPr>
        <w:spacing w:before="120" w:after="120"/>
        <w:jc w:val="both"/>
        <w:rPr>
          <w:b/>
          <w:lang w:val="en-GB"/>
        </w:rPr>
      </w:pPr>
      <w:r>
        <w:rPr>
          <w:b/>
          <w:lang w:val="en-GB"/>
        </w:rPr>
        <w:t xml:space="preserve">Proposal 1: UE creates a MAC entity and establish RLC entity(s) for the target cell </w:t>
      </w:r>
      <w:r w:rsidR="00470C38">
        <w:rPr>
          <w:b/>
          <w:lang w:val="en-GB"/>
        </w:rPr>
        <w:t>upon reception of the HO command</w:t>
      </w:r>
      <w:r>
        <w:rPr>
          <w:b/>
          <w:lang w:val="en-GB"/>
        </w:rPr>
        <w:t xml:space="preserve">. </w:t>
      </w:r>
    </w:p>
    <w:p w:rsidR="00824D69" w:rsidRPr="00214DC1" w:rsidRDefault="00470C38" w:rsidP="007B5576">
      <w:pPr>
        <w:spacing w:before="120" w:after="120"/>
        <w:jc w:val="both"/>
        <w:rPr>
          <w:rFonts w:eastAsia="Times New Roman"/>
          <w:b/>
          <w:lang w:val="en-GB"/>
        </w:rPr>
      </w:pPr>
      <w:r>
        <w:rPr>
          <w:rFonts w:eastAsia="Times New Roman"/>
          <w:lang w:val="en-GB"/>
        </w:rPr>
        <w:t>In non-DC based solution,</w:t>
      </w:r>
      <w:r w:rsidRPr="00804B8C">
        <w:rPr>
          <w:rFonts w:eastAsia="MS Mincho"/>
          <w:lang w:val="en-GB"/>
        </w:rPr>
        <w:t xml:space="preserve"> UE can transmit/receive PDCP PDUs to/from two protocol stack simultaneously. Since UP protocol for the target </w:t>
      </w:r>
      <w:proofErr w:type="spellStart"/>
      <w:r w:rsidRPr="00804B8C">
        <w:rPr>
          <w:rFonts w:eastAsia="MS Mincho"/>
          <w:lang w:val="en-GB"/>
        </w:rPr>
        <w:t>gNB</w:t>
      </w:r>
      <w:proofErr w:type="spellEnd"/>
      <w:r w:rsidRPr="00804B8C">
        <w:rPr>
          <w:rFonts w:eastAsia="MS Mincho"/>
          <w:lang w:val="en-GB"/>
        </w:rPr>
        <w:t xml:space="preserve"> has already been established, UP anchor can be changed directly from source </w:t>
      </w:r>
      <w:proofErr w:type="spellStart"/>
      <w:r w:rsidRPr="00804B8C">
        <w:rPr>
          <w:rFonts w:eastAsia="MS Mincho"/>
          <w:lang w:val="en-GB"/>
        </w:rPr>
        <w:t>gNB</w:t>
      </w:r>
      <w:proofErr w:type="spellEnd"/>
      <w:r w:rsidRPr="00804B8C">
        <w:rPr>
          <w:rFonts w:eastAsia="MS Mincho"/>
          <w:lang w:val="en-GB"/>
        </w:rPr>
        <w:t xml:space="preserve"> to target </w:t>
      </w:r>
      <w:proofErr w:type="spellStart"/>
      <w:r w:rsidRPr="00804B8C">
        <w:rPr>
          <w:rFonts w:eastAsia="MS Mincho"/>
          <w:lang w:val="en-GB"/>
        </w:rPr>
        <w:t>gNB</w:t>
      </w:r>
      <w:proofErr w:type="spellEnd"/>
      <w:r w:rsidRPr="00804B8C">
        <w:rPr>
          <w:rFonts w:eastAsia="MS Mincho"/>
          <w:lang w:val="en-GB"/>
        </w:rPr>
        <w:t>. UE can notice that the UP anchor has changed when source cell is released.</w:t>
      </w:r>
    </w:p>
    <w:p w:rsidR="00470C38" w:rsidRDefault="00470C38" w:rsidP="00470C38">
      <w:pPr>
        <w:spacing w:before="120" w:after="120"/>
        <w:jc w:val="both"/>
        <w:rPr>
          <w:rFonts w:eastAsia="MS Mincho"/>
          <w:noProof/>
        </w:rPr>
      </w:pPr>
      <w:r>
        <w:rPr>
          <w:rFonts w:eastAsia="MS Mincho"/>
          <w:noProof/>
        </w:rPr>
        <w:t>The</w:t>
      </w:r>
      <w:r w:rsidRPr="005C5113">
        <w:rPr>
          <w:rFonts w:eastAsia="MS Mincho"/>
          <w:noProof/>
        </w:rPr>
        <w:t xml:space="preserve"> reason why </w:t>
      </w:r>
      <w:r>
        <w:rPr>
          <w:rFonts w:eastAsia="MS Mincho"/>
          <w:noProof/>
        </w:rPr>
        <w:t>non-DC based solution</w:t>
      </w:r>
      <w:r w:rsidRPr="005C5113">
        <w:rPr>
          <w:rFonts w:eastAsia="MS Mincho"/>
          <w:noProof/>
        </w:rPr>
        <w:t xml:space="preserve"> </w:t>
      </w:r>
      <w:r>
        <w:rPr>
          <w:rFonts w:eastAsia="MS Mincho"/>
          <w:noProof/>
        </w:rPr>
        <w:t>can perform PDCP relocation  without UP reset</w:t>
      </w:r>
      <w:r w:rsidRPr="005C5113">
        <w:rPr>
          <w:rFonts w:eastAsia="MS Mincho"/>
          <w:noProof/>
        </w:rPr>
        <w:t xml:space="preserve"> is that a UP protocol for the target </w:t>
      </w:r>
      <w:r>
        <w:rPr>
          <w:rFonts w:eastAsia="MS Mincho"/>
          <w:noProof/>
        </w:rPr>
        <w:t>e</w:t>
      </w:r>
      <w:r w:rsidRPr="005C5113">
        <w:rPr>
          <w:rFonts w:eastAsia="MS Mincho"/>
          <w:noProof/>
        </w:rPr>
        <w:t>NB is prepared before PDCP relocation. So PDCP can relocated directly using the prepared UP</w:t>
      </w:r>
      <w:r w:rsidRPr="005C5113">
        <w:rPr>
          <w:rFonts w:eastAsia="MS Mincho" w:hint="eastAsia"/>
          <w:noProof/>
        </w:rPr>
        <w:t xml:space="preserve"> protocol for </w:t>
      </w:r>
      <w:r w:rsidRPr="005C5113">
        <w:rPr>
          <w:rFonts w:eastAsia="MS Mincho"/>
          <w:noProof/>
        </w:rPr>
        <w:t xml:space="preserve">data </w:t>
      </w:r>
      <w:r w:rsidRPr="005C5113">
        <w:rPr>
          <w:rFonts w:eastAsia="MS Mincho" w:hint="eastAsia"/>
          <w:noProof/>
        </w:rPr>
        <w:t>transmission</w:t>
      </w:r>
      <w:r w:rsidRPr="005C5113">
        <w:rPr>
          <w:rFonts w:eastAsia="MS Mincho"/>
          <w:noProof/>
        </w:rPr>
        <w:t xml:space="preserve"> with the target </w:t>
      </w:r>
      <w:r>
        <w:rPr>
          <w:rFonts w:eastAsia="MS Mincho"/>
          <w:noProof/>
        </w:rPr>
        <w:t>e</w:t>
      </w:r>
      <w:r w:rsidRPr="005C5113">
        <w:rPr>
          <w:rFonts w:eastAsia="MS Mincho"/>
          <w:noProof/>
        </w:rPr>
        <w:t xml:space="preserve">NB. Meanwhile, the original UP protocol stack can be maintained for data transmission with the source </w:t>
      </w:r>
      <w:r>
        <w:rPr>
          <w:rFonts w:eastAsia="MS Mincho"/>
          <w:noProof/>
        </w:rPr>
        <w:t>e</w:t>
      </w:r>
      <w:r w:rsidRPr="005C5113">
        <w:rPr>
          <w:rFonts w:eastAsia="MS Mincho"/>
          <w:noProof/>
        </w:rPr>
        <w:t xml:space="preserve">NB.  </w:t>
      </w:r>
    </w:p>
    <w:p w:rsidR="00470C38" w:rsidRDefault="00470C38" w:rsidP="00470C38">
      <w:pPr>
        <w:spacing w:before="120" w:after="120"/>
        <w:jc w:val="both"/>
        <w:rPr>
          <w:rFonts w:eastAsia="MS Mincho"/>
          <w:b/>
          <w:noProof/>
        </w:rPr>
      </w:pPr>
      <w:r w:rsidRPr="00301F8D">
        <w:rPr>
          <w:rFonts w:eastAsia="MS Mincho"/>
          <w:b/>
          <w:noProof/>
        </w:rPr>
        <w:t xml:space="preserve">Observation </w:t>
      </w:r>
      <w:r>
        <w:rPr>
          <w:rFonts w:eastAsia="MS Mincho"/>
          <w:b/>
          <w:noProof/>
        </w:rPr>
        <w:t>2</w:t>
      </w:r>
      <w:r w:rsidRPr="00301F8D">
        <w:rPr>
          <w:rFonts w:eastAsia="MS Mincho"/>
          <w:b/>
          <w:noProof/>
        </w:rPr>
        <w:t xml:space="preserve">: At PDCP relocation, </w:t>
      </w:r>
      <w:r>
        <w:rPr>
          <w:rFonts w:eastAsia="MS Mincho"/>
          <w:b/>
          <w:noProof/>
        </w:rPr>
        <w:t>the non-DC based solution doesn’t need UP protocol reset.</w:t>
      </w:r>
    </w:p>
    <w:p w:rsidR="007B5576" w:rsidRDefault="007B5576" w:rsidP="007B5576">
      <w:pPr>
        <w:spacing w:before="120" w:after="120"/>
        <w:jc w:val="both"/>
      </w:pPr>
    </w:p>
    <w:p w:rsidR="00172C2B" w:rsidRDefault="00470C38" w:rsidP="00172C2B">
      <w:pPr>
        <w:spacing w:before="120" w:after="120"/>
        <w:jc w:val="center"/>
        <w:rPr>
          <w:rFonts w:eastAsia="Times New Roman"/>
          <w:lang w:val="en-GB"/>
        </w:rPr>
      </w:pPr>
      <w:r>
        <w:object w:dxaOrig="11869" w:dyaOrig="10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9pt;height:191.55pt" o:ole="">
            <v:imagedata r:id="rId8" o:title="" croptop="5699f" cropbottom="1710f"/>
          </v:shape>
          <o:OLEObject Type="Embed" ProgID="Visio.Drawing.15" ShapeID="_x0000_i1025" DrawAspect="Content" ObjectID="_1615293967" r:id="rId9"/>
        </w:object>
      </w:r>
    </w:p>
    <w:p w:rsidR="003A520E" w:rsidRDefault="003A520E" w:rsidP="0006231C">
      <w:pPr>
        <w:spacing w:before="120" w:after="120"/>
        <w:jc w:val="center"/>
        <w:rPr>
          <w:rFonts w:eastAsia="Times New Roman"/>
          <w:lang w:val="en-GB"/>
        </w:rPr>
      </w:pPr>
      <w:r>
        <w:rPr>
          <w:b/>
        </w:rPr>
        <w:t xml:space="preserve">Figure 1 </w:t>
      </w:r>
      <w:r w:rsidR="00172C2B">
        <w:rPr>
          <w:b/>
        </w:rPr>
        <w:t>Non-DC-based</w:t>
      </w:r>
      <w:r w:rsidR="00470C38">
        <w:rPr>
          <w:b/>
        </w:rPr>
        <w:t xml:space="preserve"> </w:t>
      </w:r>
    </w:p>
    <w:p w:rsidR="007713D0" w:rsidRDefault="00C82339" w:rsidP="0006231C">
      <w:pPr>
        <w:spacing w:before="120" w:after="120"/>
        <w:rPr>
          <w:b/>
          <w:i/>
          <w:u w:val="single"/>
          <w:lang w:eastAsia="ko-KR"/>
        </w:rPr>
      </w:pPr>
      <w:r w:rsidRPr="00C82339">
        <w:rPr>
          <w:b/>
          <w:i/>
          <w:u w:val="single"/>
          <w:lang w:eastAsia="ko-KR"/>
        </w:rPr>
        <w:t>SN assignment</w:t>
      </w:r>
    </w:p>
    <w:p w:rsidR="007713D0" w:rsidRDefault="007713D0" w:rsidP="0006231C">
      <w:pPr>
        <w:spacing w:before="120" w:after="120"/>
        <w:rPr>
          <w:b/>
          <w:i/>
          <w:u w:val="single"/>
          <w:lang w:eastAsia="ko-KR"/>
        </w:rPr>
      </w:pPr>
      <w:r>
        <w:rPr>
          <w:lang w:val="en-GB" w:eastAsia="ko-KR"/>
        </w:rPr>
        <w:t>In RAN2#105 meeting, RAN2 made following agreements for SN assignment.</w:t>
      </w:r>
    </w:p>
    <w:p w:rsidR="007713D0" w:rsidRDefault="007713D0" w:rsidP="007713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3</w:t>
      </w:r>
      <w:r>
        <w:tab/>
        <w:t>Agree the following common aspects for “non-split bearer” solution candidate:</w:t>
      </w:r>
    </w:p>
    <w:p w:rsidR="007713D0" w:rsidRDefault="007713D0" w:rsidP="007713D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proofErr w:type="gramStart"/>
      <w:r>
        <w:t>a.</w:t>
      </w:r>
      <w:r>
        <w:tab/>
        <w:t>PDCP</w:t>
      </w:r>
      <w:proofErr w:type="gramEnd"/>
      <w:r>
        <w:t xml:space="preserve"> SN assignment (for DL) is done at source </w:t>
      </w:r>
      <w:proofErr w:type="spellStart"/>
      <w:r>
        <w:t>eNB</w:t>
      </w:r>
      <w:proofErr w:type="spellEnd"/>
      <w:r>
        <w:t xml:space="preserve">. PDCP SDUs and the SN assigned to each SDU are then forwarded to target </w:t>
      </w:r>
      <w:proofErr w:type="spellStart"/>
      <w:r>
        <w:t>eNB</w:t>
      </w:r>
      <w:proofErr w:type="spellEnd"/>
      <w:r>
        <w:t>. Details of how SN information is transferred is FFS.</w:t>
      </w:r>
    </w:p>
    <w:p w:rsidR="005F5FC8" w:rsidRDefault="007713D0" w:rsidP="0006231C">
      <w:pPr>
        <w:spacing w:before="120" w:after="120"/>
        <w:rPr>
          <w:lang w:val="en-GB" w:eastAsia="ko-KR"/>
        </w:rPr>
      </w:pPr>
      <w:r w:rsidRPr="007F3E78">
        <w:rPr>
          <w:lang w:val="en-GB" w:eastAsia="ko-KR"/>
        </w:rPr>
        <w:t xml:space="preserve">The conclusion </w:t>
      </w:r>
      <w:r w:rsidR="007F3E78" w:rsidRPr="007F3E78">
        <w:rPr>
          <w:lang w:val="en-GB" w:eastAsia="ko-KR"/>
        </w:rPr>
        <w:t xml:space="preserve">in LTE is also applicable </w:t>
      </w:r>
      <w:r w:rsidR="007F3E78">
        <w:rPr>
          <w:lang w:val="en-GB" w:eastAsia="ko-KR"/>
        </w:rPr>
        <w:t xml:space="preserve">for non-DC based solution. So the PDCP SN assignment for DL is performed at the source </w:t>
      </w:r>
      <w:proofErr w:type="spellStart"/>
      <w:r w:rsidR="007F3E78">
        <w:rPr>
          <w:lang w:val="en-GB" w:eastAsia="ko-KR"/>
        </w:rPr>
        <w:t>gNB</w:t>
      </w:r>
      <w:proofErr w:type="spellEnd"/>
      <w:r w:rsidR="007F3E78">
        <w:rPr>
          <w:lang w:val="en-GB" w:eastAsia="ko-KR"/>
        </w:rPr>
        <w:t>. PDC</w:t>
      </w:r>
      <w:r w:rsidR="00FD0EA5">
        <w:rPr>
          <w:lang w:val="en-GB" w:eastAsia="ko-KR"/>
        </w:rPr>
        <w:t>P</w:t>
      </w:r>
      <w:r w:rsidR="007F3E78">
        <w:rPr>
          <w:lang w:val="en-GB" w:eastAsia="ko-KR"/>
        </w:rPr>
        <w:t xml:space="preserve"> SDUs and the SN assigned to each SDU are forwarded to the target </w:t>
      </w:r>
      <w:proofErr w:type="spellStart"/>
      <w:r w:rsidR="007F3E78">
        <w:rPr>
          <w:lang w:val="en-GB" w:eastAsia="ko-KR"/>
        </w:rPr>
        <w:t>gNB</w:t>
      </w:r>
      <w:proofErr w:type="spellEnd"/>
      <w:r w:rsidR="007F3E78">
        <w:rPr>
          <w:lang w:val="en-GB" w:eastAsia="ko-KR"/>
        </w:rPr>
        <w:t xml:space="preserve">. Then how to deliver the SN information needs to be considered.  </w:t>
      </w:r>
    </w:p>
    <w:p w:rsidR="005F5FC8" w:rsidRDefault="005F5FC8" w:rsidP="0006231C">
      <w:pPr>
        <w:spacing w:before="120" w:after="120"/>
        <w:jc w:val="both"/>
        <w:rPr>
          <w:b/>
          <w:lang w:val="en-GB" w:eastAsia="ko-KR"/>
        </w:rPr>
      </w:pPr>
      <w:r w:rsidRPr="005F5FC8">
        <w:rPr>
          <w:b/>
          <w:lang w:val="en-GB" w:eastAsia="ko-KR"/>
        </w:rPr>
        <w:t xml:space="preserve">Observation </w:t>
      </w:r>
      <w:r w:rsidR="0065073F">
        <w:rPr>
          <w:b/>
          <w:lang w:val="en-GB" w:eastAsia="ko-KR"/>
        </w:rPr>
        <w:t>3</w:t>
      </w:r>
      <w:r w:rsidRPr="005F5FC8">
        <w:rPr>
          <w:b/>
          <w:lang w:val="en-GB" w:eastAsia="ko-KR"/>
        </w:rPr>
        <w:t xml:space="preserve">: </w:t>
      </w:r>
      <w:r w:rsidR="00470C38">
        <w:rPr>
          <w:b/>
          <w:lang w:val="en-GB" w:eastAsia="ko-KR"/>
        </w:rPr>
        <w:t xml:space="preserve">In </w:t>
      </w:r>
      <w:r w:rsidR="00FD0EA5">
        <w:rPr>
          <w:b/>
          <w:lang w:val="en-GB" w:eastAsia="ko-KR"/>
        </w:rPr>
        <w:t>non-</w:t>
      </w:r>
      <w:r w:rsidR="00470C38">
        <w:rPr>
          <w:b/>
          <w:lang w:val="en-GB" w:eastAsia="ko-KR"/>
        </w:rPr>
        <w:t>DC-based solution, b</w:t>
      </w:r>
      <w:r w:rsidR="00C9609F">
        <w:rPr>
          <w:b/>
          <w:lang w:val="en-GB" w:eastAsia="ko-KR"/>
        </w:rPr>
        <w:t>efore PDCP relocation</w:t>
      </w:r>
      <w:r w:rsidRPr="005F5FC8">
        <w:rPr>
          <w:b/>
          <w:lang w:val="en-GB" w:eastAsia="ko-KR"/>
        </w:rPr>
        <w:t xml:space="preserve">, PDCP SN assignment for DL is performed by the source </w:t>
      </w:r>
      <w:proofErr w:type="spellStart"/>
      <w:r w:rsidRPr="005F5FC8">
        <w:rPr>
          <w:b/>
          <w:lang w:val="en-GB" w:eastAsia="ko-KR"/>
        </w:rPr>
        <w:t>eNB</w:t>
      </w:r>
      <w:proofErr w:type="spellEnd"/>
      <w:r w:rsidRPr="005F5FC8">
        <w:rPr>
          <w:b/>
          <w:lang w:val="en-GB" w:eastAsia="ko-KR"/>
        </w:rPr>
        <w:t xml:space="preserve">. </w:t>
      </w:r>
    </w:p>
    <w:p w:rsidR="003A520E" w:rsidRPr="008F69A7" w:rsidRDefault="008F69A7" w:rsidP="0006231C">
      <w:pPr>
        <w:spacing w:before="120" w:after="120"/>
        <w:rPr>
          <w:b/>
          <w:i/>
          <w:u w:val="single"/>
          <w:lang w:eastAsia="ko-KR"/>
        </w:rPr>
      </w:pPr>
      <w:r w:rsidRPr="008F69A7">
        <w:rPr>
          <w:b/>
          <w:i/>
          <w:u w:val="single"/>
          <w:lang w:eastAsia="ko-KR"/>
        </w:rPr>
        <w:t xml:space="preserve">Security handling </w:t>
      </w:r>
    </w:p>
    <w:p w:rsidR="008F69A7" w:rsidRDefault="008F69A7" w:rsidP="0006231C">
      <w:pPr>
        <w:spacing w:before="120" w:after="120"/>
        <w:rPr>
          <w:lang w:val="en-GB" w:eastAsia="ko-KR"/>
        </w:rPr>
      </w:pPr>
      <w:r>
        <w:rPr>
          <w:lang w:val="en-GB" w:eastAsia="ko-KR"/>
        </w:rPr>
        <w:t xml:space="preserve">In RAN2#105 meeting for LTE mobility enhancement, RAN2 agreed </w:t>
      </w:r>
      <w:r>
        <w:t>in case of two active protocol stacks, a separate security key is used for each of the protocol stacks</w:t>
      </w:r>
      <w:r>
        <w:rPr>
          <w:lang w:val="en-GB" w:eastAsia="ko-KR"/>
        </w:rPr>
        <w:t xml:space="preserve">. The same conclusion can be applied to NR for non-DC based solution.  </w:t>
      </w:r>
    </w:p>
    <w:p w:rsidR="00894667" w:rsidRDefault="00894667" w:rsidP="0006231C">
      <w:pPr>
        <w:spacing w:before="120" w:after="120"/>
        <w:jc w:val="both"/>
        <w:rPr>
          <w:rFonts w:eastAsia="MS Mincho"/>
          <w:b/>
          <w:noProof/>
        </w:rPr>
      </w:pPr>
      <w:r w:rsidRPr="005F5FC8">
        <w:rPr>
          <w:b/>
          <w:lang w:val="en-GB" w:eastAsia="ko-KR"/>
        </w:rPr>
        <w:t xml:space="preserve">Observation </w:t>
      </w:r>
      <w:r>
        <w:rPr>
          <w:b/>
          <w:lang w:val="en-GB" w:eastAsia="ko-KR"/>
        </w:rPr>
        <w:t>4</w:t>
      </w:r>
      <w:r w:rsidRPr="005F5FC8">
        <w:rPr>
          <w:b/>
          <w:lang w:val="en-GB" w:eastAsia="ko-KR"/>
        </w:rPr>
        <w:t xml:space="preserve">: </w:t>
      </w:r>
      <w:r>
        <w:rPr>
          <w:b/>
          <w:lang w:val="en-GB" w:eastAsia="ko-KR"/>
        </w:rPr>
        <w:t xml:space="preserve">In non-DC based solution, two security keys are used separately at the source </w:t>
      </w:r>
      <w:proofErr w:type="spellStart"/>
      <w:r>
        <w:rPr>
          <w:b/>
          <w:lang w:val="en-GB" w:eastAsia="ko-KR"/>
        </w:rPr>
        <w:t>gNB</w:t>
      </w:r>
      <w:proofErr w:type="spellEnd"/>
      <w:r>
        <w:rPr>
          <w:b/>
          <w:lang w:val="en-GB" w:eastAsia="ko-KR"/>
        </w:rPr>
        <w:t xml:space="preserve"> and target </w:t>
      </w:r>
      <w:proofErr w:type="spellStart"/>
      <w:r>
        <w:rPr>
          <w:b/>
          <w:lang w:val="en-GB" w:eastAsia="ko-KR"/>
        </w:rPr>
        <w:t>gNB</w:t>
      </w:r>
      <w:proofErr w:type="spellEnd"/>
      <w:r>
        <w:rPr>
          <w:b/>
          <w:lang w:val="en-GB" w:eastAsia="ko-KR"/>
        </w:rPr>
        <w:t xml:space="preserve">. </w:t>
      </w:r>
    </w:p>
    <w:p w:rsidR="00894667" w:rsidRPr="002D4705" w:rsidRDefault="00894667" w:rsidP="0006231C">
      <w:pPr>
        <w:spacing w:before="120" w:after="120"/>
        <w:jc w:val="both"/>
        <w:rPr>
          <w:b/>
          <w:i/>
          <w:u w:val="single"/>
          <w:lang w:eastAsia="ko-KR"/>
        </w:rPr>
      </w:pPr>
      <w:r w:rsidRPr="002D4705">
        <w:rPr>
          <w:b/>
          <w:i/>
          <w:u w:val="single"/>
          <w:lang w:eastAsia="ko-KR"/>
        </w:rPr>
        <w:t>Header (de)compression</w:t>
      </w:r>
    </w:p>
    <w:p w:rsidR="001F758C" w:rsidRDefault="00894667" w:rsidP="0006231C">
      <w:pPr>
        <w:spacing w:before="120" w:after="120"/>
        <w:jc w:val="both"/>
        <w:rPr>
          <w:lang w:val="en-GB" w:eastAsia="ko-KR"/>
        </w:rPr>
      </w:pPr>
      <w:r>
        <w:rPr>
          <w:lang w:val="en-GB" w:eastAsia="ko-KR"/>
        </w:rPr>
        <w:t xml:space="preserve">In RAN2#105 meeting for LTE mobility enhancement, RAN2 agreed that </w:t>
      </w:r>
      <w:r>
        <w:t>ROHC and remaining PDCP functions (e.g. ciphering, PDCP PDU creation) are executed separately at each network</w:t>
      </w:r>
      <w:r>
        <w:rPr>
          <w:lang w:val="en-GB" w:eastAsia="ko-KR"/>
        </w:rPr>
        <w:t xml:space="preserve">.  The same conclusion can be applied to NR for non-DC based solution.  </w:t>
      </w:r>
    </w:p>
    <w:p w:rsidR="00894667" w:rsidRDefault="00894667" w:rsidP="0006231C">
      <w:pPr>
        <w:spacing w:before="120" w:after="120"/>
        <w:jc w:val="both"/>
        <w:rPr>
          <w:b/>
          <w:lang w:val="en-GB" w:eastAsia="ko-KR"/>
        </w:rPr>
      </w:pPr>
      <w:r w:rsidRPr="005F5FC8">
        <w:rPr>
          <w:b/>
          <w:lang w:val="en-GB" w:eastAsia="ko-KR"/>
        </w:rPr>
        <w:t xml:space="preserve">Observation </w:t>
      </w:r>
      <w:r>
        <w:rPr>
          <w:b/>
          <w:lang w:val="en-GB" w:eastAsia="ko-KR"/>
        </w:rPr>
        <w:t>5</w:t>
      </w:r>
      <w:r w:rsidRPr="005F5FC8">
        <w:rPr>
          <w:b/>
          <w:lang w:val="en-GB" w:eastAsia="ko-KR"/>
        </w:rPr>
        <w:t xml:space="preserve">: </w:t>
      </w:r>
      <w:r>
        <w:rPr>
          <w:b/>
          <w:lang w:val="en-GB" w:eastAsia="ko-KR"/>
        </w:rPr>
        <w:t xml:space="preserve">In non-DC based solution, ROHC is executed separately at the source </w:t>
      </w:r>
      <w:proofErr w:type="spellStart"/>
      <w:r>
        <w:rPr>
          <w:b/>
          <w:lang w:val="en-GB" w:eastAsia="ko-KR"/>
        </w:rPr>
        <w:t>gNB</w:t>
      </w:r>
      <w:proofErr w:type="spellEnd"/>
      <w:r>
        <w:rPr>
          <w:b/>
          <w:lang w:val="en-GB" w:eastAsia="ko-KR"/>
        </w:rPr>
        <w:t xml:space="preserve"> and target </w:t>
      </w:r>
      <w:proofErr w:type="spellStart"/>
      <w:r>
        <w:rPr>
          <w:b/>
          <w:lang w:val="en-GB" w:eastAsia="ko-KR"/>
        </w:rPr>
        <w:t>gNB</w:t>
      </w:r>
      <w:proofErr w:type="spellEnd"/>
      <w:r>
        <w:rPr>
          <w:b/>
          <w:lang w:val="en-GB" w:eastAsia="ko-KR"/>
        </w:rPr>
        <w:t xml:space="preserve">. </w:t>
      </w:r>
    </w:p>
    <w:p w:rsidR="00894667" w:rsidRPr="002D4705" w:rsidRDefault="00894667" w:rsidP="0006231C">
      <w:pPr>
        <w:spacing w:before="120" w:after="120"/>
        <w:jc w:val="both"/>
        <w:rPr>
          <w:b/>
          <w:i/>
          <w:u w:val="single"/>
          <w:lang w:eastAsia="ko-KR"/>
        </w:rPr>
      </w:pPr>
      <w:r>
        <w:rPr>
          <w:b/>
          <w:i/>
          <w:u w:val="single"/>
          <w:lang w:eastAsia="ko-KR"/>
        </w:rPr>
        <w:t>PDCP reordering</w:t>
      </w:r>
    </w:p>
    <w:p w:rsidR="00212A9A" w:rsidRDefault="00212A9A" w:rsidP="0006231C">
      <w:pPr>
        <w:spacing w:before="120" w:after="120"/>
        <w:jc w:val="both"/>
        <w:rPr>
          <w:rFonts w:eastAsia="MS Mincho"/>
          <w:lang w:val="en-GB"/>
        </w:rPr>
      </w:pPr>
      <w:r w:rsidRPr="00804B8C">
        <w:rPr>
          <w:rFonts w:eastAsia="MS Mincho"/>
          <w:lang w:val="en-GB"/>
        </w:rPr>
        <w:t xml:space="preserve">For </w:t>
      </w:r>
      <w:r>
        <w:rPr>
          <w:rFonts w:eastAsia="MS Mincho"/>
          <w:lang w:val="en-GB"/>
        </w:rPr>
        <w:t>DC-based solution</w:t>
      </w:r>
      <w:r w:rsidRPr="00804B8C">
        <w:rPr>
          <w:rFonts w:eastAsia="MS Mincho"/>
          <w:lang w:val="en-GB"/>
        </w:rPr>
        <w:t xml:space="preserve">, PDCP reordering in current specification can be reused directly. PDCP reordering is performed on the PDCP PDUs received from two RLC entities, one for the source </w:t>
      </w:r>
      <w:proofErr w:type="spellStart"/>
      <w:r>
        <w:rPr>
          <w:rFonts w:eastAsia="MS Mincho"/>
          <w:lang w:val="en-GB"/>
        </w:rPr>
        <w:t>gNB</w:t>
      </w:r>
      <w:proofErr w:type="spellEnd"/>
      <w:r w:rsidRPr="00804B8C">
        <w:rPr>
          <w:rFonts w:eastAsia="MS Mincho"/>
          <w:lang w:val="en-GB"/>
        </w:rPr>
        <w:t xml:space="preserve"> and the other is for the target </w:t>
      </w:r>
      <w:proofErr w:type="spellStart"/>
      <w:r>
        <w:rPr>
          <w:rFonts w:eastAsia="MS Mincho"/>
          <w:lang w:val="en-GB"/>
        </w:rPr>
        <w:t>gNB</w:t>
      </w:r>
      <w:proofErr w:type="spellEnd"/>
      <w:r w:rsidRPr="00804B8C">
        <w:rPr>
          <w:rFonts w:eastAsia="MS Mincho"/>
          <w:lang w:val="en-GB"/>
        </w:rPr>
        <w:t>.</w:t>
      </w:r>
      <w:r>
        <w:rPr>
          <w:rFonts w:eastAsia="MS Mincho"/>
          <w:lang w:val="en-GB"/>
        </w:rPr>
        <w:t xml:space="preserve"> For non-DC-based solution, the current PDCP reordering function can also be reused. </w:t>
      </w:r>
    </w:p>
    <w:p w:rsidR="00212A9A" w:rsidRDefault="00212A9A" w:rsidP="0006231C">
      <w:pPr>
        <w:spacing w:before="120" w:after="120"/>
        <w:jc w:val="both"/>
        <w:rPr>
          <w:b/>
          <w:lang w:val="en-GB"/>
        </w:rPr>
      </w:pPr>
      <w:r w:rsidRPr="00804B8C">
        <w:rPr>
          <w:rFonts w:eastAsia="MS Mincho"/>
          <w:b/>
          <w:noProof/>
        </w:rPr>
        <w:t xml:space="preserve">Observation </w:t>
      </w:r>
      <w:r>
        <w:rPr>
          <w:rFonts w:eastAsia="MS Mincho"/>
          <w:b/>
          <w:noProof/>
        </w:rPr>
        <w:t>6</w:t>
      </w:r>
      <w:r w:rsidRPr="00804B8C">
        <w:rPr>
          <w:rFonts w:eastAsia="MS Mincho"/>
          <w:b/>
          <w:noProof/>
        </w:rPr>
        <w:t xml:space="preserve">: </w:t>
      </w:r>
      <w:r w:rsidR="001F758C">
        <w:rPr>
          <w:b/>
          <w:lang w:val="en-GB"/>
        </w:rPr>
        <w:t>For</w:t>
      </w:r>
      <w:r w:rsidRPr="00214DC1">
        <w:rPr>
          <w:b/>
          <w:lang w:val="en-GB"/>
        </w:rPr>
        <w:t xml:space="preserve"> non-DC based solution, </w:t>
      </w:r>
      <w:r>
        <w:rPr>
          <w:b/>
          <w:lang w:val="en-GB"/>
        </w:rPr>
        <w:t xml:space="preserve">current PDCP reordering function can be reused. </w:t>
      </w:r>
    </w:p>
    <w:p w:rsidR="0006231C" w:rsidRDefault="0006231C" w:rsidP="0006231C">
      <w:pPr>
        <w:spacing w:before="120" w:after="120"/>
        <w:jc w:val="both"/>
        <w:rPr>
          <w:b/>
          <w:lang w:val="en-GB"/>
        </w:rPr>
      </w:pPr>
      <w:r>
        <w:rPr>
          <w:b/>
          <w:lang w:val="en-GB"/>
        </w:rPr>
        <w:t>Proposal 2: Reuse curr</w:t>
      </w:r>
      <w:r w:rsidR="001F758C">
        <w:rPr>
          <w:b/>
          <w:lang w:val="en-GB"/>
        </w:rPr>
        <w:t xml:space="preserve">ent PDCP re-ordering for non-DC based solution. </w:t>
      </w:r>
    </w:p>
    <w:p w:rsidR="001F758C" w:rsidRDefault="00212A9A" w:rsidP="001F758C">
      <w:pPr>
        <w:spacing w:before="120" w:after="120"/>
        <w:jc w:val="both"/>
        <w:rPr>
          <w:rFonts w:eastAsia="MS Mincho"/>
          <w:lang w:val="en-GB"/>
        </w:rPr>
      </w:pPr>
      <w:r w:rsidRPr="00212A9A">
        <w:rPr>
          <w:rFonts w:eastAsia="MS Mincho"/>
          <w:lang w:val="en-GB"/>
        </w:rPr>
        <w:lastRenderedPageBreak/>
        <w:t>The remaining issue in non-DC-based solution is how to modelling those additional functions, e.g. separate ROHCs and separate security pr</w:t>
      </w:r>
      <w:r w:rsidR="00C9774E">
        <w:rPr>
          <w:rFonts w:eastAsia="MS Mincho"/>
          <w:lang w:val="en-GB"/>
        </w:rPr>
        <w:t xml:space="preserve">ocesses in the PDCP layer. </w:t>
      </w:r>
      <w:r w:rsidR="001F758C">
        <w:rPr>
          <w:rFonts w:eastAsia="MS Mincho"/>
          <w:lang w:val="en-GB"/>
        </w:rPr>
        <w:t xml:space="preserve"> </w:t>
      </w:r>
    </w:p>
    <w:p w:rsidR="001F758C" w:rsidRPr="001F758C" w:rsidRDefault="001F758C" w:rsidP="001F758C">
      <w:pPr>
        <w:spacing w:before="120" w:after="120"/>
        <w:jc w:val="both"/>
        <w:rPr>
          <w:rFonts w:eastAsia="MS Mincho"/>
          <w:b/>
          <w:lang w:val="en-GB"/>
        </w:rPr>
      </w:pPr>
      <w:r w:rsidRPr="001F758C">
        <w:rPr>
          <w:rFonts w:eastAsia="MS Mincho"/>
          <w:b/>
          <w:lang w:val="en-GB"/>
        </w:rPr>
        <w:t xml:space="preserve">Proposal 3: RAN2 discuss how to model the PDCP layer with separate security processes, separate ROHCs and common PDCP reordering. </w:t>
      </w:r>
    </w:p>
    <w:p w:rsidR="00682F63" w:rsidRDefault="00682F63" w:rsidP="00682F63">
      <w:pPr>
        <w:pStyle w:val="Heading1"/>
      </w:pPr>
      <w:r>
        <w:t>Conclusion</w:t>
      </w:r>
    </w:p>
    <w:p w:rsidR="00682F63" w:rsidRPr="00682F63" w:rsidRDefault="0006231C" w:rsidP="009F538D">
      <w:pPr>
        <w:jc w:val="both"/>
        <w:rPr>
          <w:lang w:val="en-GB"/>
        </w:rPr>
      </w:pPr>
      <w:r>
        <w:rPr>
          <w:sz w:val="22"/>
          <w:szCs w:val="22"/>
        </w:rPr>
        <w:t xml:space="preserve">Observations: </w:t>
      </w:r>
    </w:p>
    <w:p w:rsidR="00FD0EA5" w:rsidRDefault="00FD0EA5" w:rsidP="00FD0EA5">
      <w:pPr>
        <w:spacing w:before="120" w:after="120"/>
        <w:jc w:val="both"/>
        <w:rPr>
          <w:b/>
          <w:lang w:val="en-GB"/>
        </w:rPr>
      </w:pPr>
      <w:r w:rsidRPr="00214DC1">
        <w:rPr>
          <w:b/>
          <w:lang w:val="en-GB"/>
        </w:rPr>
        <w:t xml:space="preserve">Observation 1: In non-DC based solution, UE needs to create a MAC entity and establish RLC entity(s) for the target cell. </w:t>
      </w:r>
    </w:p>
    <w:p w:rsidR="00FD0EA5" w:rsidRDefault="00FD0EA5" w:rsidP="00FD0EA5">
      <w:pPr>
        <w:spacing w:before="120" w:after="120"/>
        <w:jc w:val="both"/>
        <w:rPr>
          <w:rFonts w:eastAsia="MS Mincho"/>
          <w:b/>
          <w:noProof/>
        </w:rPr>
      </w:pPr>
      <w:r w:rsidRPr="00301F8D">
        <w:rPr>
          <w:rFonts w:eastAsia="MS Mincho"/>
          <w:b/>
          <w:noProof/>
        </w:rPr>
        <w:t xml:space="preserve">Observation </w:t>
      </w:r>
      <w:r>
        <w:rPr>
          <w:rFonts w:eastAsia="MS Mincho"/>
          <w:b/>
          <w:noProof/>
        </w:rPr>
        <w:t>2</w:t>
      </w:r>
      <w:r w:rsidRPr="00301F8D">
        <w:rPr>
          <w:rFonts w:eastAsia="MS Mincho"/>
          <w:b/>
          <w:noProof/>
        </w:rPr>
        <w:t xml:space="preserve">: At PDCP relocation, </w:t>
      </w:r>
      <w:r>
        <w:rPr>
          <w:rFonts w:eastAsia="MS Mincho"/>
          <w:b/>
          <w:noProof/>
        </w:rPr>
        <w:t>the non-DC based solution doesn’t need UP protocol reset.</w:t>
      </w:r>
    </w:p>
    <w:p w:rsidR="00FD0EA5" w:rsidRDefault="00FD0EA5" w:rsidP="00FD0EA5">
      <w:pPr>
        <w:spacing w:before="120" w:after="120"/>
        <w:jc w:val="both"/>
        <w:rPr>
          <w:b/>
          <w:lang w:val="en-GB" w:eastAsia="ko-KR"/>
        </w:rPr>
      </w:pPr>
      <w:r w:rsidRPr="005F5FC8">
        <w:rPr>
          <w:b/>
          <w:lang w:val="en-GB" w:eastAsia="ko-KR"/>
        </w:rPr>
        <w:t xml:space="preserve">Observation </w:t>
      </w:r>
      <w:r>
        <w:rPr>
          <w:b/>
          <w:lang w:val="en-GB" w:eastAsia="ko-KR"/>
        </w:rPr>
        <w:t>3</w:t>
      </w:r>
      <w:r w:rsidRPr="005F5FC8">
        <w:rPr>
          <w:b/>
          <w:lang w:val="en-GB" w:eastAsia="ko-KR"/>
        </w:rPr>
        <w:t xml:space="preserve">: </w:t>
      </w:r>
      <w:r>
        <w:rPr>
          <w:b/>
          <w:lang w:val="en-GB" w:eastAsia="ko-KR"/>
        </w:rPr>
        <w:t>In non-DC-based solution, before PDCP relocation</w:t>
      </w:r>
      <w:r w:rsidRPr="005F5FC8">
        <w:rPr>
          <w:b/>
          <w:lang w:val="en-GB" w:eastAsia="ko-KR"/>
        </w:rPr>
        <w:t xml:space="preserve">, PDCP SN assignment for DL is performed by the source </w:t>
      </w:r>
      <w:proofErr w:type="spellStart"/>
      <w:r w:rsidRPr="005F5FC8">
        <w:rPr>
          <w:b/>
          <w:lang w:val="en-GB" w:eastAsia="ko-KR"/>
        </w:rPr>
        <w:t>eNB</w:t>
      </w:r>
      <w:proofErr w:type="spellEnd"/>
      <w:r w:rsidRPr="005F5FC8">
        <w:rPr>
          <w:b/>
          <w:lang w:val="en-GB" w:eastAsia="ko-KR"/>
        </w:rPr>
        <w:t xml:space="preserve">. </w:t>
      </w:r>
    </w:p>
    <w:p w:rsidR="00FD0EA5" w:rsidRDefault="00FD0EA5" w:rsidP="00FD0EA5">
      <w:pPr>
        <w:spacing w:before="120" w:after="120"/>
        <w:jc w:val="both"/>
        <w:rPr>
          <w:rFonts w:eastAsia="MS Mincho"/>
          <w:b/>
          <w:noProof/>
        </w:rPr>
      </w:pPr>
      <w:r w:rsidRPr="005F5FC8">
        <w:rPr>
          <w:b/>
          <w:lang w:val="en-GB" w:eastAsia="ko-KR"/>
        </w:rPr>
        <w:t xml:space="preserve">Observation </w:t>
      </w:r>
      <w:r>
        <w:rPr>
          <w:b/>
          <w:lang w:val="en-GB" w:eastAsia="ko-KR"/>
        </w:rPr>
        <w:t>4</w:t>
      </w:r>
      <w:r w:rsidRPr="005F5FC8">
        <w:rPr>
          <w:b/>
          <w:lang w:val="en-GB" w:eastAsia="ko-KR"/>
        </w:rPr>
        <w:t xml:space="preserve">: </w:t>
      </w:r>
      <w:r>
        <w:rPr>
          <w:b/>
          <w:lang w:val="en-GB" w:eastAsia="ko-KR"/>
        </w:rPr>
        <w:t xml:space="preserve">In non-DC based solution, two security keys are used separately at the source </w:t>
      </w:r>
      <w:proofErr w:type="spellStart"/>
      <w:r>
        <w:rPr>
          <w:b/>
          <w:lang w:val="en-GB" w:eastAsia="ko-KR"/>
        </w:rPr>
        <w:t>gNB</w:t>
      </w:r>
      <w:proofErr w:type="spellEnd"/>
      <w:r>
        <w:rPr>
          <w:b/>
          <w:lang w:val="en-GB" w:eastAsia="ko-KR"/>
        </w:rPr>
        <w:t xml:space="preserve"> and target </w:t>
      </w:r>
      <w:proofErr w:type="spellStart"/>
      <w:r>
        <w:rPr>
          <w:b/>
          <w:lang w:val="en-GB" w:eastAsia="ko-KR"/>
        </w:rPr>
        <w:t>gNB</w:t>
      </w:r>
      <w:proofErr w:type="spellEnd"/>
      <w:r>
        <w:rPr>
          <w:b/>
          <w:lang w:val="en-GB" w:eastAsia="ko-KR"/>
        </w:rPr>
        <w:t xml:space="preserve">. </w:t>
      </w:r>
    </w:p>
    <w:p w:rsidR="00FD0EA5" w:rsidRDefault="00FD0EA5" w:rsidP="00FD0EA5">
      <w:pPr>
        <w:spacing w:before="120" w:after="120"/>
        <w:jc w:val="both"/>
        <w:rPr>
          <w:b/>
          <w:lang w:val="en-GB" w:eastAsia="ko-KR"/>
        </w:rPr>
      </w:pPr>
      <w:r w:rsidRPr="005F5FC8">
        <w:rPr>
          <w:b/>
          <w:lang w:val="en-GB" w:eastAsia="ko-KR"/>
        </w:rPr>
        <w:t xml:space="preserve">Observation </w:t>
      </w:r>
      <w:r>
        <w:rPr>
          <w:b/>
          <w:lang w:val="en-GB" w:eastAsia="ko-KR"/>
        </w:rPr>
        <w:t>5</w:t>
      </w:r>
      <w:r w:rsidRPr="005F5FC8">
        <w:rPr>
          <w:b/>
          <w:lang w:val="en-GB" w:eastAsia="ko-KR"/>
        </w:rPr>
        <w:t xml:space="preserve">: </w:t>
      </w:r>
      <w:r>
        <w:rPr>
          <w:b/>
          <w:lang w:val="en-GB" w:eastAsia="ko-KR"/>
        </w:rPr>
        <w:t xml:space="preserve">In non-DC based solution, ROHC is executed separately at the source </w:t>
      </w:r>
      <w:proofErr w:type="spellStart"/>
      <w:r>
        <w:rPr>
          <w:b/>
          <w:lang w:val="en-GB" w:eastAsia="ko-KR"/>
        </w:rPr>
        <w:t>gNB</w:t>
      </w:r>
      <w:proofErr w:type="spellEnd"/>
      <w:r>
        <w:rPr>
          <w:b/>
          <w:lang w:val="en-GB" w:eastAsia="ko-KR"/>
        </w:rPr>
        <w:t xml:space="preserve"> and target </w:t>
      </w:r>
      <w:proofErr w:type="spellStart"/>
      <w:r>
        <w:rPr>
          <w:b/>
          <w:lang w:val="en-GB" w:eastAsia="ko-KR"/>
        </w:rPr>
        <w:t>gNB</w:t>
      </w:r>
      <w:proofErr w:type="spellEnd"/>
      <w:r>
        <w:rPr>
          <w:b/>
          <w:lang w:val="en-GB" w:eastAsia="ko-KR"/>
        </w:rPr>
        <w:t xml:space="preserve">. </w:t>
      </w:r>
    </w:p>
    <w:p w:rsidR="00FD0EA5" w:rsidRDefault="00FD0EA5" w:rsidP="00FD0EA5">
      <w:pPr>
        <w:spacing w:before="120" w:after="120"/>
        <w:jc w:val="both"/>
        <w:rPr>
          <w:b/>
          <w:lang w:val="en-GB"/>
        </w:rPr>
      </w:pPr>
      <w:r w:rsidRPr="00804B8C">
        <w:rPr>
          <w:rFonts w:eastAsia="MS Mincho"/>
          <w:b/>
          <w:noProof/>
        </w:rPr>
        <w:t xml:space="preserve">Observation </w:t>
      </w:r>
      <w:r>
        <w:rPr>
          <w:rFonts w:eastAsia="MS Mincho"/>
          <w:b/>
          <w:noProof/>
        </w:rPr>
        <w:t>6</w:t>
      </w:r>
      <w:r w:rsidRPr="00804B8C">
        <w:rPr>
          <w:rFonts w:eastAsia="MS Mincho"/>
          <w:b/>
          <w:noProof/>
        </w:rPr>
        <w:t xml:space="preserve">: </w:t>
      </w:r>
      <w:r>
        <w:rPr>
          <w:b/>
          <w:lang w:val="en-GB"/>
        </w:rPr>
        <w:t>For</w:t>
      </w:r>
      <w:r w:rsidRPr="00214DC1">
        <w:rPr>
          <w:b/>
          <w:lang w:val="en-GB"/>
        </w:rPr>
        <w:t xml:space="preserve"> non-DC based solution, </w:t>
      </w:r>
      <w:r>
        <w:rPr>
          <w:b/>
          <w:lang w:val="en-GB"/>
        </w:rPr>
        <w:t xml:space="preserve">current PDCP reordering function can be reused. </w:t>
      </w:r>
    </w:p>
    <w:p w:rsidR="00682F63" w:rsidRDefault="00682F63" w:rsidP="00682F63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Based on the observations, we propose:</w:t>
      </w:r>
    </w:p>
    <w:p w:rsidR="00FD0EA5" w:rsidRDefault="00FD0EA5" w:rsidP="00FD0EA5">
      <w:pPr>
        <w:spacing w:before="120" w:after="120"/>
        <w:jc w:val="both"/>
        <w:rPr>
          <w:b/>
          <w:lang w:val="en-GB"/>
        </w:rPr>
      </w:pPr>
      <w:r>
        <w:rPr>
          <w:b/>
          <w:lang w:val="en-GB"/>
        </w:rPr>
        <w:t xml:space="preserve">Proposal 1: UE creates a MAC entity and establish RLC entity(s) for the target cell upon reception of the HO command. </w:t>
      </w:r>
    </w:p>
    <w:p w:rsidR="00FD0EA5" w:rsidRDefault="00FD0EA5" w:rsidP="00FD0EA5">
      <w:pPr>
        <w:spacing w:before="120" w:after="120"/>
        <w:jc w:val="both"/>
        <w:rPr>
          <w:b/>
          <w:lang w:val="en-GB"/>
        </w:rPr>
      </w:pPr>
      <w:r>
        <w:rPr>
          <w:b/>
          <w:lang w:val="en-GB"/>
        </w:rPr>
        <w:t xml:space="preserve">Proposal 2: Reuse current PDCP re-ordering for non-DC based solution. </w:t>
      </w:r>
    </w:p>
    <w:p w:rsidR="00FD0EA5" w:rsidRPr="001F758C" w:rsidRDefault="00FD0EA5" w:rsidP="00FD0EA5">
      <w:pPr>
        <w:spacing w:before="120" w:after="120"/>
        <w:jc w:val="both"/>
        <w:rPr>
          <w:rFonts w:eastAsia="MS Mincho"/>
          <w:b/>
          <w:lang w:val="en-GB"/>
        </w:rPr>
      </w:pPr>
      <w:r w:rsidRPr="001F758C">
        <w:rPr>
          <w:rFonts w:eastAsia="MS Mincho"/>
          <w:b/>
          <w:lang w:val="en-GB"/>
        </w:rPr>
        <w:t xml:space="preserve">Proposal 3: RAN2 discuss how to model the PDCP layer with separate security processes, separate ROHCs and common PDCP reordering. </w:t>
      </w:r>
    </w:p>
    <w:p w:rsidR="0006231C" w:rsidRDefault="0006231C" w:rsidP="00B66569">
      <w:pPr>
        <w:spacing w:before="120" w:after="120"/>
        <w:jc w:val="both"/>
        <w:rPr>
          <w:rFonts w:eastAsia="MS Mincho"/>
          <w:b/>
          <w:lang w:val="en-GB"/>
        </w:rPr>
      </w:pPr>
    </w:p>
    <w:sectPr w:rsidR="0006231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2C7" w:rsidRDefault="00EB42C7" w:rsidP="00682F63">
      <w:pPr>
        <w:spacing w:after="0"/>
      </w:pPr>
      <w:r>
        <w:separator/>
      </w:r>
    </w:p>
  </w:endnote>
  <w:endnote w:type="continuationSeparator" w:id="0">
    <w:p w:rsidR="00EB42C7" w:rsidRDefault="00EB42C7" w:rsidP="00682F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2C7" w:rsidRDefault="00EB42C7" w:rsidP="00682F63">
      <w:pPr>
        <w:spacing w:after="0"/>
      </w:pPr>
      <w:r>
        <w:separator/>
      </w:r>
    </w:p>
  </w:footnote>
  <w:footnote w:type="continuationSeparator" w:id="0">
    <w:p w:rsidR="00EB42C7" w:rsidRDefault="00EB42C7" w:rsidP="00682F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A70FF"/>
    <w:multiLevelType w:val="hybridMultilevel"/>
    <w:tmpl w:val="6C66F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B702E5"/>
    <w:multiLevelType w:val="hybridMultilevel"/>
    <w:tmpl w:val="5EA08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787D4E"/>
    <w:multiLevelType w:val="hybridMultilevel"/>
    <w:tmpl w:val="C99E354A"/>
    <w:lvl w:ilvl="0" w:tplc="E04C693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4020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2CA02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CEC329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C0E72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D5EC9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5EFB5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9047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D6D3F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4BD91AE9"/>
    <w:multiLevelType w:val="hybridMultilevel"/>
    <w:tmpl w:val="1534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C71EF0"/>
    <w:multiLevelType w:val="hybridMultilevel"/>
    <w:tmpl w:val="19260656"/>
    <w:lvl w:ilvl="0" w:tplc="939AF3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8276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DC146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E67D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EE9AF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B21B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0D2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C6C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FC83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DBB5ED0"/>
    <w:multiLevelType w:val="multilevel"/>
    <w:tmpl w:val="5A22624A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300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776658A0"/>
    <w:multiLevelType w:val="hybridMultilevel"/>
    <w:tmpl w:val="64660FE4"/>
    <w:lvl w:ilvl="0" w:tplc="E818A8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9440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746F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47D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DA5D0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E44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7E16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B816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0C93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42C"/>
    <w:rsid w:val="0006231C"/>
    <w:rsid w:val="0008615C"/>
    <w:rsid w:val="000A6E11"/>
    <w:rsid w:val="000D7D18"/>
    <w:rsid w:val="000F364E"/>
    <w:rsid w:val="00172C2B"/>
    <w:rsid w:val="00194CF3"/>
    <w:rsid w:val="001B2E9D"/>
    <w:rsid w:val="001F758C"/>
    <w:rsid w:val="00212A9A"/>
    <w:rsid w:val="00214DC1"/>
    <w:rsid w:val="00241770"/>
    <w:rsid w:val="002D4705"/>
    <w:rsid w:val="002E663F"/>
    <w:rsid w:val="003A0BEB"/>
    <w:rsid w:val="003A1897"/>
    <w:rsid w:val="003A520E"/>
    <w:rsid w:val="003C75F9"/>
    <w:rsid w:val="003D1DA3"/>
    <w:rsid w:val="003D431C"/>
    <w:rsid w:val="0041642C"/>
    <w:rsid w:val="00470C38"/>
    <w:rsid w:val="00500184"/>
    <w:rsid w:val="005B2A7D"/>
    <w:rsid w:val="005E428F"/>
    <w:rsid w:val="005F5FC8"/>
    <w:rsid w:val="00613D1E"/>
    <w:rsid w:val="0065073F"/>
    <w:rsid w:val="006569EE"/>
    <w:rsid w:val="00682F63"/>
    <w:rsid w:val="006935B1"/>
    <w:rsid w:val="006961D3"/>
    <w:rsid w:val="006E3430"/>
    <w:rsid w:val="006F1572"/>
    <w:rsid w:val="00703CF4"/>
    <w:rsid w:val="00745835"/>
    <w:rsid w:val="007713D0"/>
    <w:rsid w:val="007B5576"/>
    <w:rsid w:val="007D533C"/>
    <w:rsid w:val="007E5B60"/>
    <w:rsid w:val="007F3E78"/>
    <w:rsid w:val="00801508"/>
    <w:rsid w:val="00801567"/>
    <w:rsid w:val="00811DEE"/>
    <w:rsid w:val="00824D69"/>
    <w:rsid w:val="00894667"/>
    <w:rsid w:val="008F51D6"/>
    <w:rsid w:val="008F69A7"/>
    <w:rsid w:val="00927A2C"/>
    <w:rsid w:val="009376D3"/>
    <w:rsid w:val="00956BD1"/>
    <w:rsid w:val="0097597C"/>
    <w:rsid w:val="009B5BD5"/>
    <w:rsid w:val="009F538D"/>
    <w:rsid w:val="00A37E35"/>
    <w:rsid w:val="00A71A72"/>
    <w:rsid w:val="00AD3CD9"/>
    <w:rsid w:val="00AD4B22"/>
    <w:rsid w:val="00B107B9"/>
    <w:rsid w:val="00B66569"/>
    <w:rsid w:val="00BE0375"/>
    <w:rsid w:val="00C21235"/>
    <w:rsid w:val="00C64DC6"/>
    <w:rsid w:val="00C82339"/>
    <w:rsid w:val="00C9609F"/>
    <w:rsid w:val="00C9774E"/>
    <w:rsid w:val="00CB5625"/>
    <w:rsid w:val="00CC795D"/>
    <w:rsid w:val="00CD36F2"/>
    <w:rsid w:val="00D430F6"/>
    <w:rsid w:val="00D45120"/>
    <w:rsid w:val="00D5286E"/>
    <w:rsid w:val="00D94326"/>
    <w:rsid w:val="00DD683F"/>
    <w:rsid w:val="00E348EC"/>
    <w:rsid w:val="00E35EF3"/>
    <w:rsid w:val="00E82AE4"/>
    <w:rsid w:val="00EB42C7"/>
    <w:rsid w:val="00EC19DA"/>
    <w:rsid w:val="00ED0E20"/>
    <w:rsid w:val="00EF6C13"/>
    <w:rsid w:val="00F52B55"/>
    <w:rsid w:val="00FD0EA5"/>
    <w:rsid w:val="00FD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CFCE91-AD06-4B22-8F46-F96D819A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642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1642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,Head2A,2,UNDERRUBRIK 1-2,H2 Char,h2 Char"/>
    <w:basedOn w:val="Heading1"/>
    <w:next w:val="Normal"/>
    <w:link w:val="Heading2Char"/>
    <w:qFormat/>
    <w:rsid w:val="0041642C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41642C"/>
    <w:rPr>
      <w:rFonts w:ascii="Arial" w:eastAsia="Arial" w:hAnsi="Arial" w:cs="Times New Roman"/>
      <w:noProof/>
      <w:sz w:val="36"/>
      <w:szCs w:val="20"/>
      <w:lang w:val="en-GB" w:eastAsia="en-US"/>
    </w:rPr>
  </w:style>
  <w:style w:type="character" w:customStyle="1" w:styleId="Heading2Char">
    <w:name w:val="Heading 2 Char"/>
    <w:aliases w:val="H2 Char1,h2 Char1,DO NOT USE_h2 Char,h21 Char,Heading 2 3GPP Char,Head2A Char,2 Char,UNDERRUBRIK 1-2 Char,H2 Char Char,h2 Char Char"/>
    <w:basedOn w:val="DefaultParagraphFont"/>
    <w:link w:val="Heading2"/>
    <w:rsid w:val="0041642C"/>
    <w:rPr>
      <w:rFonts w:ascii="Arial" w:eastAsia="Arial" w:hAnsi="Arial" w:cs="Times New Roman"/>
      <w:noProof/>
      <w:sz w:val="32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1642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1642C"/>
    <w:rPr>
      <w:rFonts w:ascii="Arial" w:eastAsia="宋体" w:hAnsi="Arial" w:cs="Times New Roman"/>
      <w:b/>
      <w:noProof/>
      <w:sz w:val="18"/>
      <w:szCs w:val="20"/>
      <w:lang w:eastAsia="en-US"/>
    </w:rPr>
  </w:style>
  <w:style w:type="paragraph" w:customStyle="1" w:styleId="CRCoverPage">
    <w:name w:val="CR Cover Page"/>
    <w:rsid w:val="0041642C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682F63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82F63"/>
    <w:rPr>
      <w:rFonts w:ascii="Times New Roman" w:eastAsia="宋体" w:hAnsi="Times New Roman" w:cs="Times New Roman"/>
      <w:sz w:val="20"/>
      <w:szCs w:val="20"/>
      <w:lang w:eastAsia="en-US"/>
    </w:rPr>
  </w:style>
  <w:style w:type="paragraph" w:customStyle="1" w:styleId="Doc-text2">
    <w:name w:val="Doc-text2"/>
    <w:basedOn w:val="Normal"/>
    <w:link w:val="Doc-text2Char"/>
    <w:qFormat/>
    <w:rsid w:val="00682F6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682F63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682F63"/>
    <w:pPr>
      <w:ind w:left="720"/>
      <w:contextualSpacing/>
    </w:pPr>
  </w:style>
  <w:style w:type="table" w:styleId="TableGrid">
    <w:name w:val="Table Grid"/>
    <w:basedOn w:val="TableNormal"/>
    <w:uiPriority w:val="39"/>
    <w:rsid w:val="00682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Doc-text2"/>
    <w:link w:val="Doc-titleChar"/>
    <w:qFormat/>
    <w:rsid w:val="00D4512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D4512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D45120"/>
    <w:rPr>
      <w:color w:val="0000FF"/>
      <w:u w:val="single"/>
    </w:rPr>
  </w:style>
  <w:style w:type="paragraph" w:customStyle="1" w:styleId="B1">
    <w:name w:val="B1"/>
    <w:basedOn w:val="List"/>
    <w:link w:val="B1Zchn"/>
    <w:rsid w:val="00EF6C13"/>
    <w:pPr>
      <w:ind w:left="568" w:hanging="284"/>
      <w:contextualSpacing w:val="0"/>
    </w:pPr>
    <w:rPr>
      <w:rFonts w:eastAsia="Times New Roman"/>
      <w:lang w:val="en-GB" w:eastAsia="ja-JP"/>
    </w:rPr>
  </w:style>
  <w:style w:type="character" w:customStyle="1" w:styleId="B1Zchn">
    <w:name w:val="B1 Zchn"/>
    <w:link w:val="B1"/>
    <w:rsid w:val="00EF6C1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EF6C13"/>
    <w:pPr>
      <w:ind w:left="283" w:hanging="283"/>
      <w:contextualSpacing/>
    </w:pPr>
  </w:style>
  <w:style w:type="paragraph" w:customStyle="1" w:styleId="NO">
    <w:name w:val="NO"/>
    <w:basedOn w:val="Normal"/>
    <w:link w:val="NOChar"/>
    <w:qFormat/>
    <w:rsid w:val="00C21235"/>
    <w:pPr>
      <w:keepLines/>
      <w:ind w:left="1135" w:hanging="851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qFormat/>
    <w:rsid w:val="00C2123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21235"/>
    <w:pPr>
      <w:ind w:left="851" w:hanging="284"/>
      <w:contextualSpacing w:val="0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C2123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C2123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3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2910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677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859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579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6702C-37F2-4DAC-9237-F3D3CBDE1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(Yuanyuan)</dc:creator>
  <cp:keywords/>
  <dc:description/>
  <cp:lastModifiedBy>Mediatek (Yuanyuan)</cp:lastModifiedBy>
  <cp:revision>2</cp:revision>
  <dcterms:created xsi:type="dcterms:W3CDTF">2019-03-28T07:59:00Z</dcterms:created>
  <dcterms:modified xsi:type="dcterms:W3CDTF">2019-03-28T07:59:00Z</dcterms:modified>
</cp:coreProperties>
</file>