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9159FB">
        <w:rPr>
          <w:rFonts w:cs="Arial" w:hint="eastAsia"/>
          <w:lang w:eastAsia="ja-JP"/>
        </w:rPr>
        <w:t>105</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8C300D">
        <w:rPr>
          <w:rFonts w:cs="Arial"/>
          <w:lang w:eastAsia="ja-JP"/>
        </w:rPr>
        <w:t>02168</w:t>
      </w:r>
    </w:p>
    <w:p w:rsidR="00DB7D65" w:rsidRPr="00863065" w:rsidRDefault="00E76068" w:rsidP="00156F86">
      <w:pPr>
        <w:pStyle w:val="af6"/>
        <w:tabs>
          <w:tab w:val="left" w:pos="709"/>
          <w:tab w:val="right" w:pos="9639"/>
        </w:tabs>
        <w:spacing w:after="0"/>
        <w:jc w:val="left"/>
        <w:rPr>
          <w:rFonts w:cs="Arial"/>
          <w:lang w:val="en-US" w:eastAsia="ja-JP"/>
        </w:rPr>
      </w:pPr>
      <w:r>
        <w:rPr>
          <w:rFonts w:cs="Arial"/>
          <w:lang w:val="en-US" w:eastAsia="ja-JP"/>
        </w:rPr>
        <w:t>25</w:t>
      </w:r>
      <w:r w:rsidR="006C777E">
        <w:rPr>
          <w:rFonts w:cs="Arial" w:hint="eastAsia"/>
          <w:vertAlign w:val="superscript"/>
          <w:lang w:val="en-US" w:eastAsia="ja-JP"/>
        </w:rPr>
        <w:t>th</w:t>
      </w:r>
      <w:r w:rsidR="006C777E" w:rsidRPr="00802E96">
        <w:rPr>
          <w:rFonts w:cs="Arial" w:hint="eastAsia"/>
          <w:lang w:val="en-US" w:eastAsia="ja-JP"/>
        </w:rPr>
        <w:t xml:space="preserve"> </w:t>
      </w:r>
      <w:r>
        <w:rPr>
          <w:rFonts w:cs="Arial"/>
          <w:lang w:val="en-US" w:eastAsia="ja-JP"/>
        </w:rPr>
        <w:t>February</w:t>
      </w:r>
      <w:r w:rsidR="006C777E">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1</w:t>
      </w:r>
      <w:r>
        <w:rPr>
          <w:rFonts w:cs="Arial"/>
          <w:vertAlign w:val="superscript"/>
          <w:lang w:val="en-US" w:eastAsia="ja-JP"/>
        </w:rPr>
        <w:t>st</w:t>
      </w:r>
      <w:r w:rsidR="006C777E" w:rsidRPr="00802E96">
        <w:rPr>
          <w:rFonts w:cs="Arial"/>
          <w:lang w:val="en-US" w:eastAsia="ja-JP"/>
        </w:rPr>
        <w:t xml:space="preserve"> </w:t>
      </w:r>
      <w:r>
        <w:rPr>
          <w:rFonts w:cs="Arial"/>
          <w:lang w:val="en-US" w:eastAsia="ja-JP"/>
        </w:rPr>
        <w:t>March</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E76068"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Athens</w:t>
      </w:r>
      <w:r w:rsidR="00947941" w:rsidRPr="00863065">
        <w:rPr>
          <w:rFonts w:cs="Arial"/>
          <w:lang w:val="en-US" w:eastAsia="ja-JP"/>
        </w:rPr>
        <w:t xml:space="preserve">, </w:t>
      </w:r>
      <w:r>
        <w:rPr>
          <w:rFonts w:cs="Arial"/>
          <w:lang w:val="en-US" w:eastAsia="ja-JP"/>
        </w:rPr>
        <w:t>Greece</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95D5F">
        <w:rPr>
          <w:rFonts w:ascii="Arial" w:hAnsi="Arial" w:cs="Arial"/>
          <w:b/>
          <w:sz w:val="24"/>
        </w:rPr>
        <w:t xml:space="preserve">Stage-2 level concept </w:t>
      </w:r>
      <w:r w:rsidR="008B08A2">
        <w:rPr>
          <w:rFonts w:ascii="Arial" w:hAnsi="Arial" w:cs="Arial"/>
          <w:b/>
          <w:sz w:val="24"/>
        </w:rPr>
        <w:t>on fast recovery of MCG link</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95720">
        <w:rPr>
          <w:rFonts w:ascii="Arial" w:hAnsi="Arial" w:cs="Arial"/>
          <w:b/>
          <w:sz w:val="24"/>
          <w:lang w:eastAsia="ja-JP"/>
        </w:rPr>
        <w:t>11.10</w:t>
      </w:r>
      <w:r w:rsidR="0001111F">
        <w:rPr>
          <w:rFonts w:ascii="Arial" w:hAnsi="Arial" w:cs="Arial"/>
          <w:b/>
          <w:sz w:val="24"/>
          <w:lang w:eastAsia="ja-JP"/>
        </w:rPr>
        <w:t>.5</w:t>
      </w:r>
      <w:r w:rsidR="0001111F">
        <w:rPr>
          <w:rFonts w:ascii="Arial" w:hAnsi="Arial" w:cs="Arial"/>
          <w:b/>
          <w:sz w:val="24"/>
          <w:lang w:eastAsia="ja-JP"/>
        </w:rPr>
        <w:tab/>
        <w:t>-</w:t>
      </w:r>
      <w:r w:rsidR="0001111F">
        <w:rPr>
          <w:rFonts w:ascii="Arial" w:hAnsi="Arial" w:cs="Arial"/>
          <w:b/>
          <w:sz w:val="24"/>
          <w:lang w:eastAsia="ja-JP"/>
        </w:rPr>
        <w:tab/>
        <w:t>Fast MCG link Recovery</w:t>
      </w:r>
    </w:p>
    <w:p w:rsidR="009F1C34" w:rsidRDefault="009479FA" w:rsidP="00BD7EED">
      <w:pPr>
        <w:pStyle w:val="2"/>
        <w:numPr>
          <w:ilvl w:val="0"/>
          <w:numId w:val="1"/>
        </w:numPr>
        <w:rPr>
          <w:rFonts w:cs="Arial"/>
          <w:lang w:eastAsia="ja-JP"/>
        </w:rPr>
      </w:pPr>
      <w:r w:rsidRPr="00863065">
        <w:rPr>
          <w:rFonts w:cs="Arial"/>
          <w:lang w:eastAsia="ja-JP"/>
        </w:rPr>
        <w:t>Introduction</w:t>
      </w:r>
    </w:p>
    <w:p w:rsidR="0001111F" w:rsidRDefault="00F84D29" w:rsidP="0001111F">
      <w:pPr>
        <w:rPr>
          <w:lang w:eastAsia="ja-JP"/>
        </w:rPr>
      </w:pPr>
      <w:r>
        <w:rPr>
          <w:rFonts w:hint="eastAsia"/>
          <w:lang w:eastAsia="ja-JP"/>
        </w:rPr>
        <w:t xml:space="preserve">This paper attempts to look over the conceptual mechanism of fulfilling the WI objective of fast recovery </w:t>
      </w:r>
      <w:r>
        <w:rPr>
          <w:lang w:eastAsia="ja-JP"/>
        </w:rPr>
        <w:t xml:space="preserve">(see below) </w:t>
      </w:r>
      <w:r>
        <w:rPr>
          <w:rFonts w:hint="eastAsia"/>
          <w:lang w:eastAsia="ja-JP"/>
        </w:rPr>
        <w:t>on the Stage-2 level</w:t>
      </w:r>
      <w:r>
        <w:rPr>
          <w:lang w:eastAsia="ja-JP"/>
        </w:rPr>
        <w:t xml:space="preserve"> [1]</w:t>
      </w:r>
      <w:r>
        <w:rPr>
          <w:rFonts w:hint="eastAsia"/>
          <w:lang w:eastAsia="ja-JP"/>
        </w:rPr>
        <w:t>.</w:t>
      </w:r>
    </w:p>
    <w:p w:rsidR="00F84D29" w:rsidRDefault="00F84D29" w:rsidP="00F84D29">
      <w:pPr>
        <w:pStyle w:val="B1"/>
      </w:pPr>
      <w:r>
        <w:rPr>
          <w:rFonts w:hint="eastAsia"/>
        </w:rPr>
        <w:t>4.</w:t>
      </w:r>
      <w:r>
        <w:rPr>
          <w:rFonts w:hint="eastAsia"/>
        </w:rPr>
        <w:tab/>
      </w:r>
      <w:r w:rsidRPr="00F84D29">
        <w:t>Fast recovery: Support fast recovery of MCG link e.g. by utilizing the SCG link and split SRBs for recovery during MCG failure while operating under MR-DC. [RAN2, RAN3]</w:t>
      </w:r>
    </w:p>
    <w:p w:rsidR="00F84D29" w:rsidRPr="00F84D29" w:rsidRDefault="00F84D29" w:rsidP="00F84D29">
      <w:pPr>
        <w:pStyle w:val="B2"/>
        <w:rPr>
          <w:lang w:eastAsia="ja-JP"/>
        </w:rPr>
      </w:pPr>
      <w:r>
        <w:rPr>
          <w:rFonts w:hint="eastAsia"/>
          <w:lang w:eastAsia="ja-JP"/>
        </w:rPr>
        <w:t>-</w:t>
      </w:r>
      <w:r>
        <w:rPr>
          <w:rFonts w:hint="eastAsia"/>
          <w:lang w:eastAsia="ja-JP"/>
        </w:rPr>
        <w:tab/>
      </w:r>
      <w:r w:rsidRPr="00F84D29">
        <w:rPr>
          <w:lang w:eastAsia="ja-JP"/>
        </w:rPr>
        <w:t>This objective applies to MR-DC and NR-NR DC</w:t>
      </w:r>
      <w:r>
        <w:rPr>
          <w:lang w:eastAsia="ja-JP"/>
        </w:rPr>
        <w:t>.</w:t>
      </w:r>
    </w:p>
    <w:p w:rsidR="005852CD" w:rsidRDefault="00C30470" w:rsidP="00C30470">
      <w:pPr>
        <w:pStyle w:val="2"/>
        <w:numPr>
          <w:ilvl w:val="0"/>
          <w:numId w:val="2"/>
        </w:numPr>
        <w:rPr>
          <w:lang w:eastAsia="ja-JP"/>
        </w:rPr>
      </w:pPr>
      <w:r>
        <w:rPr>
          <w:rFonts w:hint="eastAsia"/>
          <w:lang w:eastAsia="ja-JP"/>
        </w:rPr>
        <w:t>Discussion</w:t>
      </w:r>
    </w:p>
    <w:p w:rsidR="0001111F" w:rsidRDefault="006500EE" w:rsidP="0001111F">
      <w:pPr>
        <w:rPr>
          <w:lang w:eastAsia="ja-JP"/>
        </w:rPr>
      </w:pPr>
      <w:r>
        <w:rPr>
          <w:rFonts w:hint="eastAsia"/>
          <w:lang w:eastAsia="ja-JP"/>
        </w:rPr>
        <w:t xml:space="preserve">When the </w:t>
      </w:r>
      <w:r>
        <w:rPr>
          <w:lang w:eastAsia="ja-JP"/>
        </w:rPr>
        <w:t xml:space="preserve">Rel-15 </w:t>
      </w:r>
      <w:r>
        <w:rPr>
          <w:rFonts w:hint="eastAsia"/>
          <w:lang w:eastAsia="ja-JP"/>
        </w:rPr>
        <w:t xml:space="preserve">UE experiences an RLF or other failures (e.g. </w:t>
      </w:r>
      <w:r>
        <w:rPr>
          <w:lang w:eastAsia="ja-JP"/>
        </w:rPr>
        <w:t xml:space="preserve">integrity check failure, reconfiguration failure, etc.) on MCG, the RRC re-establishment procedure is initiated, no matter if MR/NR-DC is configured or not. To achieve the fast recovery for a UE configured with MR/NR-DC, an intuitive idea upon the MCG failure is to continue the data delivery via the SCG leg as long as it is alive. The UE initiates the RRC re-establishment procedure, only if both MCG and SCG </w:t>
      </w:r>
      <w:r w:rsidR="00E64886">
        <w:rPr>
          <w:lang w:eastAsia="ja-JP"/>
        </w:rPr>
        <w:t xml:space="preserve">links </w:t>
      </w:r>
      <w:r>
        <w:rPr>
          <w:lang w:eastAsia="ja-JP"/>
        </w:rPr>
        <w:t xml:space="preserve">are </w:t>
      </w:r>
      <w:r w:rsidR="00E64886">
        <w:rPr>
          <w:lang w:eastAsia="ja-JP"/>
        </w:rPr>
        <w:t>lost</w:t>
      </w:r>
      <w:r>
        <w:rPr>
          <w:lang w:eastAsia="ja-JP"/>
        </w:rPr>
        <w:t>.</w:t>
      </w:r>
      <w:r w:rsidR="00C87348">
        <w:rPr>
          <w:lang w:eastAsia="ja-JP"/>
        </w:rPr>
        <w:t xml:space="preserve"> As the first step, the followings are proposed:</w:t>
      </w:r>
    </w:p>
    <w:p w:rsidR="006500EE" w:rsidRPr="0082539B" w:rsidRDefault="0021370F" w:rsidP="0082539B">
      <w:pPr>
        <w:pStyle w:val="B1"/>
        <w:ind w:left="1704" w:hanging="1420"/>
        <w:rPr>
          <w:b/>
        </w:rPr>
      </w:pPr>
      <w:r w:rsidRPr="0082539B">
        <w:rPr>
          <w:rFonts w:hint="eastAsia"/>
          <w:b/>
        </w:rPr>
        <w:t>Proposal 1:</w:t>
      </w:r>
      <w:r w:rsidRPr="0082539B">
        <w:rPr>
          <w:rFonts w:hint="eastAsia"/>
          <w:b/>
        </w:rPr>
        <w:tab/>
        <w:t xml:space="preserve">Upon MCG failure, an MR/NR-DC UE continues </w:t>
      </w:r>
      <w:r w:rsidR="008A1AC1" w:rsidRPr="0082539B">
        <w:rPr>
          <w:b/>
        </w:rPr>
        <w:t>to receive and transmit C/U-plane data via the SCG leg, as long as the UE experiences SCG failure as well.</w:t>
      </w:r>
    </w:p>
    <w:p w:rsidR="008A1AC1" w:rsidRPr="0082539B" w:rsidRDefault="008A1AC1" w:rsidP="0082539B">
      <w:pPr>
        <w:pStyle w:val="B1"/>
        <w:ind w:left="1704" w:hanging="1420"/>
        <w:rPr>
          <w:b/>
        </w:rPr>
      </w:pPr>
      <w:r w:rsidRPr="0082539B">
        <w:rPr>
          <w:b/>
        </w:rPr>
        <w:t>Proposal 1a:</w:t>
      </w:r>
      <w:r w:rsidRPr="0082539B">
        <w:rPr>
          <w:b/>
        </w:rPr>
        <w:tab/>
        <w:t xml:space="preserve">If the </w:t>
      </w:r>
      <w:r w:rsidR="00CB33FB">
        <w:rPr>
          <w:b/>
        </w:rPr>
        <w:t xml:space="preserve">MR/NR-DC </w:t>
      </w:r>
      <w:r w:rsidRPr="0082539B">
        <w:rPr>
          <w:b/>
        </w:rPr>
        <w:t>UE experiences both MCG failure and SCG failure, the UE initiates the RRC re-establishment procedure.</w:t>
      </w:r>
    </w:p>
    <w:p w:rsidR="006500EE" w:rsidRPr="00CB33FB" w:rsidRDefault="00A433E2" w:rsidP="0001111F">
      <w:pPr>
        <w:rPr>
          <w:lang w:eastAsia="ja-JP"/>
        </w:rPr>
      </w:pPr>
      <w:r>
        <w:rPr>
          <w:rFonts w:hint="eastAsia"/>
          <w:lang w:eastAsia="ja-JP"/>
        </w:rPr>
        <w:t xml:space="preserve">With regards to the conditions to declare an MCG failure, it can be </w:t>
      </w:r>
      <w:r w:rsidR="00915DE2">
        <w:rPr>
          <w:lang w:eastAsia="ja-JP"/>
        </w:rPr>
        <w:t>the same condition as the UE initiates the RRC re-establishment procedure below</w:t>
      </w:r>
      <w:r w:rsidR="00F32694">
        <w:rPr>
          <w:lang w:eastAsia="ja-JP"/>
        </w:rPr>
        <w:t xml:space="preserve"> (see TS 38.331, sub-clause 5.3.7.2)</w:t>
      </w:r>
      <w:r w:rsidR="00915DE2">
        <w:rPr>
          <w:lang w:eastAsia="ja-JP"/>
        </w:rPr>
        <w:t>:</w:t>
      </w:r>
    </w:p>
    <w:p w:rsidR="008A1AC1" w:rsidRDefault="00F32694" w:rsidP="00F32694">
      <w:pPr>
        <w:pStyle w:val="B1"/>
      </w:pPr>
      <w:r>
        <w:rPr>
          <w:rFonts w:hint="eastAsia"/>
        </w:rPr>
        <w:t>-</w:t>
      </w:r>
      <w:r>
        <w:tab/>
      </w:r>
      <w:r w:rsidRPr="00F32694">
        <w:t>detecting radio link failure of the MCG</w:t>
      </w:r>
      <w:r>
        <w:t>;</w:t>
      </w:r>
    </w:p>
    <w:p w:rsidR="00F32694" w:rsidRDefault="00F32694" w:rsidP="00F32694">
      <w:pPr>
        <w:pStyle w:val="B1"/>
      </w:pPr>
      <w:r>
        <w:t>-</w:t>
      </w:r>
      <w:r>
        <w:tab/>
      </w:r>
      <w:r w:rsidRPr="00F32694">
        <w:t xml:space="preserve">re-configuration </w:t>
      </w:r>
      <w:r w:rsidR="006613C2">
        <w:t>(</w:t>
      </w:r>
      <w:r w:rsidRPr="00F32694">
        <w:t>with sync</w:t>
      </w:r>
      <w:r w:rsidR="006613C2">
        <w:t>)</w:t>
      </w:r>
      <w:r w:rsidRPr="00F32694">
        <w:t xml:space="preserve"> failure of the MCG</w:t>
      </w:r>
      <w:r>
        <w:t>;</w:t>
      </w:r>
    </w:p>
    <w:p w:rsidR="00F32694" w:rsidRDefault="00F32694" w:rsidP="00F32694">
      <w:pPr>
        <w:pStyle w:val="B1"/>
      </w:pPr>
      <w:r>
        <w:t>-</w:t>
      </w:r>
      <w:r>
        <w:tab/>
      </w:r>
      <w:r w:rsidRPr="00F32694">
        <w:t>mobility from NR failure</w:t>
      </w:r>
      <w:r>
        <w:t>;</w:t>
      </w:r>
    </w:p>
    <w:p w:rsidR="00F32694" w:rsidRDefault="00F32694" w:rsidP="006613C2">
      <w:pPr>
        <w:pStyle w:val="B1"/>
      </w:pPr>
      <w:r>
        <w:t>-</w:t>
      </w:r>
      <w:r>
        <w:tab/>
      </w:r>
      <w:r w:rsidRPr="00F32694">
        <w:t>integrity check failure indication from lower layers concerning SRB1 or SRB2</w:t>
      </w:r>
      <w:r>
        <w:t>.</w:t>
      </w:r>
    </w:p>
    <w:p w:rsidR="00915DE2" w:rsidRDefault="00F32694" w:rsidP="0001111F">
      <w:pPr>
        <w:rPr>
          <w:lang w:eastAsia="ja-JP"/>
        </w:rPr>
      </w:pPr>
      <w:r>
        <w:rPr>
          <w:rFonts w:hint="eastAsia"/>
          <w:lang w:eastAsia="ja-JP"/>
        </w:rPr>
        <w:t>N</w:t>
      </w:r>
      <w:r>
        <w:rPr>
          <w:lang w:eastAsia="ja-JP"/>
        </w:rPr>
        <w:t>onetheless, the need of mobility from NR failure is questionable</w:t>
      </w:r>
      <w:r w:rsidR="006A1202">
        <w:rPr>
          <w:lang w:eastAsia="ja-JP"/>
        </w:rPr>
        <w:t xml:space="preserve"> at this moment. The Rel-15 specification does not support inter-RAT handover while DC is configured. Unless it is supported in Rel-16, it should be excluded. Therefore, the following is proposed:</w:t>
      </w:r>
    </w:p>
    <w:p w:rsidR="00915DE2" w:rsidRPr="00CC3BCA" w:rsidRDefault="006A1202" w:rsidP="00CC3BCA">
      <w:pPr>
        <w:pStyle w:val="B1"/>
        <w:ind w:left="1704" w:hanging="1420"/>
        <w:rPr>
          <w:b/>
        </w:rPr>
      </w:pPr>
      <w:r w:rsidRPr="00CC3BCA">
        <w:rPr>
          <w:rFonts w:hint="eastAsia"/>
          <w:b/>
        </w:rPr>
        <w:t>Proposal 2:</w:t>
      </w:r>
      <w:r w:rsidRPr="00CC3BCA">
        <w:rPr>
          <w:rFonts w:hint="eastAsia"/>
          <w:b/>
        </w:rPr>
        <w:tab/>
      </w:r>
      <w:r w:rsidRPr="00CC3BCA">
        <w:rPr>
          <w:b/>
        </w:rPr>
        <w:t>The following MCG failure cases are supported while the UE is configured with MR/NR-DC:</w:t>
      </w:r>
    </w:p>
    <w:p w:rsidR="006613C2" w:rsidRPr="00CC3BCA" w:rsidRDefault="006613C2" w:rsidP="00CC3BCA">
      <w:pPr>
        <w:pStyle w:val="B5"/>
        <w:rPr>
          <w:b/>
          <w:lang w:eastAsia="ja-JP"/>
        </w:rPr>
      </w:pPr>
      <w:r w:rsidRPr="00CC3BCA">
        <w:rPr>
          <w:rFonts w:hint="eastAsia"/>
          <w:b/>
          <w:lang w:eastAsia="ja-JP"/>
        </w:rPr>
        <w:t>-</w:t>
      </w:r>
      <w:r w:rsidRPr="00CC3BCA">
        <w:rPr>
          <w:b/>
          <w:lang w:eastAsia="ja-JP"/>
        </w:rPr>
        <w:tab/>
        <w:t>detecting radio link failure of the MCG;</w:t>
      </w:r>
    </w:p>
    <w:p w:rsidR="006613C2" w:rsidRPr="00CC3BCA" w:rsidRDefault="006613C2" w:rsidP="00CC3BCA">
      <w:pPr>
        <w:pStyle w:val="B5"/>
        <w:rPr>
          <w:b/>
        </w:rPr>
      </w:pPr>
      <w:r w:rsidRPr="00CC3BCA">
        <w:rPr>
          <w:b/>
          <w:lang w:eastAsia="ja-JP"/>
        </w:rPr>
        <w:t>-</w:t>
      </w:r>
      <w:r w:rsidRPr="00CC3BCA">
        <w:rPr>
          <w:b/>
          <w:lang w:eastAsia="ja-JP"/>
        </w:rPr>
        <w:tab/>
      </w:r>
      <w:r w:rsidRPr="00CC3BCA">
        <w:rPr>
          <w:b/>
        </w:rPr>
        <w:t>re-configuration (with sync) failure of the MCG;</w:t>
      </w:r>
    </w:p>
    <w:p w:rsidR="006613C2" w:rsidRPr="00CC3BCA" w:rsidRDefault="006613C2" w:rsidP="00CC3BCA">
      <w:pPr>
        <w:pStyle w:val="B5"/>
        <w:rPr>
          <w:b/>
          <w:lang w:eastAsia="ja-JP"/>
        </w:rPr>
      </w:pPr>
      <w:r w:rsidRPr="00CC3BCA">
        <w:rPr>
          <w:b/>
        </w:rPr>
        <w:t>-</w:t>
      </w:r>
      <w:r w:rsidRPr="00CC3BCA">
        <w:rPr>
          <w:b/>
        </w:rPr>
        <w:tab/>
        <w:t>integrity check failure indication from lower layers concerning SRB1 or SRB2.</w:t>
      </w:r>
    </w:p>
    <w:p w:rsidR="006A1202" w:rsidRDefault="00BB50FB" w:rsidP="0001111F">
      <w:pPr>
        <w:rPr>
          <w:lang w:eastAsia="ja-JP"/>
        </w:rPr>
      </w:pPr>
      <w:r>
        <w:rPr>
          <w:rFonts w:hint="eastAsia"/>
          <w:lang w:eastAsia="ja-JP"/>
        </w:rPr>
        <w:t xml:space="preserve">With regards to how the UE handles MCG upon the failure, the same behaviour as defined for SCG failure can be applied. </w:t>
      </w:r>
      <w:r>
        <w:rPr>
          <w:lang w:eastAsia="ja-JP"/>
        </w:rPr>
        <w:t>Then, the followings are proposed:</w:t>
      </w:r>
    </w:p>
    <w:p w:rsidR="00BB50FB" w:rsidRPr="0059239E" w:rsidRDefault="0059239E" w:rsidP="0059239E">
      <w:pPr>
        <w:pStyle w:val="B1"/>
        <w:ind w:left="1704" w:hanging="1420"/>
        <w:rPr>
          <w:b/>
        </w:rPr>
      </w:pPr>
      <w:r w:rsidRPr="0059239E">
        <w:rPr>
          <w:rFonts w:hint="eastAsia"/>
          <w:b/>
        </w:rPr>
        <w:lastRenderedPageBreak/>
        <w:t>Proposal 3:</w:t>
      </w:r>
      <w:r w:rsidRPr="0059239E">
        <w:rPr>
          <w:rFonts w:hint="eastAsia"/>
          <w:b/>
        </w:rPr>
        <w:tab/>
      </w:r>
      <w:r w:rsidRPr="0059239E">
        <w:rPr>
          <w:b/>
        </w:rPr>
        <w:t>Upon MCG failure, the UE suspends MCG transmissions for all radio bearers, instead of triggering re-establishment.</w:t>
      </w:r>
    </w:p>
    <w:p w:rsidR="0059239E" w:rsidRPr="0059239E" w:rsidRDefault="0059239E" w:rsidP="0059239E">
      <w:pPr>
        <w:pStyle w:val="B1"/>
        <w:ind w:left="1704" w:hanging="1420"/>
        <w:rPr>
          <w:b/>
        </w:rPr>
      </w:pPr>
      <w:r w:rsidRPr="0059239E">
        <w:rPr>
          <w:b/>
        </w:rPr>
        <w:t>Proposal 3a:</w:t>
      </w:r>
      <w:r w:rsidRPr="0059239E">
        <w:rPr>
          <w:b/>
        </w:rPr>
        <w:tab/>
        <w:t>The UE maintains the current measurement configurations from both the MN and the SN and the UE continues measurements based on configuration from the MN and the SN if possible.</w:t>
      </w:r>
    </w:p>
    <w:p w:rsidR="00BB50FB" w:rsidRDefault="00ED7E70" w:rsidP="0001111F">
      <w:pPr>
        <w:rPr>
          <w:lang w:eastAsia="ja-JP"/>
        </w:rPr>
      </w:pPr>
      <w:r>
        <w:rPr>
          <w:rFonts w:hint="eastAsia"/>
          <w:lang w:eastAsia="ja-JP"/>
        </w:rPr>
        <w:t>Likewise</w:t>
      </w:r>
      <w:r w:rsidR="00542EEA">
        <w:rPr>
          <w:rFonts w:hint="eastAsia"/>
          <w:lang w:eastAsia="ja-JP"/>
        </w:rPr>
        <w:t xml:space="preserve">, the failure information should be delivered to the NW so that the NW can take a proper action. </w:t>
      </w:r>
      <w:r w:rsidR="00542EEA">
        <w:rPr>
          <w:lang w:eastAsia="ja-JP"/>
        </w:rPr>
        <w:t xml:space="preserve">A new RRC message so called, e.g. MCG failure information, is introduced. The MCG failure information can be sent via SRB1, if split SRB is applied for SRB1. Alternatively, SRB3 can be used for delivering the MCG failure information message. </w:t>
      </w:r>
      <w:r>
        <w:rPr>
          <w:lang w:eastAsia="ja-JP"/>
        </w:rPr>
        <w:t>Thus, the followings are proposed:</w:t>
      </w:r>
    </w:p>
    <w:p w:rsidR="00ED7E70" w:rsidRPr="00ED7E70" w:rsidRDefault="00ED7E70" w:rsidP="00ED7E70">
      <w:pPr>
        <w:pStyle w:val="B1"/>
        <w:ind w:left="1704" w:hanging="1420"/>
        <w:rPr>
          <w:b/>
        </w:rPr>
      </w:pPr>
      <w:r w:rsidRPr="00ED7E70">
        <w:rPr>
          <w:rFonts w:hint="eastAsia"/>
          <w:b/>
        </w:rPr>
        <w:t>Proposal 4:</w:t>
      </w:r>
      <w:r w:rsidRPr="00ED7E70">
        <w:rPr>
          <w:rFonts w:hint="eastAsia"/>
          <w:b/>
        </w:rPr>
        <w:tab/>
      </w:r>
      <w:r w:rsidRPr="00ED7E70">
        <w:rPr>
          <w:b/>
        </w:rPr>
        <w:t>Upon MCG failure, the UE reports the MCG Failure Information (a new RRC message) to the MN.</w:t>
      </w:r>
    </w:p>
    <w:p w:rsidR="00ED7E70" w:rsidRPr="00ED7E70" w:rsidRDefault="00ED7E70" w:rsidP="00ED7E70">
      <w:pPr>
        <w:pStyle w:val="B1"/>
        <w:ind w:left="1704" w:hanging="1420"/>
        <w:rPr>
          <w:b/>
        </w:rPr>
      </w:pPr>
      <w:r w:rsidRPr="00ED7E70">
        <w:rPr>
          <w:b/>
        </w:rPr>
        <w:t>Proposal 4a:</w:t>
      </w:r>
      <w:r w:rsidRPr="00ED7E70">
        <w:rPr>
          <w:b/>
        </w:rPr>
        <w:tab/>
        <w:t>The MCG Failure Information is delivered via SRB1 if split SRB is applied for SRB1, or via SRB3.</w:t>
      </w:r>
    </w:p>
    <w:p w:rsidR="002258FE" w:rsidRDefault="002258FE" w:rsidP="0001111F">
      <w:pPr>
        <w:rPr>
          <w:lang w:eastAsia="ja-JP"/>
        </w:rPr>
      </w:pPr>
      <w:r>
        <w:rPr>
          <w:rFonts w:hint="eastAsia"/>
          <w:lang w:eastAsia="ja-JP"/>
        </w:rPr>
        <w:t xml:space="preserve">The NW side handling of MCG failure seems similar to the SCG failure handling. </w:t>
      </w:r>
      <w:r>
        <w:rPr>
          <w:lang w:eastAsia="ja-JP"/>
        </w:rPr>
        <w:t xml:space="preserve">For instance, the MN can decide to change PCell to the other cell via intra-RAT handover. Alternatively, the MN can decide to set the current SCG to MCG by performing inter-RAT handover. </w:t>
      </w:r>
      <w:r w:rsidR="00C85491">
        <w:rPr>
          <w:lang w:eastAsia="ja-JP"/>
        </w:rPr>
        <w:t>Of course, the NW can also decide to keep it, as long as the SCG leg is alive. The following is proposed:</w:t>
      </w:r>
    </w:p>
    <w:p w:rsidR="00C85491" w:rsidRPr="00686850" w:rsidRDefault="00686850" w:rsidP="00686850">
      <w:pPr>
        <w:pStyle w:val="B1"/>
        <w:ind w:left="1704" w:hanging="1420"/>
        <w:rPr>
          <w:b/>
        </w:rPr>
      </w:pPr>
      <w:r w:rsidRPr="00686850">
        <w:rPr>
          <w:rFonts w:hint="eastAsia"/>
          <w:b/>
        </w:rPr>
        <w:t>Proposal 5:</w:t>
      </w:r>
      <w:r w:rsidRPr="00686850">
        <w:rPr>
          <w:rFonts w:hint="eastAsia"/>
          <w:b/>
        </w:rPr>
        <w:tab/>
      </w:r>
      <w:r w:rsidRPr="00686850">
        <w:rPr>
          <w:b/>
        </w:rPr>
        <w:t>The MN can decide to keep the MCG, or to change MN/MCG by intra-RAT handover within the same RAT or by inter-RAT handover to the other RAT</w:t>
      </w:r>
    </w:p>
    <w:p w:rsidR="002258FE" w:rsidRDefault="00A858F5" w:rsidP="0001111F">
      <w:pPr>
        <w:rPr>
          <w:lang w:eastAsia="ja-JP"/>
        </w:rPr>
      </w:pPr>
      <w:r>
        <w:rPr>
          <w:rFonts w:hint="eastAsia"/>
          <w:lang w:eastAsia="ja-JP"/>
        </w:rPr>
        <w:t xml:space="preserve">Whilst Proposal 5 leverages the existing mobility procedure, a new procedure could be envisaged such that the UE </w:t>
      </w:r>
      <w:r>
        <w:rPr>
          <w:lang w:eastAsia="ja-JP"/>
        </w:rPr>
        <w:t xml:space="preserve">by </w:t>
      </w:r>
      <w:r>
        <w:rPr>
          <w:rFonts w:hint="eastAsia"/>
          <w:lang w:eastAsia="ja-JP"/>
        </w:rPr>
        <w:t xml:space="preserve">itself initiates </w:t>
      </w:r>
      <w:r>
        <w:rPr>
          <w:lang w:eastAsia="ja-JP"/>
        </w:rPr>
        <w:t>the</w:t>
      </w:r>
      <w:r>
        <w:rPr>
          <w:rFonts w:hint="eastAsia"/>
          <w:lang w:eastAsia="ja-JP"/>
        </w:rPr>
        <w:t xml:space="preserve"> </w:t>
      </w:r>
      <w:r>
        <w:rPr>
          <w:lang w:eastAsia="ja-JP"/>
        </w:rPr>
        <w:t xml:space="preserve">procedure to recover the MCG leg. Like the re-establishment procedure, upon MCG failure, the UE performs cell selection. Upon a suitable cell is found, the UE initiates to recover the MCG leg. </w:t>
      </w:r>
      <w:r w:rsidR="009D5255">
        <w:rPr>
          <w:lang w:eastAsia="ja-JP"/>
        </w:rPr>
        <w:t>While the UE is recovering the MCG leg, the UE can receive and transmit C/U-plane data via SCG leg. The details need to be investigated for further. Hence, the following is proposed:</w:t>
      </w:r>
    </w:p>
    <w:p w:rsidR="00A858F5" w:rsidRPr="00831A61" w:rsidRDefault="00831A61" w:rsidP="00831A61">
      <w:pPr>
        <w:pStyle w:val="B1"/>
        <w:ind w:left="1704" w:hanging="1420"/>
        <w:rPr>
          <w:b/>
        </w:rPr>
      </w:pPr>
      <w:r w:rsidRPr="00831A61">
        <w:rPr>
          <w:rFonts w:hint="eastAsia"/>
          <w:b/>
        </w:rPr>
        <w:t>Proposal 6:</w:t>
      </w:r>
      <w:r w:rsidRPr="00831A61">
        <w:rPr>
          <w:rFonts w:hint="eastAsia"/>
          <w:b/>
        </w:rPr>
        <w:tab/>
        <w:t>The necessity of UE initiated MCG recovery procedure upon MCG failure should be investigated for further.</w:t>
      </w:r>
    </w:p>
    <w:p w:rsidR="00E57063" w:rsidRDefault="00863065" w:rsidP="00C30470">
      <w:pPr>
        <w:pStyle w:val="2"/>
        <w:numPr>
          <w:ilvl w:val="0"/>
          <w:numId w:val="2"/>
        </w:numPr>
        <w:rPr>
          <w:lang w:eastAsia="ja-JP"/>
        </w:rPr>
      </w:pPr>
      <w:r>
        <w:rPr>
          <w:rFonts w:hint="eastAsia"/>
          <w:lang w:eastAsia="ja-JP"/>
        </w:rPr>
        <w:t>Summary and proposal</w:t>
      </w:r>
    </w:p>
    <w:p w:rsidR="0001111F" w:rsidRDefault="003A567A" w:rsidP="0001111F">
      <w:pPr>
        <w:rPr>
          <w:lang w:eastAsia="ja-JP"/>
        </w:rPr>
      </w:pPr>
      <w:r>
        <w:rPr>
          <w:rFonts w:hint="eastAsia"/>
          <w:lang w:eastAsia="ja-JP"/>
        </w:rPr>
        <w:t xml:space="preserve">In summary, the followings were proposed to </w:t>
      </w:r>
      <w:r w:rsidR="00417217">
        <w:rPr>
          <w:lang w:eastAsia="ja-JP"/>
        </w:rPr>
        <w:t>get the picture of stage-2 level concept of fast recovery:</w:t>
      </w:r>
    </w:p>
    <w:p w:rsidR="005E1D16" w:rsidRPr="0082539B" w:rsidRDefault="005E1D16" w:rsidP="005E1D16">
      <w:pPr>
        <w:pStyle w:val="B1"/>
        <w:ind w:left="1704" w:hanging="1420"/>
        <w:rPr>
          <w:b/>
        </w:rPr>
      </w:pPr>
      <w:r w:rsidRPr="0082539B">
        <w:rPr>
          <w:rFonts w:hint="eastAsia"/>
          <w:b/>
        </w:rPr>
        <w:t>Proposal 1:</w:t>
      </w:r>
      <w:r w:rsidRPr="0082539B">
        <w:rPr>
          <w:rFonts w:hint="eastAsia"/>
          <w:b/>
        </w:rPr>
        <w:tab/>
        <w:t xml:space="preserve">Upon MCG failure, an MR/NR-DC UE continues </w:t>
      </w:r>
      <w:r w:rsidRPr="0082539B">
        <w:rPr>
          <w:b/>
        </w:rPr>
        <w:t>to receive and transmit C/U-plane data via the SCG leg, as long as the UE experiences SCG failure as well.</w:t>
      </w:r>
    </w:p>
    <w:p w:rsidR="005E1D16" w:rsidRPr="0082539B" w:rsidRDefault="005E1D16" w:rsidP="005E1D16">
      <w:pPr>
        <w:pStyle w:val="B1"/>
        <w:ind w:left="1704" w:hanging="1420"/>
        <w:rPr>
          <w:b/>
        </w:rPr>
      </w:pPr>
      <w:r w:rsidRPr="0082539B">
        <w:rPr>
          <w:b/>
        </w:rPr>
        <w:t>Proposal 1a:</w:t>
      </w:r>
      <w:r w:rsidRPr="0082539B">
        <w:rPr>
          <w:b/>
        </w:rPr>
        <w:tab/>
        <w:t xml:space="preserve">If the </w:t>
      </w:r>
      <w:r>
        <w:rPr>
          <w:b/>
        </w:rPr>
        <w:t xml:space="preserve">MR/NR-DC </w:t>
      </w:r>
      <w:r w:rsidRPr="0082539B">
        <w:rPr>
          <w:b/>
        </w:rPr>
        <w:t>UE experiences both MCG failure and SCG failure, the UE initiates the RRC re-establishment procedure.</w:t>
      </w:r>
    </w:p>
    <w:p w:rsidR="005E1D16" w:rsidRPr="00CC3BCA" w:rsidRDefault="005E1D16" w:rsidP="005E1D16">
      <w:pPr>
        <w:pStyle w:val="B1"/>
        <w:ind w:left="1704" w:hanging="1420"/>
        <w:rPr>
          <w:b/>
        </w:rPr>
      </w:pPr>
      <w:r w:rsidRPr="00CC3BCA">
        <w:rPr>
          <w:rFonts w:hint="eastAsia"/>
          <w:b/>
        </w:rPr>
        <w:t>Proposal 2:</w:t>
      </w:r>
      <w:r w:rsidRPr="00CC3BCA">
        <w:rPr>
          <w:rFonts w:hint="eastAsia"/>
          <w:b/>
        </w:rPr>
        <w:tab/>
      </w:r>
      <w:r w:rsidRPr="00CC3BCA">
        <w:rPr>
          <w:b/>
        </w:rPr>
        <w:t>The following MCG failure cases are supported while the UE is configured with MR/NR-DC:</w:t>
      </w:r>
    </w:p>
    <w:p w:rsidR="005E1D16" w:rsidRPr="00CC3BCA" w:rsidRDefault="005E1D16" w:rsidP="005E1D16">
      <w:pPr>
        <w:pStyle w:val="B5"/>
        <w:rPr>
          <w:b/>
          <w:lang w:eastAsia="ja-JP"/>
        </w:rPr>
      </w:pPr>
      <w:r w:rsidRPr="00CC3BCA">
        <w:rPr>
          <w:rFonts w:hint="eastAsia"/>
          <w:b/>
          <w:lang w:eastAsia="ja-JP"/>
        </w:rPr>
        <w:t>-</w:t>
      </w:r>
      <w:r w:rsidRPr="00CC3BCA">
        <w:rPr>
          <w:b/>
          <w:lang w:eastAsia="ja-JP"/>
        </w:rPr>
        <w:tab/>
        <w:t>detecting radio link failure of the MCG;</w:t>
      </w:r>
    </w:p>
    <w:p w:rsidR="005E1D16" w:rsidRPr="00CC3BCA" w:rsidRDefault="005E1D16" w:rsidP="005E1D16">
      <w:pPr>
        <w:pStyle w:val="B5"/>
        <w:rPr>
          <w:b/>
        </w:rPr>
      </w:pPr>
      <w:r w:rsidRPr="00CC3BCA">
        <w:rPr>
          <w:b/>
          <w:lang w:eastAsia="ja-JP"/>
        </w:rPr>
        <w:t>-</w:t>
      </w:r>
      <w:r w:rsidRPr="00CC3BCA">
        <w:rPr>
          <w:b/>
          <w:lang w:eastAsia="ja-JP"/>
        </w:rPr>
        <w:tab/>
      </w:r>
      <w:r w:rsidRPr="00CC3BCA">
        <w:rPr>
          <w:b/>
        </w:rPr>
        <w:t>re-configuration (with sync) failure of the MCG;</w:t>
      </w:r>
    </w:p>
    <w:p w:rsidR="005E1D16" w:rsidRPr="00CC3BCA" w:rsidRDefault="005E1D16" w:rsidP="005E1D16">
      <w:pPr>
        <w:pStyle w:val="B5"/>
        <w:rPr>
          <w:b/>
          <w:lang w:eastAsia="ja-JP"/>
        </w:rPr>
      </w:pPr>
      <w:r w:rsidRPr="00CC3BCA">
        <w:rPr>
          <w:b/>
        </w:rPr>
        <w:t>-</w:t>
      </w:r>
      <w:r w:rsidRPr="00CC3BCA">
        <w:rPr>
          <w:b/>
        </w:rPr>
        <w:tab/>
        <w:t>integrity check failure indication from lower layers concerning SRB1 or SRB2.</w:t>
      </w:r>
    </w:p>
    <w:p w:rsidR="005E1D16" w:rsidRPr="0059239E" w:rsidRDefault="005E1D16" w:rsidP="005E1D16">
      <w:pPr>
        <w:pStyle w:val="B1"/>
        <w:ind w:left="1704" w:hanging="1420"/>
        <w:rPr>
          <w:b/>
        </w:rPr>
      </w:pPr>
      <w:r w:rsidRPr="0059239E">
        <w:rPr>
          <w:rFonts w:hint="eastAsia"/>
          <w:b/>
        </w:rPr>
        <w:t>Proposal 3:</w:t>
      </w:r>
      <w:r w:rsidRPr="0059239E">
        <w:rPr>
          <w:rFonts w:hint="eastAsia"/>
          <w:b/>
        </w:rPr>
        <w:tab/>
      </w:r>
      <w:r w:rsidRPr="0059239E">
        <w:rPr>
          <w:b/>
        </w:rPr>
        <w:t>Upon MCG failure, the UE suspends MCG transmissions for all radio bearers, instead of triggering re-establishment.</w:t>
      </w:r>
    </w:p>
    <w:p w:rsidR="005E1D16" w:rsidRPr="0059239E" w:rsidRDefault="005E1D16" w:rsidP="005E1D16">
      <w:pPr>
        <w:pStyle w:val="B1"/>
        <w:ind w:left="1704" w:hanging="1420"/>
        <w:rPr>
          <w:b/>
        </w:rPr>
      </w:pPr>
      <w:r w:rsidRPr="0059239E">
        <w:rPr>
          <w:b/>
        </w:rPr>
        <w:t>Proposal 3a:</w:t>
      </w:r>
      <w:r w:rsidRPr="0059239E">
        <w:rPr>
          <w:b/>
        </w:rPr>
        <w:tab/>
        <w:t>The UE maintains the current measurement configurations from both the MN and the SN and the UE continues measurements based on configuration from the MN and the SN if possible.</w:t>
      </w:r>
    </w:p>
    <w:p w:rsidR="005E1D16" w:rsidRPr="00ED7E70" w:rsidRDefault="005E1D16" w:rsidP="005E1D16">
      <w:pPr>
        <w:pStyle w:val="B1"/>
        <w:ind w:left="1704" w:hanging="1420"/>
        <w:rPr>
          <w:b/>
        </w:rPr>
      </w:pPr>
      <w:r w:rsidRPr="00ED7E70">
        <w:rPr>
          <w:rFonts w:hint="eastAsia"/>
          <w:b/>
        </w:rPr>
        <w:t>Proposal 4:</w:t>
      </w:r>
      <w:r w:rsidRPr="00ED7E70">
        <w:rPr>
          <w:rFonts w:hint="eastAsia"/>
          <w:b/>
        </w:rPr>
        <w:tab/>
      </w:r>
      <w:r w:rsidRPr="00ED7E70">
        <w:rPr>
          <w:b/>
        </w:rPr>
        <w:t>Upon MCG failure, the UE reports the MCG Failure Information (a new RRC message) to the MN.</w:t>
      </w:r>
    </w:p>
    <w:p w:rsidR="005E1D16" w:rsidRPr="00ED7E70" w:rsidRDefault="005E1D16" w:rsidP="005E1D16">
      <w:pPr>
        <w:pStyle w:val="B1"/>
        <w:ind w:left="1704" w:hanging="1420"/>
        <w:rPr>
          <w:b/>
        </w:rPr>
      </w:pPr>
      <w:r w:rsidRPr="00ED7E70">
        <w:rPr>
          <w:b/>
        </w:rPr>
        <w:lastRenderedPageBreak/>
        <w:t>Proposal 4a:</w:t>
      </w:r>
      <w:r w:rsidRPr="00ED7E70">
        <w:rPr>
          <w:b/>
        </w:rPr>
        <w:tab/>
        <w:t>The MCG Failure Information is delivered via SRB1 if split SRB is applied for SRB1, or via SRB3.</w:t>
      </w:r>
    </w:p>
    <w:p w:rsidR="005E1D16" w:rsidRPr="00686850" w:rsidRDefault="005E1D16" w:rsidP="005E1D16">
      <w:pPr>
        <w:pStyle w:val="B1"/>
        <w:ind w:left="1704" w:hanging="1420"/>
        <w:rPr>
          <w:b/>
        </w:rPr>
      </w:pPr>
      <w:r w:rsidRPr="00686850">
        <w:rPr>
          <w:rFonts w:hint="eastAsia"/>
          <w:b/>
        </w:rPr>
        <w:t>Proposal 5:</w:t>
      </w:r>
      <w:r w:rsidRPr="00686850">
        <w:rPr>
          <w:rFonts w:hint="eastAsia"/>
          <w:b/>
        </w:rPr>
        <w:tab/>
      </w:r>
      <w:r w:rsidRPr="00686850">
        <w:rPr>
          <w:b/>
        </w:rPr>
        <w:t>The MN can decide to keep the MCG, or to change MN/MCG by intra-RAT handover within the same RAT or by inter-RAT handover to the other RAT</w:t>
      </w:r>
    </w:p>
    <w:p w:rsidR="005E1D16" w:rsidRPr="00831A61" w:rsidRDefault="005E1D16" w:rsidP="005E1D16">
      <w:pPr>
        <w:pStyle w:val="B1"/>
        <w:ind w:left="1704" w:hanging="1420"/>
        <w:rPr>
          <w:b/>
        </w:rPr>
      </w:pPr>
      <w:r w:rsidRPr="00831A61">
        <w:rPr>
          <w:rFonts w:hint="eastAsia"/>
          <w:b/>
        </w:rPr>
        <w:t>Proposal 6:</w:t>
      </w:r>
      <w:r w:rsidRPr="00831A61">
        <w:rPr>
          <w:rFonts w:hint="eastAsia"/>
          <w:b/>
        </w:rPr>
        <w:tab/>
        <w:t>The necessity of UE initiated MCG recovery procedure upon MCG failure should be investigated for further.</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01111F" w:rsidRPr="0001111F" w:rsidRDefault="0001111F" w:rsidP="0001111F">
      <w:pPr>
        <w:rPr>
          <w:lang w:eastAsia="ja-JP"/>
        </w:rPr>
      </w:pPr>
      <w:r>
        <w:rPr>
          <w:rFonts w:hint="eastAsia"/>
          <w:lang w:eastAsia="ja-JP"/>
        </w:rPr>
        <w:t xml:space="preserve">[1] RP-182076, </w:t>
      </w:r>
      <w:r>
        <w:rPr>
          <w:lang w:eastAsia="ja-JP"/>
        </w:rPr>
        <w:t>“</w:t>
      </w:r>
      <w:r w:rsidRPr="0001111F">
        <w:rPr>
          <w:lang w:eastAsia="ja-JP"/>
        </w:rPr>
        <w:t>WID on Multi-RAT Dual-Connectivity and Carrier Aggregation enhancements</w:t>
      </w:r>
      <w:r w:rsidR="000F6F4F">
        <w:rPr>
          <w:lang w:eastAsia="ja-JP"/>
        </w:rPr>
        <w:t>,” Ericsson</w:t>
      </w:r>
      <w:r>
        <w:rPr>
          <w:lang w:eastAsia="ja-JP"/>
        </w:rPr>
        <w:t>,</w:t>
      </w:r>
      <w:r w:rsidR="000F6F4F">
        <w:rPr>
          <w:lang w:eastAsia="ja-JP"/>
        </w:rPr>
        <w:t xml:space="preserve"> </w:t>
      </w:r>
      <w:r>
        <w:rPr>
          <w:lang w:eastAsia="ja-JP"/>
        </w:rPr>
        <w:t>et al.</w:t>
      </w:r>
    </w:p>
    <w:sectPr w:rsidR="0001111F" w:rsidRPr="0001111F">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D54" w:rsidRDefault="00346D54">
      <w:r>
        <w:separator/>
      </w:r>
    </w:p>
  </w:endnote>
  <w:endnote w:type="continuationSeparator" w:id="0">
    <w:p w:rsidR="00346D54" w:rsidRDefault="0034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345C9">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D54" w:rsidRDefault="00346D54">
      <w:r>
        <w:separator/>
      </w:r>
    </w:p>
  </w:footnote>
  <w:footnote w:type="continuationSeparator" w:id="0">
    <w:p w:rsidR="00346D54" w:rsidRDefault="0034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5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111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05A0"/>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4F"/>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5E61"/>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5BFC"/>
    <w:rsid w:val="001F6DD2"/>
    <w:rsid w:val="00202106"/>
    <w:rsid w:val="00202226"/>
    <w:rsid w:val="00203216"/>
    <w:rsid w:val="002060FA"/>
    <w:rsid w:val="00206533"/>
    <w:rsid w:val="00212056"/>
    <w:rsid w:val="002122F0"/>
    <w:rsid w:val="00212E9D"/>
    <w:rsid w:val="0021363F"/>
    <w:rsid w:val="002136C8"/>
    <w:rsid w:val="0021370F"/>
    <w:rsid w:val="00213C41"/>
    <w:rsid w:val="00214676"/>
    <w:rsid w:val="002149B6"/>
    <w:rsid w:val="00215FC8"/>
    <w:rsid w:val="00216E2F"/>
    <w:rsid w:val="00217D5C"/>
    <w:rsid w:val="00221176"/>
    <w:rsid w:val="002214D3"/>
    <w:rsid w:val="00221EC3"/>
    <w:rsid w:val="002225D8"/>
    <w:rsid w:val="00222D33"/>
    <w:rsid w:val="00224AD8"/>
    <w:rsid w:val="00225803"/>
    <w:rsid w:val="002258FE"/>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D54"/>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567A"/>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17217"/>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44C"/>
    <w:rsid w:val="00541720"/>
    <w:rsid w:val="00542344"/>
    <w:rsid w:val="00542E44"/>
    <w:rsid w:val="00542EEA"/>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239E"/>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1D16"/>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00EE"/>
    <w:rsid w:val="006518A2"/>
    <w:rsid w:val="00652F79"/>
    <w:rsid w:val="00653BE5"/>
    <w:rsid w:val="00655C05"/>
    <w:rsid w:val="00657A14"/>
    <w:rsid w:val="006613C2"/>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86850"/>
    <w:rsid w:val="006871B2"/>
    <w:rsid w:val="006905BB"/>
    <w:rsid w:val="006912B6"/>
    <w:rsid w:val="00691BA6"/>
    <w:rsid w:val="0069218F"/>
    <w:rsid w:val="006948EA"/>
    <w:rsid w:val="00695426"/>
    <w:rsid w:val="006963D6"/>
    <w:rsid w:val="006963F5"/>
    <w:rsid w:val="006974A0"/>
    <w:rsid w:val="00697B41"/>
    <w:rsid w:val="006A00CA"/>
    <w:rsid w:val="006A1202"/>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2539B"/>
    <w:rsid w:val="0083097D"/>
    <w:rsid w:val="00831A61"/>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1D5"/>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1AC1"/>
    <w:rsid w:val="008A5382"/>
    <w:rsid w:val="008A5816"/>
    <w:rsid w:val="008B0487"/>
    <w:rsid w:val="008B04B7"/>
    <w:rsid w:val="008B08A2"/>
    <w:rsid w:val="008B1003"/>
    <w:rsid w:val="008B5579"/>
    <w:rsid w:val="008B6355"/>
    <w:rsid w:val="008C0FB0"/>
    <w:rsid w:val="008C126C"/>
    <w:rsid w:val="008C18E9"/>
    <w:rsid w:val="008C2A6A"/>
    <w:rsid w:val="008C300D"/>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59FB"/>
    <w:rsid w:val="00915DE2"/>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5255"/>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33E2"/>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58F5"/>
    <w:rsid w:val="00A860E8"/>
    <w:rsid w:val="00A86C05"/>
    <w:rsid w:val="00A87F81"/>
    <w:rsid w:val="00A902A0"/>
    <w:rsid w:val="00A9094C"/>
    <w:rsid w:val="00A91149"/>
    <w:rsid w:val="00A91B9B"/>
    <w:rsid w:val="00A92BF4"/>
    <w:rsid w:val="00A94443"/>
    <w:rsid w:val="00A94E39"/>
    <w:rsid w:val="00A95720"/>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0FB"/>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491"/>
    <w:rsid w:val="00C85807"/>
    <w:rsid w:val="00C87348"/>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33FB"/>
    <w:rsid w:val="00CB6A3E"/>
    <w:rsid w:val="00CB743B"/>
    <w:rsid w:val="00CC0BFE"/>
    <w:rsid w:val="00CC2092"/>
    <w:rsid w:val="00CC2406"/>
    <w:rsid w:val="00CC2C60"/>
    <w:rsid w:val="00CC3BCA"/>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5C9"/>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6431"/>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710"/>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4886"/>
    <w:rsid w:val="00E65920"/>
    <w:rsid w:val="00E65EF7"/>
    <w:rsid w:val="00E65FBB"/>
    <w:rsid w:val="00E70EF5"/>
    <w:rsid w:val="00E713C6"/>
    <w:rsid w:val="00E7461F"/>
    <w:rsid w:val="00E75D19"/>
    <w:rsid w:val="00E7601F"/>
    <w:rsid w:val="00E76068"/>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95D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E7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694"/>
    <w:rsid w:val="00F32B46"/>
    <w:rsid w:val="00F33E7C"/>
    <w:rsid w:val="00F340FD"/>
    <w:rsid w:val="00F344A2"/>
    <w:rsid w:val="00F357C4"/>
    <w:rsid w:val="00F357CE"/>
    <w:rsid w:val="00F3646B"/>
    <w:rsid w:val="00F36557"/>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84D29"/>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EDE8A"/>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933</Words>
  <Characters>5324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2019-02-15T07:35:00Z</dcterms:created>
  <dcterms:modified xsi:type="dcterms:W3CDTF">2019-02-15T07:35:00Z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