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69B1" w14:textId="30A0624E" w:rsidR="000F3FF7" w:rsidRDefault="000F3FF7" w:rsidP="000F3FF7">
      <w:pPr>
        <w:pStyle w:val="CRCoverPage"/>
        <w:tabs>
          <w:tab w:val="right" w:pos="9639"/>
        </w:tabs>
        <w:spacing w:after="0"/>
        <w:rPr>
          <w:b/>
          <w:i/>
          <w:noProof/>
          <w:sz w:val="28"/>
        </w:rPr>
      </w:pPr>
      <w:r>
        <w:rPr>
          <w:b/>
          <w:noProof/>
          <w:sz w:val="24"/>
        </w:rPr>
        <w:t xml:space="preserve">3GPP TSG-RAN WG2 Meeting #105 </w:t>
      </w:r>
      <w:r>
        <w:rPr>
          <w:b/>
          <w:i/>
          <w:noProof/>
          <w:sz w:val="28"/>
        </w:rPr>
        <w:tab/>
        <w:t>R2-</w:t>
      </w:r>
      <w:r w:rsidR="00E71D53">
        <w:rPr>
          <w:b/>
          <w:i/>
          <w:noProof/>
          <w:sz w:val="28"/>
        </w:rPr>
        <w:t>190</w:t>
      </w:r>
      <w:r w:rsidR="00E71D53" w:rsidRPr="00E71D53">
        <w:rPr>
          <w:b/>
          <w:i/>
          <w:noProof/>
          <w:sz w:val="28"/>
        </w:rPr>
        <w:t>1734</w:t>
      </w:r>
    </w:p>
    <w:p w14:paraId="1EFE3FAC" w14:textId="51488EA8" w:rsidR="006D06DD" w:rsidRDefault="000F3FF7" w:rsidP="000F3FF7">
      <w:pPr>
        <w:pStyle w:val="CRCoverPage"/>
        <w:outlineLvl w:val="0"/>
        <w:rPr>
          <w:b/>
          <w:noProof/>
          <w:sz w:val="24"/>
        </w:rPr>
      </w:pPr>
      <w:r>
        <w:rPr>
          <w:b/>
          <w:noProof/>
          <w:sz w:val="24"/>
        </w:rPr>
        <w:t xml:space="preserve">Athens, Greece, 25 February – 1 March 2019 </w:t>
      </w:r>
      <w:r>
        <w:rPr>
          <w:b/>
          <w:noProof/>
          <w:sz w:val="24"/>
        </w:rPr>
        <w:tab/>
      </w:r>
      <w:r>
        <w:rPr>
          <w:i/>
          <w:lang w:eastAsia="ko-KR"/>
        </w:rPr>
        <w:tab/>
      </w:r>
      <w:r>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1EFE3FAD" w14:textId="77777777" w:rsidR="006961AD" w:rsidRPr="00B9091D" w:rsidRDefault="006961AD" w:rsidP="006961AD">
      <w:pPr>
        <w:pStyle w:val="Header"/>
        <w:rPr>
          <w:bCs/>
          <w:noProof w:val="0"/>
          <w:sz w:val="24"/>
          <w:lang w:eastAsia="ja-JP"/>
        </w:rPr>
      </w:pPr>
    </w:p>
    <w:p w14:paraId="1EFE3FAE"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695780">
        <w:rPr>
          <w:rFonts w:eastAsia="宋体" w:cs="Arial"/>
          <w:b/>
          <w:bCs/>
          <w:sz w:val="24"/>
          <w:lang w:val="en-US"/>
        </w:rPr>
        <w:t>11.7</w:t>
      </w:r>
      <w:r w:rsidR="00B10DA2" w:rsidRPr="00695780">
        <w:rPr>
          <w:rFonts w:eastAsia="宋体" w:cs="Arial"/>
          <w:b/>
          <w:bCs/>
          <w:sz w:val="24"/>
          <w:lang w:val="en-US"/>
        </w:rPr>
        <w:t>.</w:t>
      </w:r>
      <w:r w:rsidR="00A67F80" w:rsidRPr="00695780">
        <w:rPr>
          <w:rFonts w:eastAsia="宋体" w:cs="Arial"/>
          <w:b/>
          <w:bCs/>
          <w:sz w:val="24"/>
          <w:lang w:val="en-US"/>
        </w:rPr>
        <w:t>2.2</w:t>
      </w:r>
    </w:p>
    <w:p w14:paraId="1EFE3FAF"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1EFE3FB0" w14:textId="77777777"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A514C2" w:rsidRPr="00695780">
        <w:rPr>
          <w:rFonts w:ascii="Arial" w:hAnsi="Arial" w:cs="Arial"/>
          <w:b/>
          <w:bCs/>
          <w:sz w:val="24"/>
        </w:rPr>
        <w:t>Scheduling enhancements for TSN traffic</w:t>
      </w:r>
    </w:p>
    <w:p w14:paraId="1EFE3FB1"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1EFE3FB2" w14:textId="77777777" w:rsidR="00DC4347" w:rsidRPr="0064252A" w:rsidRDefault="00DC4347" w:rsidP="00DC4347">
      <w:pPr>
        <w:pStyle w:val="Heading1"/>
        <w:rPr>
          <w:lang w:val="en-US"/>
        </w:rPr>
      </w:pPr>
      <w:r w:rsidRPr="0064252A">
        <w:rPr>
          <w:lang w:val="en-US"/>
        </w:rPr>
        <w:t>Introduction</w:t>
      </w:r>
    </w:p>
    <w:p w14:paraId="47F809B5" w14:textId="2E612E16" w:rsidR="00BA6BAD" w:rsidRDefault="00F11932" w:rsidP="00F11932">
      <w:pPr>
        <w:rPr>
          <w:lang w:eastAsia="zh-CN"/>
        </w:rPr>
      </w:pPr>
      <w:r>
        <w:rPr>
          <w:rFonts w:hint="eastAsia"/>
          <w:lang w:eastAsia="zh-CN"/>
        </w:rPr>
        <w:t>In</w:t>
      </w:r>
      <w:r>
        <w:rPr>
          <w:lang w:eastAsia="zh-CN"/>
        </w:rPr>
        <w:t xml:space="preserve"> RAN2 email discussion </w:t>
      </w:r>
      <w:r w:rsidR="00EA4C9F" w:rsidRPr="00EA4C9F">
        <w:rPr>
          <w:i/>
        </w:rPr>
        <w:t>[104#36][NR/IIOT] TSN Traffic Patterns (Nokia)</w:t>
      </w:r>
      <w:r w:rsidR="00F24E5F">
        <w:rPr>
          <w:i/>
        </w:rPr>
        <w:t xml:space="preserve"> </w:t>
      </w:r>
      <w:r w:rsidR="00F24E5F">
        <w:rPr>
          <w:i/>
        </w:rPr>
        <w:fldChar w:fldCharType="begin"/>
      </w:r>
      <w:r w:rsidR="00F24E5F">
        <w:rPr>
          <w:i/>
        </w:rPr>
        <w:instrText xml:space="preserve"> REF Ref_Email_TSN_Traffic \h </w:instrText>
      </w:r>
      <w:r w:rsidR="00F24E5F">
        <w:rPr>
          <w:i/>
        </w:rPr>
      </w:r>
      <w:r w:rsidR="00F24E5F">
        <w:rPr>
          <w:i/>
        </w:rPr>
        <w:fldChar w:fldCharType="separate"/>
      </w:r>
      <w:r w:rsidR="00C46DAE" w:rsidRPr="00AF7305">
        <w:rPr>
          <w:rFonts w:hint="eastAsia"/>
          <w:lang w:eastAsia="zh-CN"/>
        </w:rPr>
        <w:t>[</w:t>
      </w:r>
      <w:r w:rsidR="00C46DAE">
        <w:rPr>
          <w:noProof/>
        </w:rPr>
        <w:t>4</w:t>
      </w:r>
      <w:r w:rsidR="00C46DAE" w:rsidRPr="00AF7305">
        <w:rPr>
          <w:rFonts w:hint="eastAsia"/>
          <w:lang w:eastAsia="zh-CN"/>
        </w:rPr>
        <w:t>]</w:t>
      </w:r>
      <w:r w:rsidR="00F24E5F">
        <w:rPr>
          <w:i/>
        </w:rPr>
        <w:fldChar w:fldCharType="end"/>
      </w:r>
      <w:r>
        <w:rPr>
          <w:lang w:eastAsia="zh-CN"/>
        </w:rPr>
        <w:t xml:space="preserve">, </w:t>
      </w:r>
      <w:r w:rsidR="004544DA">
        <w:rPr>
          <w:lang w:eastAsia="zh-CN"/>
        </w:rPr>
        <w:t>several traits of TSN traffic patterns and potential enhancements were discussed</w:t>
      </w:r>
      <w:r w:rsidR="00BA6BAD">
        <w:rPr>
          <w:lang w:eastAsia="zh-CN"/>
        </w:rPr>
        <w:t>.</w:t>
      </w:r>
    </w:p>
    <w:p w14:paraId="66CE04C3" w14:textId="37C4F936" w:rsidR="00F11932" w:rsidRDefault="00F11932" w:rsidP="00F11932">
      <w:pPr>
        <w:rPr>
          <w:lang w:eastAsia="zh-CN"/>
        </w:rPr>
      </w:pPr>
      <w:r>
        <w:rPr>
          <w:rFonts w:hint="eastAsia"/>
          <w:lang w:eastAsia="zh-CN"/>
        </w:rPr>
        <w:t>I</w:t>
      </w:r>
      <w:r>
        <w:rPr>
          <w:lang w:eastAsia="zh-CN"/>
        </w:rPr>
        <w:t xml:space="preserve">n this contribution, we </w:t>
      </w:r>
      <w:r w:rsidR="00BA6BAD">
        <w:rPr>
          <w:lang w:eastAsia="zh-CN"/>
        </w:rPr>
        <w:t xml:space="preserve">analyze the TSN traffic pattern provisioning, </w:t>
      </w:r>
      <w:r w:rsidR="00DA1767">
        <w:rPr>
          <w:lang w:eastAsia="zh-CN"/>
        </w:rPr>
        <w:t xml:space="preserve">short DL SPS periodicities, and mismatch between </w:t>
      </w:r>
      <w:r w:rsidR="001F5DE7">
        <w:rPr>
          <w:lang w:eastAsia="zh-CN"/>
        </w:rPr>
        <w:t>TSN periodicity and CG/SPS periodicity.</w:t>
      </w:r>
    </w:p>
    <w:p w14:paraId="1EFE3FB7" w14:textId="77777777" w:rsidR="00DC4347" w:rsidRDefault="00DC4347" w:rsidP="00DC4347">
      <w:pPr>
        <w:pStyle w:val="Heading1"/>
        <w:rPr>
          <w:rFonts w:eastAsia="宋体"/>
          <w:lang w:val="en-US" w:eastAsia="zh-CN"/>
        </w:rPr>
      </w:pPr>
      <w:r>
        <w:rPr>
          <w:rFonts w:eastAsia="宋体" w:hint="eastAsia"/>
          <w:lang w:val="en-US" w:eastAsia="zh-CN"/>
        </w:rPr>
        <w:t>Discussion</w:t>
      </w:r>
    </w:p>
    <w:p w14:paraId="6AA8D915" w14:textId="5AF34778" w:rsidR="00310F04" w:rsidRPr="00207FFA" w:rsidRDefault="000A4FA4" w:rsidP="00310F04">
      <w:pPr>
        <w:pStyle w:val="Heading2"/>
        <w:ind w:left="840"/>
        <w:rPr>
          <w:rFonts w:eastAsia="宋体"/>
          <w:lang w:eastAsia="zh-CN"/>
        </w:rPr>
      </w:pPr>
      <w:r>
        <w:t>TSN traffic pattern provisioning</w:t>
      </w:r>
    </w:p>
    <w:p w14:paraId="28950F34" w14:textId="4C00F82C" w:rsidR="006342D2" w:rsidRDefault="006C3620" w:rsidP="00310F04">
      <w:r>
        <w:t>An observation f</w:t>
      </w:r>
      <w:r>
        <w:t xml:space="preserve">rom the email discussion is that </w:t>
      </w:r>
      <w:r w:rsidR="000156A9">
        <w:t>all companies agree that the knowledge of TSN traffic pattern is useful for the gNB to allow more efficiently schedule traffic either via CG/SPS or dynamic grants</w:t>
      </w:r>
      <w:r w:rsidR="00820CEF">
        <w:t xml:space="preserve">, and there are more companies </w:t>
      </w:r>
      <w:r w:rsidR="00C30FD1">
        <w:t>preferring that</w:t>
      </w:r>
      <w:r w:rsidR="00820CEF">
        <w:t xml:space="preserve"> such </w:t>
      </w:r>
      <w:r w:rsidR="00820CEF">
        <w:t>TSN traffic pattern is provided by the core network</w:t>
      </w:r>
      <w:r w:rsidR="006A278B">
        <w:t xml:space="preserve"> (instead of UE)</w:t>
      </w:r>
      <w:r w:rsidR="00820CEF">
        <w:t xml:space="preserve"> to gNB. </w:t>
      </w:r>
      <w:r w:rsidR="00A5405C">
        <w:rPr>
          <w:lang w:eastAsia="zh-CN"/>
        </w:rPr>
        <w:t xml:space="preserve">LTE Rel-14 V2X assistance information IE </w:t>
      </w:r>
      <w:r w:rsidR="00A5405C">
        <w:rPr>
          <w:i/>
          <w:lang w:eastAsia="zh-CN"/>
        </w:rPr>
        <w:t>TrafficPatternInfoList-r14</w:t>
      </w:r>
      <w:r w:rsidR="00A5405C">
        <w:rPr>
          <w:lang w:eastAsia="zh-CN"/>
        </w:rPr>
        <w:t xml:space="preserve"> provides both timing and message size information for up to 8 periodic traffic patterns. </w:t>
      </w:r>
      <w:r w:rsidR="00A37F89">
        <w:rPr>
          <w:rFonts w:hint="eastAsia"/>
          <w:lang w:eastAsia="zh-CN"/>
        </w:rPr>
        <w:t>Al</w:t>
      </w:r>
      <w:r w:rsidR="00A37F89">
        <w:rPr>
          <w:lang w:eastAsia="zh-CN"/>
        </w:rPr>
        <w:t>though s</w:t>
      </w:r>
      <w:r w:rsidR="00A5405C">
        <w:rPr>
          <w:lang w:eastAsia="zh-CN"/>
        </w:rPr>
        <w:t>imilar assistant inform</w:t>
      </w:r>
      <w:r w:rsidR="00527D38">
        <w:rPr>
          <w:lang w:eastAsia="zh-CN"/>
        </w:rPr>
        <w:t xml:space="preserve">ation can be introduced for TSN, it should be noted that SA2 has agreed CR S2-1901234 </w:t>
      </w:r>
      <w:r w:rsidR="005213EA">
        <w:rPr>
          <w:lang w:eastAsia="zh-CN"/>
        </w:rPr>
        <w:fldChar w:fldCharType="begin"/>
      </w:r>
      <w:r w:rsidR="005213EA">
        <w:rPr>
          <w:lang w:eastAsia="zh-CN"/>
        </w:rPr>
        <w:instrText xml:space="preserve"> REF Ref_SA2_CR \h </w:instrText>
      </w:r>
      <w:r w:rsidR="005213EA">
        <w:rPr>
          <w:lang w:eastAsia="zh-CN"/>
        </w:rPr>
      </w:r>
      <w:r w:rsidR="005213EA">
        <w:rPr>
          <w:lang w:eastAsia="zh-CN"/>
        </w:rPr>
        <w:fldChar w:fldCharType="separate"/>
      </w:r>
      <w:r w:rsidR="00C46DAE" w:rsidRPr="00AF7305">
        <w:rPr>
          <w:rFonts w:hint="eastAsia"/>
          <w:lang w:eastAsia="zh-CN"/>
        </w:rPr>
        <w:t>[</w:t>
      </w:r>
      <w:r w:rsidR="00C46DAE">
        <w:rPr>
          <w:noProof/>
        </w:rPr>
        <w:t>3</w:t>
      </w:r>
      <w:r w:rsidR="00C46DAE" w:rsidRPr="00AF7305">
        <w:rPr>
          <w:rFonts w:hint="eastAsia"/>
          <w:lang w:eastAsia="zh-CN"/>
        </w:rPr>
        <w:t>]</w:t>
      </w:r>
      <w:r w:rsidR="005213EA">
        <w:rPr>
          <w:lang w:eastAsia="zh-CN"/>
        </w:rPr>
        <w:fldChar w:fldCharType="end"/>
      </w:r>
      <w:r w:rsidR="006E0AF5">
        <w:rPr>
          <w:lang w:eastAsia="zh-CN"/>
        </w:rPr>
        <w:t xml:space="preserve"> for TR 23.734</w:t>
      </w:r>
      <w:r w:rsidR="003536E2">
        <w:rPr>
          <w:lang w:eastAsia="zh-CN"/>
        </w:rPr>
        <w:t xml:space="preserve"> </w:t>
      </w:r>
      <w:r w:rsidR="003536E2">
        <w:rPr>
          <w:lang w:eastAsia="zh-CN"/>
        </w:rPr>
        <w:fldChar w:fldCharType="begin"/>
      </w:r>
      <w:r w:rsidR="003536E2">
        <w:rPr>
          <w:lang w:eastAsia="zh-CN"/>
        </w:rPr>
        <w:instrText xml:space="preserve"> REF Ref_23734 \h </w:instrText>
      </w:r>
      <w:r w:rsidR="003536E2">
        <w:rPr>
          <w:lang w:eastAsia="zh-CN"/>
        </w:rPr>
      </w:r>
      <w:r w:rsidR="003536E2">
        <w:rPr>
          <w:lang w:eastAsia="zh-CN"/>
        </w:rPr>
        <w:fldChar w:fldCharType="separate"/>
      </w:r>
      <w:r w:rsidR="00C46DAE" w:rsidRPr="00407EDE">
        <w:rPr>
          <w:rFonts w:hint="eastAsia"/>
          <w:lang w:eastAsia="zh-CN"/>
        </w:rPr>
        <w:t>[</w:t>
      </w:r>
      <w:r w:rsidR="00C46DAE">
        <w:rPr>
          <w:noProof/>
        </w:rPr>
        <w:t>1</w:t>
      </w:r>
      <w:r w:rsidR="00C46DAE" w:rsidRPr="00407EDE">
        <w:rPr>
          <w:rFonts w:hint="eastAsia"/>
          <w:lang w:eastAsia="zh-CN"/>
        </w:rPr>
        <w:t>]</w:t>
      </w:r>
      <w:r w:rsidR="003536E2">
        <w:rPr>
          <w:lang w:eastAsia="zh-CN"/>
        </w:rPr>
        <w:fldChar w:fldCharType="end"/>
      </w:r>
      <w:r w:rsidR="006E7AD6">
        <w:rPr>
          <w:lang w:eastAsia="zh-CN"/>
        </w:rPr>
        <w:t xml:space="preserve">, with the CR </w:t>
      </w:r>
      <w:r w:rsidR="00691282">
        <w:rPr>
          <w:lang w:eastAsia="zh-CN"/>
        </w:rPr>
        <w:t xml:space="preserve">introducing a solution extension for TSN traffic pattern provisioning </w:t>
      </w:r>
      <w:r w:rsidR="008A67A4">
        <w:rPr>
          <w:lang w:eastAsia="zh-CN"/>
        </w:rPr>
        <w:t xml:space="preserve">from core network </w:t>
      </w:r>
      <w:r w:rsidR="00691282">
        <w:rPr>
          <w:lang w:eastAsia="zh-CN"/>
        </w:rPr>
        <w:t>to gNB:</w:t>
      </w:r>
      <w:r w:rsidR="006E7AD6">
        <w:rPr>
          <w:lang w:eastAsia="zh-CN"/>
        </w:rPr>
        <w:t xml:space="preserve"> “</w:t>
      </w:r>
      <w:r w:rsidR="006E7AD6" w:rsidRPr="006E7AD6">
        <w:rPr>
          <w:i/>
        </w:rPr>
        <w:t>In both uplink and downlink direction, PCF distributes the additional TSN traffic pattern used by preceding node to RAN via SMF and AMF. The additional TSN traffic pattern used by preceding node and associated QFI reference are sent from SMF to RAN via N2 information using existing PDU session establishment/modification procedure.</w:t>
      </w:r>
      <w:r w:rsidR="006E7AD6">
        <w:rPr>
          <w:lang w:eastAsia="zh-CN"/>
        </w:rPr>
        <w:t>”</w:t>
      </w:r>
    </w:p>
    <w:p w14:paraId="1E148D67" w14:textId="73D571FD" w:rsidR="008F05A1" w:rsidRDefault="008F05A1" w:rsidP="008F05A1">
      <w:pPr>
        <w:rPr>
          <w:lang w:eastAsia="zh-CN"/>
        </w:rPr>
      </w:pPr>
      <w:bookmarkStart w:id="0" w:name="Obs_TSN_Pattern"/>
      <w:r>
        <w:rPr>
          <w:b/>
          <w:lang w:eastAsia="ko-KR"/>
        </w:rPr>
        <w:t>Observation</w:t>
      </w:r>
      <w:r w:rsidRPr="00077A03">
        <w:rPr>
          <w:b/>
          <w:lang w:eastAsia="ko-KR"/>
        </w:rPr>
        <w:t xml:space="preserve"> </w:t>
      </w:r>
      <w:r w:rsidR="00C151F0">
        <w:rPr>
          <w:b/>
          <w:lang w:eastAsia="ko-KR"/>
        </w:rPr>
        <w:fldChar w:fldCharType="begin"/>
      </w:r>
      <w:r w:rsidR="00C151F0">
        <w:rPr>
          <w:b/>
          <w:lang w:eastAsia="ko-KR"/>
        </w:rPr>
        <w:instrText xml:space="preserve"> SEQ Obs \* MERGEFORMAT  \* MERGEFORMAT  \* MERGEFORMAT </w:instrText>
      </w:r>
      <w:r w:rsidR="00C151F0">
        <w:rPr>
          <w:b/>
          <w:lang w:eastAsia="ko-KR"/>
        </w:rPr>
        <w:fldChar w:fldCharType="separate"/>
      </w:r>
      <w:r w:rsidR="00C46DAE">
        <w:rPr>
          <w:b/>
          <w:noProof/>
          <w:lang w:eastAsia="ko-KR"/>
        </w:rPr>
        <w:t>1</w:t>
      </w:r>
      <w:r w:rsidR="00C151F0">
        <w:rPr>
          <w:b/>
          <w:lang w:eastAsia="ko-KR"/>
        </w:rPr>
        <w:fldChar w:fldCharType="end"/>
      </w:r>
      <w:r w:rsidRPr="00077A03">
        <w:rPr>
          <w:lang w:eastAsia="ko-KR"/>
        </w:rPr>
        <w:t>:</w:t>
      </w:r>
      <w:r>
        <w:rPr>
          <w:lang w:eastAsia="ko-KR"/>
        </w:rPr>
        <w:t xml:space="preserve"> </w:t>
      </w:r>
      <w:r w:rsidR="00972871">
        <w:rPr>
          <w:lang w:eastAsia="zh-CN"/>
        </w:rPr>
        <w:t>Provisioning of TSN traffic pattern from core network to gNB is captured as one SA2 solution</w:t>
      </w:r>
      <w:r>
        <w:rPr>
          <w:lang w:eastAsia="zh-CN"/>
        </w:rPr>
        <w:t>.</w:t>
      </w:r>
      <w:bookmarkEnd w:id="0"/>
    </w:p>
    <w:p w14:paraId="483F9EF9" w14:textId="67B2487C" w:rsidR="00972871" w:rsidRDefault="00972871" w:rsidP="00972871">
      <w:pPr>
        <w:rPr>
          <w:lang w:eastAsia="zh-CN"/>
        </w:rPr>
      </w:pPr>
      <w:bookmarkStart w:id="1" w:name="Proposal_TSN_Pattern"/>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C46DAE">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 xml:space="preserve">RAN2 to discuss whether </w:t>
      </w:r>
      <w:r w:rsidR="00A97400">
        <w:rPr>
          <w:lang w:eastAsia="zh-CN"/>
        </w:rPr>
        <w:t>it is sufficient for core network</w:t>
      </w:r>
      <w:r>
        <w:rPr>
          <w:lang w:eastAsia="zh-CN"/>
        </w:rPr>
        <w:t xml:space="preserve"> to provide TSN traffic pattern to gNB considering the progress from SA2</w:t>
      </w:r>
      <w:r>
        <w:t>.</w:t>
      </w:r>
      <w:bookmarkEnd w:id="1"/>
    </w:p>
    <w:p w14:paraId="692CC8AF" w14:textId="7590E7D9" w:rsidR="005A1E06" w:rsidRPr="00207FFA" w:rsidRDefault="00BB697D" w:rsidP="005A1E06">
      <w:pPr>
        <w:pStyle w:val="Heading2"/>
        <w:ind w:left="840"/>
        <w:rPr>
          <w:rFonts w:eastAsia="宋体"/>
          <w:lang w:eastAsia="zh-CN"/>
        </w:rPr>
      </w:pPr>
      <w:r>
        <w:t>Shorter DL SPS periodicity</w:t>
      </w:r>
    </w:p>
    <w:p w14:paraId="1EFE3FB8" w14:textId="42B931B2" w:rsidR="006D2A92" w:rsidRDefault="00ED7BEB" w:rsidP="007347EA">
      <w:pPr>
        <w:rPr>
          <w:rFonts w:cs="Arial"/>
          <w:lang w:eastAsia="zh-CN"/>
        </w:rPr>
      </w:pPr>
      <w:r>
        <w:rPr>
          <w:lang w:eastAsia="zh-CN"/>
        </w:rPr>
        <w:t xml:space="preserve">During </w:t>
      </w:r>
      <w:r w:rsidR="00C30FD1">
        <w:rPr>
          <w:lang w:eastAsia="zh-CN"/>
        </w:rPr>
        <w:t xml:space="preserve">the </w:t>
      </w:r>
      <w:r>
        <w:rPr>
          <w:lang w:eastAsia="zh-CN"/>
        </w:rPr>
        <w:t xml:space="preserve">email discussion, most companies support the introduction of </w:t>
      </w:r>
      <w:r>
        <w:t xml:space="preserve">DL SPS periodicities shorter than 10 ms. </w:t>
      </w:r>
      <w:r w:rsidR="008E3835">
        <w:t xml:space="preserve">One issue for discussion is whether </w:t>
      </w:r>
      <w:r w:rsidR="005F25AA">
        <w:t xml:space="preserve">RAN2 can make a decision to support DL SPS periodicities shorter than 1 slot. There </w:t>
      </w:r>
      <w:r w:rsidR="001D05A7">
        <w:t>are some</w:t>
      </w:r>
      <w:r w:rsidR="005F25AA">
        <w:t xml:space="preserve"> RAN1 impact</w:t>
      </w:r>
      <w:r w:rsidR="001D05A7">
        <w:t xml:space="preserve">s </w:t>
      </w:r>
      <w:r w:rsidR="00C30FD1">
        <w:t>in supporting</w:t>
      </w:r>
      <w:r w:rsidR="001D05A7">
        <w:t xml:space="preserve"> less than 1 slot SPS periodicities</w:t>
      </w:r>
      <w:r w:rsidR="005F25AA">
        <w:t xml:space="preserve"> e.g. HARQ-ACK feedback. </w:t>
      </w:r>
      <w:r>
        <w:rPr>
          <w:lang w:eastAsia="zh-CN"/>
        </w:rPr>
        <w:t xml:space="preserve">In general, regarding shorter SPS periodicities, RAN1’s opinion should be consulted. In the past, RAN2 sent a LS to RAN1 regarding the supported DL SPS periodicities in </w:t>
      </w:r>
      <w:r>
        <w:rPr>
          <w:rFonts w:cs="Arial"/>
          <w:lang w:eastAsia="zh-CN"/>
        </w:rPr>
        <w:t xml:space="preserve">R2-1711871. </w:t>
      </w:r>
      <w:r w:rsidR="007347EA">
        <w:rPr>
          <w:rFonts w:cs="Arial"/>
          <w:lang w:eastAsia="zh-CN"/>
        </w:rPr>
        <w:t>F</w:t>
      </w:r>
      <w:r>
        <w:rPr>
          <w:rFonts w:cs="Arial"/>
          <w:lang w:eastAsia="zh-CN"/>
        </w:rPr>
        <w:t>or Rel-16 IIoT, RAN2 should also ask RAN1 whether shorter periodicities</w:t>
      </w:r>
      <w:r w:rsidR="007347EA">
        <w:rPr>
          <w:rFonts w:cs="Arial"/>
          <w:lang w:eastAsia="zh-CN"/>
        </w:rPr>
        <w:t xml:space="preserve"> (especially less than 1 slot)</w:t>
      </w:r>
      <w:r>
        <w:rPr>
          <w:rFonts w:cs="Arial"/>
          <w:lang w:eastAsia="zh-CN"/>
        </w:rPr>
        <w:t xml:space="preserve"> can be supported for DL SPS.</w:t>
      </w:r>
    </w:p>
    <w:p w14:paraId="33F6FC0F" w14:textId="7E2161AC" w:rsidR="007347EA" w:rsidRDefault="007347EA" w:rsidP="007347EA">
      <w:bookmarkStart w:id="2" w:name="Proposal_DL_Periodicity"/>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C46DAE">
        <w:rPr>
          <w:b/>
          <w:noProof/>
          <w:lang w:eastAsia="ko-KR"/>
        </w:rPr>
        <w:t>2</w:t>
      </w:r>
      <w:r w:rsidRPr="00077A03">
        <w:rPr>
          <w:b/>
          <w:lang w:eastAsia="ko-KR"/>
        </w:rPr>
        <w:fldChar w:fldCharType="end"/>
      </w:r>
      <w:r w:rsidRPr="00077A03">
        <w:rPr>
          <w:lang w:eastAsia="ko-KR"/>
        </w:rPr>
        <w:t>:</w:t>
      </w:r>
      <w:r>
        <w:rPr>
          <w:lang w:eastAsia="ko-KR"/>
        </w:rPr>
        <w:t xml:space="preserve"> </w:t>
      </w:r>
      <w:r>
        <w:rPr>
          <w:lang w:eastAsia="zh-CN"/>
        </w:rPr>
        <w:t xml:space="preserve">RAN2 </w:t>
      </w:r>
      <w:r w:rsidR="002E6869">
        <w:rPr>
          <w:lang w:eastAsia="zh-CN"/>
        </w:rPr>
        <w:t xml:space="preserve">to </w:t>
      </w:r>
      <w:r w:rsidR="006B5E27">
        <w:rPr>
          <w:lang w:eastAsia="zh-CN"/>
        </w:rPr>
        <w:t>send LS to RAN1 to ask the feasibility of supporting DL SPS periodicities shorter than 1 slot</w:t>
      </w:r>
      <w:r>
        <w:t>.</w:t>
      </w:r>
      <w:bookmarkEnd w:id="2"/>
    </w:p>
    <w:p w14:paraId="2C7BAE5B" w14:textId="61AA81C7" w:rsidR="00DD60A0" w:rsidRDefault="00DD60A0" w:rsidP="0078598E">
      <w:pPr>
        <w:pStyle w:val="Heading2"/>
        <w:ind w:left="840"/>
      </w:pPr>
      <w:r>
        <w:t>Mismatch between TSN periodicity and CG/SPS periodicity</w:t>
      </w:r>
    </w:p>
    <w:p w14:paraId="31A8CE16" w14:textId="3EB47ACF" w:rsidR="007347EA" w:rsidRDefault="00504461" w:rsidP="007347EA">
      <w:r>
        <w:rPr>
          <w:rStyle w:val="fontstyle01"/>
          <w:rFonts w:hint="eastAsia"/>
        </w:rPr>
        <w:t xml:space="preserve">In the </w:t>
      </w:r>
      <w:r>
        <w:rPr>
          <w:rStyle w:val="fontstyle01"/>
        </w:rPr>
        <w:t>email discussion, there w</w:t>
      </w:r>
      <w:r w:rsidR="001D05A7">
        <w:rPr>
          <w:rStyle w:val="fontstyle01"/>
        </w:rPr>
        <w:t>ere</w:t>
      </w:r>
      <w:r>
        <w:rPr>
          <w:rStyle w:val="fontstyle01"/>
        </w:rPr>
        <w:t xml:space="preserve"> proposals to consider </w:t>
      </w:r>
      <w:r>
        <w:t>the mismatch between the periodicity of TSN traffic and periodicity for configured grant</w:t>
      </w:r>
      <w:r w:rsidR="005C6C83">
        <w:t xml:space="preserve"> or SPS. The mismatch refers to the case</w:t>
      </w:r>
      <w:r w:rsidR="00DD21AB">
        <w:t xml:space="preserve"> </w:t>
      </w:r>
      <w:r w:rsidR="008E7F23">
        <w:t xml:space="preserve">when </w:t>
      </w:r>
      <w:r w:rsidR="00DD21AB">
        <w:t xml:space="preserve">TSN periodicity is not supported by </w:t>
      </w:r>
      <w:r w:rsidR="00DD21AB">
        <w:lastRenderedPageBreak/>
        <w:t>existing CG/SPS periodicity, with one special case</w:t>
      </w:r>
      <w:r w:rsidR="005C6C83">
        <w:t xml:space="preserve"> that TSN traffic periodicity is not a</w:t>
      </w:r>
      <w:r w:rsidR="008E7F23">
        <w:t>n integer</w:t>
      </w:r>
      <w:r w:rsidR="005C6C83">
        <w:t xml:space="preserve"> multiple of OFDM symbols. </w:t>
      </w:r>
      <w:r>
        <w:t xml:space="preserve">For example, in </w:t>
      </w:r>
      <w:r w:rsidR="008E7F23">
        <w:t xml:space="preserve">the </w:t>
      </w:r>
      <w:r>
        <w:t>Smart Grid use cases</w:t>
      </w:r>
      <w:r w:rsidR="008E7F23">
        <w:t>,</w:t>
      </w:r>
      <w:r>
        <w:t xml:space="preserve"> the periodicity of data packets to be sent is 1/60 Hz or 1/1200 Hz, i.e. 16.667 ms or 0.833 ms respectively.</w:t>
      </w:r>
    </w:p>
    <w:p w14:paraId="3DD0257C" w14:textId="3E521DD2" w:rsidR="00D614B3" w:rsidRDefault="00965715" w:rsidP="007347EA">
      <w:r>
        <w:t>A</w:t>
      </w:r>
      <w:r w:rsidR="00D614B3">
        <w:t xml:space="preserve">dditional periodicity should only be introduced in RAN2 if the related service </w:t>
      </w:r>
      <w:r w:rsidR="00950D45">
        <w:t>has</w:t>
      </w:r>
      <w:r w:rsidR="00D614B3">
        <w:t xml:space="preserve"> very stringent latency requirements (e.g. &lt; 1 ms). In other words, there is no need to match the periodicity of every supported service unless the latency requirement mandates so. In the example of Smart Grid, TS 22.104 </w:t>
      </w:r>
      <w:r>
        <w:fldChar w:fldCharType="begin"/>
      </w:r>
      <w:r>
        <w:instrText xml:space="preserve"> REF Ref_TS22104 \h </w:instrText>
      </w:r>
      <w:r>
        <w:fldChar w:fldCharType="separate"/>
      </w:r>
      <w:r w:rsidR="00C46DAE" w:rsidRPr="00AF7305">
        <w:rPr>
          <w:rFonts w:hint="eastAsia"/>
          <w:lang w:eastAsia="zh-CN"/>
        </w:rPr>
        <w:t>[</w:t>
      </w:r>
      <w:r w:rsidR="00C46DAE">
        <w:rPr>
          <w:noProof/>
        </w:rPr>
        <w:t>2</w:t>
      </w:r>
      <w:r w:rsidR="00C46DAE" w:rsidRPr="00AF7305">
        <w:rPr>
          <w:rFonts w:hint="eastAsia"/>
          <w:lang w:eastAsia="zh-CN"/>
        </w:rPr>
        <w:t>]</w:t>
      </w:r>
      <w:r>
        <w:fldChar w:fldCharType="end"/>
      </w:r>
      <w:r>
        <w:t xml:space="preserve"> </w:t>
      </w:r>
      <w:r w:rsidR="00D614B3">
        <w:t>Table 5.3-1 specifies the end to end latency requirement of 50 ms, therefore there seems to be no strong motivation to support periodicity matching 1/60 Hz or 1/1200 Hz.</w:t>
      </w:r>
      <w:r w:rsidR="0056153A">
        <w:t xml:space="preserve"> Below</w:t>
      </w:r>
      <w:r w:rsidR="00DD21AB">
        <w:t>,</w:t>
      </w:r>
      <w:r w:rsidR="0056153A">
        <w:t xml:space="preserve"> a sub-table of TS 22.104 </w:t>
      </w:r>
      <w:r w:rsidR="0056153A">
        <w:fldChar w:fldCharType="begin"/>
      </w:r>
      <w:r w:rsidR="0056153A">
        <w:instrText xml:space="preserve"> REF Ref_TS22104 \h </w:instrText>
      </w:r>
      <w:r w:rsidR="0056153A">
        <w:fldChar w:fldCharType="separate"/>
      </w:r>
      <w:r w:rsidR="00C46DAE" w:rsidRPr="00AF7305">
        <w:rPr>
          <w:rFonts w:hint="eastAsia"/>
          <w:lang w:eastAsia="zh-CN"/>
        </w:rPr>
        <w:t>[</w:t>
      </w:r>
      <w:r w:rsidR="00C46DAE">
        <w:rPr>
          <w:noProof/>
        </w:rPr>
        <w:t>2</w:t>
      </w:r>
      <w:r w:rsidR="00C46DAE" w:rsidRPr="00AF7305">
        <w:rPr>
          <w:rFonts w:hint="eastAsia"/>
          <w:lang w:eastAsia="zh-CN"/>
        </w:rPr>
        <w:t>]</w:t>
      </w:r>
      <w:r w:rsidR="0056153A">
        <w:fldChar w:fldCharType="end"/>
      </w:r>
      <w:r w:rsidR="0056153A">
        <w:t xml:space="preserve"> Table 5.2-1 </w:t>
      </w:r>
      <w:r w:rsidR="00647884">
        <w:t>(some columns are removed for</w:t>
      </w:r>
      <w:r w:rsidR="008E7F23">
        <w:t xml:space="preserve"> better</w:t>
      </w:r>
      <w:r w:rsidR="00647884">
        <w:t xml:space="preserve"> readability) </w:t>
      </w:r>
      <w:r w:rsidR="0056153A">
        <w:t xml:space="preserve">is shown with the focus on </w:t>
      </w:r>
      <w:r w:rsidR="00821979">
        <w:t>services with latency requirements &lt;= 10 ms</w:t>
      </w:r>
      <w:r w:rsidR="00647884">
        <w:t xml:space="preserve"> (with other services removed from the table)</w:t>
      </w:r>
      <w:r w:rsidR="00821979">
        <w:t xml:space="preserve">. </w:t>
      </w:r>
      <w:r w:rsidR="0056153A">
        <w:t xml:space="preserve"> </w:t>
      </w:r>
    </w:p>
    <w:p w14:paraId="3A296683" w14:textId="77777777" w:rsidR="00965715" w:rsidRDefault="00965715" w:rsidP="00965715">
      <w:pPr>
        <w:pStyle w:val="TH"/>
        <w:rPr>
          <w:lang w:eastAsia="en-GB"/>
        </w:rPr>
      </w:pPr>
      <w:r>
        <w:t>Table 5.2-1: Periodic deterministic communication service performance requirements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76"/>
        <w:gridCol w:w="993"/>
        <w:gridCol w:w="1277"/>
        <w:gridCol w:w="992"/>
        <w:gridCol w:w="2477"/>
      </w:tblGrid>
      <w:tr w:rsidR="0056153A" w14:paraId="5E26CD0D" w14:textId="77777777" w:rsidTr="0056153A">
        <w:trPr>
          <w:cantSplit/>
          <w:tblHeader/>
          <w:jc w:val="center"/>
        </w:trPr>
        <w:tc>
          <w:tcPr>
            <w:tcW w:w="2746" w:type="dxa"/>
            <w:gridSpan w:val="2"/>
            <w:tcBorders>
              <w:top w:val="single" w:sz="4" w:space="0" w:color="auto"/>
              <w:left w:val="single" w:sz="4" w:space="0" w:color="auto"/>
              <w:bottom w:val="single" w:sz="4" w:space="0" w:color="auto"/>
              <w:right w:val="single" w:sz="4" w:space="0" w:color="auto"/>
            </w:tcBorders>
          </w:tcPr>
          <w:p w14:paraId="528C79AB" w14:textId="77777777" w:rsidR="0056153A" w:rsidRDefault="0056153A">
            <w:pPr>
              <w:pStyle w:val="TAH"/>
            </w:pPr>
          </w:p>
        </w:tc>
        <w:tc>
          <w:tcPr>
            <w:tcW w:w="5739" w:type="dxa"/>
            <w:gridSpan w:val="4"/>
            <w:tcBorders>
              <w:top w:val="single" w:sz="4" w:space="0" w:color="auto"/>
              <w:left w:val="single" w:sz="4" w:space="0" w:color="auto"/>
              <w:bottom w:val="single" w:sz="4" w:space="0" w:color="auto"/>
              <w:right w:val="single" w:sz="4" w:space="0" w:color="auto"/>
            </w:tcBorders>
          </w:tcPr>
          <w:p w14:paraId="060DE56A" w14:textId="66113BDB" w:rsidR="0056153A" w:rsidRDefault="0056153A">
            <w:pPr>
              <w:pStyle w:val="TAH"/>
            </w:pPr>
            <w:r>
              <w:t>Influence quantity</w:t>
            </w:r>
          </w:p>
        </w:tc>
      </w:tr>
      <w:tr w:rsidR="0056153A" w14:paraId="63142E00" w14:textId="77777777" w:rsidTr="0056153A">
        <w:trPr>
          <w:cantSplit/>
          <w:tblHeader/>
          <w:jc w:val="center"/>
        </w:trPr>
        <w:tc>
          <w:tcPr>
            <w:tcW w:w="1470" w:type="dxa"/>
            <w:tcBorders>
              <w:top w:val="single" w:sz="4" w:space="0" w:color="auto"/>
              <w:left w:val="single" w:sz="4" w:space="0" w:color="auto"/>
              <w:bottom w:val="single" w:sz="4" w:space="0" w:color="auto"/>
              <w:right w:val="single" w:sz="4" w:space="0" w:color="auto"/>
            </w:tcBorders>
            <w:hideMark/>
          </w:tcPr>
          <w:p w14:paraId="07B39B1F" w14:textId="77777777" w:rsidR="0056153A" w:rsidRDefault="0056153A">
            <w:pPr>
              <w:pStyle w:val="TAH"/>
            </w:pPr>
            <w:r>
              <w:t>Communi</w:t>
            </w:r>
            <w:r>
              <w:softHyphen/>
              <w:t>ca</w:t>
            </w:r>
            <w:r>
              <w:softHyphen/>
              <w:t>tion service availability: target value (note 1)</w:t>
            </w:r>
          </w:p>
        </w:tc>
        <w:tc>
          <w:tcPr>
            <w:tcW w:w="1276" w:type="dxa"/>
            <w:tcBorders>
              <w:top w:val="single" w:sz="4" w:space="0" w:color="auto"/>
              <w:left w:val="single" w:sz="4" w:space="0" w:color="auto"/>
              <w:bottom w:val="single" w:sz="4" w:space="0" w:color="auto"/>
              <w:right w:val="single" w:sz="4" w:space="0" w:color="auto"/>
            </w:tcBorders>
            <w:hideMark/>
          </w:tcPr>
          <w:p w14:paraId="4F7DDDDF" w14:textId="77777777" w:rsidR="0056153A" w:rsidRDefault="0056153A">
            <w:pPr>
              <w:pStyle w:val="TAH"/>
            </w:pPr>
            <w:r>
              <w:t>End-to-end latency: maximum (note 2)</w:t>
            </w:r>
          </w:p>
        </w:tc>
        <w:tc>
          <w:tcPr>
            <w:tcW w:w="993" w:type="dxa"/>
            <w:tcBorders>
              <w:top w:val="single" w:sz="4" w:space="0" w:color="auto"/>
              <w:left w:val="single" w:sz="4" w:space="0" w:color="auto"/>
              <w:bottom w:val="single" w:sz="4" w:space="0" w:color="auto"/>
              <w:right w:val="single" w:sz="4" w:space="0" w:color="auto"/>
            </w:tcBorders>
            <w:hideMark/>
          </w:tcPr>
          <w:p w14:paraId="14DB75AB" w14:textId="77777777" w:rsidR="0056153A" w:rsidRDefault="0056153A">
            <w:pPr>
              <w:pStyle w:val="TAH"/>
            </w:pPr>
            <w:r>
              <w:t>Message size [byte]</w:t>
            </w:r>
          </w:p>
        </w:tc>
        <w:tc>
          <w:tcPr>
            <w:tcW w:w="1277" w:type="dxa"/>
            <w:tcBorders>
              <w:top w:val="single" w:sz="4" w:space="0" w:color="auto"/>
              <w:left w:val="single" w:sz="4" w:space="0" w:color="auto"/>
              <w:bottom w:val="single" w:sz="4" w:space="0" w:color="auto"/>
              <w:right w:val="single" w:sz="4" w:space="0" w:color="auto"/>
            </w:tcBorders>
            <w:hideMark/>
          </w:tcPr>
          <w:p w14:paraId="423DDDD0" w14:textId="77777777" w:rsidR="0056153A" w:rsidRDefault="0056153A">
            <w:pPr>
              <w:pStyle w:val="TAH"/>
            </w:pPr>
            <w:r>
              <w:t>Transfer interval: target value</w:t>
            </w:r>
          </w:p>
        </w:tc>
        <w:tc>
          <w:tcPr>
            <w:tcW w:w="992" w:type="dxa"/>
            <w:tcBorders>
              <w:top w:val="single" w:sz="4" w:space="0" w:color="auto"/>
              <w:left w:val="single" w:sz="4" w:space="0" w:color="auto"/>
              <w:bottom w:val="single" w:sz="4" w:space="0" w:color="auto"/>
              <w:right w:val="single" w:sz="4" w:space="0" w:color="auto"/>
            </w:tcBorders>
            <w:hideMark/>
          </w:tcPr>
          <w:p w14:paraId="5A735358" w14:textId="77777777" w:rsidR="0056153A" w:rsidRDefault="0056153A">
            <w:pPr>
              <w:pStyle w:val="TAH"/>
            </w:pPr>
            <w:r>
              <w:t>Survival time</w:t>
            </w:r>
          </w:p>
        </w:tc>
        <w:tc>
          <w:tcPr>
            <w:tcW w:w="2477" w:type="dxa"/>
            <w:tcBorders>
              <w:top w:val="single" w:sz="4" w:space="0" w:color="auto"/>
              <w:left w:val="single" w:sz="4" w:space="0" w:color="auto"/>
              <w:bottom w:val="single" w:sz="4" w:space="0" w:color="auto"/>
              <w:right w:val="single" w:sz="4" w:space="0" w:color="auto"/>
            </w:tcBorders>
            <w:hideMark/>
          </w:tcPr>
          <w:p w14:paraId="3ADA484B" w14:textId="77777777" w:rsidR="0056153A" w:rsidRDefault="0056153A">
            <w:pPr>
              <w:pStyle w:val="TAH"/>
            </w:pPr>
            <w:r>
              <w:t>Remarks</w:t>
            </w:r>
          </w:p>
        </w:tc>
      </w:tr>
      <w:tr w:rsidR="0056153A" w14:paraId="538AB7F6" w14:textId="77777777" w:rsidTr="0056153A">
        <w:trPr>
          <w:cantSplit/>
          <w:jc w:val="center"/>
        </w:trPr>
        <w:tc>
          <w:tcPr>
            <w:tcW w:w="1470" w:type="dxa"/>
            <w:tcBorders>
              <w:top w:val="single" w:sz="4" w:space="0" w:color="auto"/>
              <w:left w:val="single" w:sz="4" w:space="0" w:color="auto"/>
              <w:bottom w:val="single" w:sz="4" w:space="0" w:color="auto"/>
              <w:right w:val="single" w:sz="4" w:space="0" w:color="auto"/>
            </w:tcBorders>
            <w:hideMark/>
          </w:tcPr>
          <w:p w14:paraId="18350DA0" w14:textId="77777777" w:rsidR="0056153A" w:rsidRDefault="0056153A">
            <w:pPr>
              <w:pStyle w:val="TAL"/>
            </w:pPr>
            <w:r>
              <w:t>99,999 % to 99,99999 %</w:t>
            </w:r>
          </w:p>
        </w:tc>
        <w:tc>
          <w:tcPr>
            <w:tcW w:w="1276" w:type="dxa"/>
            <w:tcBorders>
              <w:top w:val="single" w:sz="4" w:space="0" w:color="auto"/>
              <w:left w:val="single" w:sz="4" w:space="0" w:color="auto"/>
              <w:bottom w:val="single" w:sz="4" w:space="0" w:color="auto"/>
              <w:right w:val="single" w:sz="4" w:space="0" w:color="auto"/>
            </w:tcBorders>
            <w:hideMark/>
          </w:tcPr>
          <w:p w14:paraId="091DC0F8" w14:textId="77777777" w:rsidR="0056153A" w:rsidRDefault="0056153A">
            <w:pPr>
              <w:pStyle w:val="TAL"/>
            </w:pPr>
            <w:r>
              <w:t>&lt; transfer interval value</w:t>
            </w:r>
          </w:p>
        </w:tc>
        <w:tc>
          <w:tcPr>
            <w:tcW w:w="993" w:type="dxa"/>
            <w:tcBorders>
              <w:top w:val="single" w:sz="4" w:space="0" w:color="auto"/>
              <w:left w:val="single" w:sz="4" w:space="0" w:color="auto"/>
              <w:bottom w:val="single" w:sz="4" w:space="0" w:color="auto"/>
              <w:right w:val="single" w:sz="4" w:space="0" w:color="auto"/>
            </w:tcBorders>
            <w:hideMark/>
          </w:tcPr>
          <w:p w14:paraId="403B51F5" w14:textId="77777777" w:rsidR="0056153A" w:rsidRDefault="0056153A">
            <w:pPr>
              <w:pStyle w:val="TAL"/>
            </w:pPr>
            <w:r>
              <w:t>50</w:t>
            </w:r>
          </w:p>
        </w:tc>
        <w:tc>
          <w:tcPr>
            <w:tcW w:w="1277" w:type="dxa"/>
            <w:tcBorders>
              <w:top w:val="single" w:sz="4" w:space="0" w:color="auto"/>
              <w:left w:val="single" w:sz="4" w:space="0" w:color="auto"/>
              <w:bottom w:val="single" w:sz="4" w:space="0" w:color="auto"/>
              <w:right w:val="single" w:sz="4" w:space="0" w:color="auto"/>
            </w:tcBorders>
            <w:hideMark/>
          </w:tcPr>
          <w:p w14:paraId="3EC3E950" w14:textId="77777777" w:rsidR="0056153A" w:rsidRDefault="0056153A">
            <w:pPr>
              <w:pStyle w:val="TAL"/>
            </w:pPr>
            <w:r>
              <w:t xml:space="preserve">500 μs </w:t>
            </w:r>
          </w:p>
        </w:tc>
        <w:tc>
          <w:tcPr>
            <w:tcW w:w="992" w:type="dxa"/>
            <w:tcBorders>
              <w:top w:val="single" w:sz="4" w:space="0" w:color="auto"/>
              <w:left w:val="single" w:sz="4" w:space="0" w:color="auto"/>
              <w:bottom w:val="single" w:sz="4" w:space="0" w:color="auto"/>
              <w:right w:val="single" w:sz="4" w:space="0" w:color="auto"/>
            </w:tcBorders>
            <w:hideMark/>
          </w:tcPr>
          <w:p w14:paraId="7CDA7C93" w14:textId="77777777" w:rsidR="0056153A" w:rsidRDefault="0056153A">
            <w:pPr>
              <w:pStyle w:val="TAL"/>
            </w:pPr>
            <w:r>
              <w:t>500 μs</w:t>
            </w:r>
          </w:p>
        </w:tc>
        <w:tc>
          <w:tcPr>
            <w:tcW w:w="2477" w:type="dxa"/>
            <w:tcBorders>
              <w:top w:val="single" w:sz="4" w:space="0" w:color="auto"/>
              <w:left w:val="single" w:sz="4" w:space="0" w:color="auto"/>
              <w:bottom w:val="single" w:sz="4" w:space="0" w:color="auto"/>
              <w:right w:val="single" w:sz="4" w:space="0" w:color="auto"/>
            </w:tcBorders>
            <w:hideMark/>
          </w:tcPr>
          <w:p w14:paraId="38DB63A6" w14:textId="77777777" w:rsidR="0056153A" w:rsidRDefault="0056153A">
            <w:pPr>
              <w:pStyle w:val="TAL"/>
            </w:pPr>
            <w:r>
              <w:t>Motion control (A.2.2.1)</w:t>
            </w:r>
          </w:p>
        </w:tc>
      </w:tr>
      <w:tr w:rsidR="0056153A" w14:paraId="3DE8A969" w14:textId="77777777" w:rsidTr="0056153A">
        <w:trPr>
          <w:cantSplit/>
          <w:jc w:val="center"/>
        </w:trPr>
        <w:tc>
          <w:tcPr>
            <w:tcW w:w="1470" w:type="dxa"/>
            <w:tcBorders>
              <w:top w:val="single" w:sz="4" w:space="0" w:color="auto"/>
              <w:left w:val="single" w:sz="4" w:space="0" w:color="auto"/>
              <w:bottom w:val="single" w:sz="4" w:space="0" w:color="auto"/>
              <w:right w:val="single" w:sz="4" w:space="0" w:color="auto"/>
            </w:tcBorders>
            <w:hideMark/>
          </w:tcPr>
          <w:p w14:paraId="0BC03E59" w14:textId="77777777" w:rsidR="0056153A" w:rsidRDefault="0056153A">
            <w:pPr>
              <w:pStyle w:val="TAL"/>
            </w:pPr>
            <w:r>
              <w:t>99,9999 % to 99,999999 %</w:t>
            </w:r>
          </w:p>
        </w:tc>
        <w:tc>
          <w:tcPr>
            <w:tcW w:w="1276" w:type="dxa"/>
            <w:tcBorders>
              <w:top w:val="single" w:sz="4" w:space="0" w:color="auto"/>
              <w:left w:val="single" w:sz="4" w:space="0" w:color="auto"/>
              <w:bottom w:val="single" w:sz="4" w:space="0" w:color="auto"/>
              <w:right w:val="single" w:sz="4" w:space="0" w:color="auto"/>
            </w:tcBorders>
            <w:hideMark/>
          </w:tcPr>
          <w:p w14:paraId="3BE71BC6" w14:textId="77777777" w:rsidR="0056153A" w:rsidRDefault="0056153A">
            <w:pPr>
              <w:pStyle w:val="TAL"/>
            </w:pPr>
            <w:r>
              <w:t>&lt; transfer interval value</w:t>
            </w:r>
          </w:p>
        </w:tc>
        <w:tc>
          <w:tcPr>
            <w:tcW w:w="993" w:type="dxa"/>
            <w:tcBorders>
              <w:top w:val="single" w:sz="4" w:space="0" w:color="auto"/>
              <w:left w:val="single" w:sz="4" w:space="0" w:color="auto"/>
              <w:bottom w:val="single" w:sz="4" w:space="0" w:color="auto"/>
              <w:right w:val="single" w:sz="4" w:space="0" w:color="auto"/>
            </w:tcBorders>
            <w:hideMark/>
          </w:tcPr>
          <w:p w14:paraId="1758E8BF" w14:textId="77777777" w:rsidR="0056153A" w:rsidRDefault="0056153A">
            <w:pPr>
              <w:pStyle w:val="TAL"/>
            </w:pPr>
            <w:r>
              <w:t>40</w:t>
            </w:r>
          </w:p>
        </w:tc>
        <w:tc>
          <w:tcPr>
            <w:tcW w:w="1277" w:type="dxa"/>
            <w:tcBorders>
              <w:top w:val="single" w:sz="4" w:space="0" w:color="auto"/>
              <w:left w:val="single" w:sz="4" w:space="0" w:color="auto"/>
              <w:bottom w:val="single" w:sz="4" w:space="0" w:color="auto"/>
              <w:right w:val="single" w:sz="4" w:space="0" w:color="auto"/>
            </w:tcBorders>
            <w:hideMark/>
          </w:tcPr>
          <w:p w14:paraId="48E5B2EA" w14:textId="77777777" w:rsidR="0056153A" w:rsidRDefault="0056153A">
            <w:pPr>
              <w:pStyle w:val="TAL"/>
            </w:pPr>
            <w:r>
              <w:t xml:space="preserve">1 ms </w:t>
            </w:r>
          </w:p>
        </w:tc>
        <w:tc>
          <w:tcPr>
            <w:tcW w:w="992" w:type="dxa"/>
            <w:tcBorders>
              <w:top w:val="single" w:sz="4" w:space="0" w:color="auto"/>
              <w:left w:val="single" w:sz="4" w:space="0" w:color="auto"/>
              <w:bottom w:val="single" w:sz="4" w:space="0" w:color="auto"/>
              <w:right w:val="single" w:sz="4" w:space="0" w:color="auto"/>
            </w:tcBorders>
            <w:hideMark/>
          </w:tcPr>
          <w:p w14:paraId="2F0D9872" w14:textId="77777777" w:rsidR="0056153A" w:rsidRDefault="0056153A">
            <w:pPr>
              <w:pStyle w:val="TAL"/>
            </w:pPr>
            <w:r>
              <w:t>1 ms</w:t>
            </w:r>
          </w:p>
        </w:tc>
        <w:tc>
          <w:tcPr>
            <w:tcW w:w="2477" w:type="dxa"/>
            <w:tcBorders>
              <w:top w:val="single" w:sz="4" w:space="0" w:color="auto"/>
              <w:left w:val="single" w:sz="4" w:space="0" w:color="auto"/>
              <w:bottom w:val="single" w:sz="4" w:space="0" w:color="auto"/>
              <w:right w:val="single" w:sz="4" w:space="0" w:color="auto"/>
            </w:tcBorders>
            <w:hideMark/>
          </w:tcPr>
          <w:p w14:paraId="1F168492" w14:textId="77777777" w:rsidR="0056153A" w:rsidRDefault="0056153A">
            <w:pPr>
              <w:pStyle w:val="TAL"/>
            </w:pPr>
            <w:r>
              <w:t>Motion control (A.2.2.1)</w:t>
            </w:r>
          </w:p>
        </w:tc>
      </w:tr>
      <w:tr w:rsidR="0056153A" w14:paraId="28C7AEFF" w14:textId="77777777" w:rsidTr="0056153A">
        <w:trPr>
          <w:cantSplit/>
          <w:jc w:val="center"/>
        </w:trPr>
        <w:tc>
          <w:tcPr>
            <w:tcW w:w="1470" w:type="dxa"/>
            <w:tcBorders>
              <w:top w:val="single" w:sz="4" w:space="0" w:color="auto"/>
              <w:left w:val="single" w:sz="4" w:space="0" w:color="auto"/>
              <w:bottom w:val="single" w:sz="4" w:space="0" w:color="auto"/>
              <w:right w:val="single" w:sz="4" w:space="0" w:color="auto"/>
            </w:tcBorders>
            <w:hideMark/>
          </w:tcPr>
          <w:p w14:paraId="21B7E8DA" w14:textId="77777777" w:rsidR="0056153A" w:rsidRDefault="0056153A">
            <w:pPr>
              <w:pStyle w:val="TAL"/>
            </w:pPr>
            <w:r>
              <w:t>99,9999 % to 99,999999 %</w:t>
            </w:r>
          </w:p>
        </w:tc>
        <w:tc>
          <w:tcPr>
            <w:tcW w:w="1276" w:type="dxa"/>
            <w:tcBorders>
              <w:top w:val="single" w:sz="4" w:space="0" w:color="auto"/>
              <w:left w:val="single" w:sz="4" w:space="0" w:color="auto"/>
              <w:bottom w:val="single" w:sz="4" w:space="0" w:color="auto"/>
              <w:right w:val="single" w:sz="4" w:space="0" w:color="auto"/>
            </w:tcBorders>
            <w:hideMark/>
          </w:tcPr>
          <w:p w14:paraId="13088F32" w14:textId="77777777" w:rsidR="0056153A" w:rsidRDefault="0056153A">
            <w:pPr>
              <w:pStyle w:val="TAL"/>
            </w:pPr>
            <w:r>
              <w:t>&lt; transfer interval value</w:t>
            </w:r>
          </w:p>
        </w:tc>
        <w:tc>
          <w:tcPr>
            <w:tcW w:w="993" w:type="dxa"/>
            <w:tcBorders>
              <w:top w:val="single" w:sz="4" w:space="0" w:color="auto"/>
              <w:left w:val="single" w:sz="4" w:space="0" w:color="auto"/>
              <w:bottom w:val="single" w:sz="4" w:space="0" w:color="auto"/>
              <w:right w:val="single" w:sz="4" w:space="0" w:color="auto"/>
            </w:tcBorders>
            <w:hideMark/>
          </w:tcPr>
          <w:p w14:paraId="66F80322" w14:textId="77777777" w:rsidR="0056153A" w:rsidRDefault="0056153A">
            <w:pPr>
              <w:pStyle w:val="TAL"/>
            </w:pPr>
            <w:r>
              <w:rPr>
                <w:color w:val="000000"/>
              </w:rPr>
              <w:t>20</w:t>
            </w:r>
          </w:p>
        </w:tc>
        <w:tc>
          <w:tcPr>
            <w:tcW w:w="1277" w:type="dxa"/>
            <w:tcBorders>
              <w:top w:val="single" w:sz="4" w:space="0" w:color="auto"/>
              <w:left w:val="single" w:sz="4" w:space="0" w:color="auto"/>
              <w:bottom w:val="single" w:sz="4" w:space="0" w:color="auto"/>
              <w:right w:val="single" w:sz="4" w:space="0" w:color="auto"/>
            </w:tcBorders>
            <w:hideMark/>
          </w:tcPr>
          <w:p w14:paraId="539D20F1" w14:textId="77777777" w:rsidR="0056153A" w:rsidRDefault="0056153A">
            <w:pPr>
              <w:pStyle w:val="TAL"/>
            </w:pPr>
            <w:r>
              <w:t xml:space="preserve">2 ms </w:t>
            </w:r>
          </w:p>
        </w:tc>
        <w:tc>
          <w:tcPr>
            <w:tcW w:w="992" w:type="dxa"/>
            <w:tcBorders>
              <w:top w:val="single" w:sz="4" w:space="0" w:color="auto"/>
              <w:left w:val="single" w:sz="4" w:space="0" w:color="auto"/>
              <w:bottom w:val="single" w:sz="4" w:space="0" w:color="auto"/>
              <w:right w:val="single" w:sz="4" w:space="0" w:color="auto"/>
            </w:tcBorders>
            <w:hideMark/>
          </w:tcPr>
          <w:p w14:paraId="4E05A57A" w14:textId="77777777" w:rsidR="0056153A" w:rsidRDefault="0056153A">
            <w:pPr>
              <w:pStyle w:val="TAL"/>
            </w:pPr>
            <w:r>
              <w:t>2 ms</w:t>
            </w:r>
          </w:p>
        </w:tc>
        <w:tc>
          <w:tcPr>
            <w:tcW w:w="2477" w:type="dxa"/>
            <w:tcBorders>
              <w:top w:val="single" w:sz="4" w:space="0" w:color="auto"/>
              <w:left w:val="single" w:sz="4" w:space="0" w:color="auto"/>
              <w:bottom w:val="single" w:sz="4" w:space="0" w:color="auto"/>
              <w:right w:val="single" w:sz="4" w:space="0" w:color="auto"/>
            </w:tcBorders>
            <w:hideMark/>
          </w:tcPr>
          <w:p w14:paraId="6F6C4CB5" w14:textId="77777777" w:rsidR="0056153A" w:rsidRDefault="0056153A">
            <w:pPr>
              <w:pStyle w:val="TAL"/>
            </w:pPr>
            <w:r>
              <w:t>Motion control (A.2.2.1)</w:t>
            </w:r>
          </w:p>
        </w:tc>
      </w:tr>
      <w:tr w:rsidR="0056153A" w14:paraId="46E1686E" w14:textId="77777777" w:rsidTr="0056153A">
        <w:trPr>
          <w:cantSplit/>
          <w:jc w:val="center"/>
        </w:trPr>
        <w:tc>
          <w:tcPr>
            <w:tcW w:w="1470" w:type="dxa"/>
            <w:tcBorders>
              <w:top w:val="single" w:sz="4" w:space="0" w:color="auto"/>
              <w:left w:val="single" w:sz="4" w:space="0" w:color="auto"/>
              <w:bottom w:val="single" w:sz="4" w:space="0" w:color="auto"/>
              <w:right w:val="single" w:sz="4" w:space="0" w:color="auto"/>
            </w:tcBorders>
            <w:hideMark/>
          </w:tcPr>
          <w:p w14:paraId="59E9C377" w14:textId="77777777" w:rsidR="0056153A" w:rsidRDefault="0056153A">
            <w:pPr>
              <w:pStyle w:val="TAL"/>
            </w:pPr>
            <w:r>
              <w:t>99,9999 % to 99,999999 %</w:t>
            </w:r>
          </w:p>
        </w:tc>
        <w:tc>
          <w:tcPr>
            <w:tcW w:w="1276" w:type="dxa"/>
            <w:tcBorders>
              <w:top w:val="single" w:sz="4" w:space="0" w:color="auto"/>
              <w:left w:val="single" w:sz="4" w:space="0" w:color="auto"/>
              <w:bottom w:val="single" w:sz="4" w:space="0" w:color="auto"/>
              <w:right w:val="single" w:sz="4" w:space="0" w:color="auto"/>
            </w:tcBorders>
            <w:hideMark/>
          </w:tcPr>
          <w:p w14:paraId="3081B1C0" w14:textId="77777777" w:rsidR="0056153A" w:rsidRDefault="0056153A">
            <w:pPr>
              <w:pStyle w:val="TAL"/>
            </w:pPr>
            <w:r>
              <w:t>&lt; transfer interval value</w:t>
            </w:r>
          </w:p>
        </w:tc>
        <w:tc>
          <w:tcPr>
            <w:tcW w:w="993" w:type="dxa"/>
            <w:tcBorders>
              <w:top w:val="single" w:sz="4" w:space="0" w:color="auto"/>
              <w:left w:val="single" w:sz="4" w:space="0" w:color="auto"/>
              <w:bottom w:val="single" w:sz="4" w:space="0" w:color="auto"/>
              <w:right w:val="single" w:sz="4" w:space="0" w:color="auto"/>
            </w:tcBorders>
            <w:hideMark/>
          </w:tcPr>
          <w:p w14:paraId="0B856CB8" w14:textId="77777777" w:rsidR="0056153A" w:rsidRDefault="0056153A">
            <w:pPr>
              <w:pStyle w:val="TAL"/>
              <w:rPr>
                <w:color w:val="000000"/>
              </w:rPr>
            </w:pPr>
            <w:r>
              <w:t>1 k</w:t>
            </w:r>
          </w:p>
        </w:tc>
        <w:tc>
          <w:tcPr>
            <w:tcW w:w="1277" w:type="dxa"/>
            <w:tcBorders>
              <w:top w:val="single" w:sz="4" w:space="0" w:color="auto"/>
              <w:left w:val="single" w:sz="4" w:space="0" w:color="auto"/>
              <w:bottom w:val="single" w:sz="4" w:space="0" w:color="auto"/>
              <w:right w:val="single" w:sz="4" w:space="0" w:color="auto"/>
            </w:tcBorders>
            <w:hideMark/>
          </w:tcPr>
          <w:p w14:paraId="18A894E8" w14:textId="77777777" w:rsidR="0056153A" w:rsidRDefault="0056153A">
            <w:pPr>
              <w:pStyle w:val="TAL"/>
              <w:rPr>
                <w:lang w:eastAsia="en-GB"/>
              </w:rPr>
            </w:pPr>
            <w:r>
              <w:t>≤ 10 ms</w:t>
            </w:r>
          </w:p>
        </w:tc>
        <w:tc>
          <w:tcPr>
            <w:tcW w:w="992" w:type="dxa"/>
            <w:tcBorders>
              <w:top w:val="single" w:sz="4" w:space="0" w:color="auto"/>
              <w:left w:val="single" w:sz="4" w:space="0" w:color="auto"/>
              <w:bottom w:val="single" w:sz="4" w:space="0" w:color="auto"/>
              <w:right w:val="single" w:sz="4" w:space="0" w:color="auto"/>
            </w:tcBorders>
            <w:hideMark/>
          </w:tcPr>
          <w:p w14:paraId="16653564" w14:textId="77777777" w:rsidR="0056153A" w:rsidRDefault="0056153A">
            <w:pPr>
              <w:pStyle w:val="TAL"/>
            </w:pPr>
            <w:r>
              <w:t>10 ms</w:t>
            </w:r>
          </w:p>
        </w:tc>
        <w:tc>
          <w:tcPr>
            <w:tcW w:w="2477" w:type="dxa"/>
            <w:tcBorders>
              <w:top w:val="single" w:sz="4" w:space="0" w:color="auto"/>
              <w:left w:val="single" w:sz="4" w:space="0" w:color="auto"/>
              <w:bottom w:val="single" w:sz="4" w:space="0" w:color="auto"/>
              <w:right w:val="single" w:sz="4" w:space="0" w:color="auto"/>
            </w:tcBorders>
            <w:hideMark/>
          </w:tcPr>
          <w:p w14:paraId="79DDA3CA" w14:textId="77777777" w:rsidR="0056153A" w:rsidRDefault="0056153A">
            <w:pPr>
              <w:pStyle w:val="TAL"/>
            </w:pPr>
            <w:r>
              <w:t>Control-to-control in motion control (A.2.2.2)</w:t>
            </w:r>
          </w:p>
        </w:tc>
      </w:tr>
      <w:tr w:rsidR="0056153A" w14:paraId="2AD6AC48" w14:textId="77777777" w:rsidTr="0056153A">
        <w:trPr>
          <w:cantSplit/>
          <w:jc w:val="center"/>
        </w:trPr>
        <w:tc>
          <w:tcPr>
            <w:tcW w:w="1470" w:type="dxa"/>
            <w:tcBorders>
              <w:top w:val="single" w:sz="4" w:space="0" w:color="auto"/>
              <w:left w:val="single" w:sz="4" w:space="0" w:color="auto"/>
              <w:bottom w:val="single" w:sz="4" w:space="0" w:color="auto"/>
              <w:right w:val="single" w:sz="4" w:space="0" w:color="auto"/>
            </w:tcBorders>
            <w:hideMark/>
          </w:tcPr>
          <w:p w14:paraId="50701B1A" w14:textId="77777777" w:rsidR="0056153A" w:rsidRDefault="0056153A">
            <w:pPr>
              <w:pStyle w:val="TAL"/>
            </w:pPr>
            <w:r>
              <w:t>&gt; 99,9999 %</w:t>
            </w:r>
          </w:p>
        </w:tc>
        <w:tc>
          <w:tcPr>
            <w:tcW w:w="1276" w:type="dxa"/>
            <w:tcBorders>
              <w:top w:val="single" w:sz="4" w:space="0" w:color="auto"/>
              <w:left w:val="single" w:sz="4" w:space="0" w:color="auto"/>
              <w:bottom w:val="single" w:sz="4" w:space="0" w:color="auto"/>
              <w:right w:val="single" w:sz="4" w:space="0" w:color="auto"/>
            </w:tcBorders>
            <w:hideMark/>
          </w:tcPr>
          <w:p w14:paraId="7EE867C3" w14:textId="77777777" w:rsidR="0056153A" w:rsidRDefault="0056153A">
            <w:pPr>
              <w:pStyle w:val="TAL"/>
            </w:pPr>
            <w:r>
              <w:t>&lt; transfer interval value</w:t>
            </w:r>
          </w:p>
        </w:tc>
        <w:tc>
          <w:tcPr>
            <w:tcW w:w="993" w:type="dxa"/>
            <w:tcBorders>
              <w:top w:val="single" w:sz="4" w:space="0" w:color="auto"/>
              <w:left w:val="single" w:sz="4" w:space="0" w:color="auto"/>
              <w:bottom w:val="single" w:sz="4" w:space="0" w:color="auto"/>
              <w:right w:val="single" w:sz="4" w:space="0" w:color="auto"/>
            </w:tcBorders>
            <w:hideMark/>
          </w:tcPr>
          <w:p w14:paraId="515EB4B9" w14:textId="77777777" w:rsidR="0056153A" w:rsidRDefault="0056153A">
            <w:pPr>
              <w:pStyle w:val="TAL"/>
            </w:pPr>
            <w:r>
              <w:t>40 to 250</w:t>
            </w:r>
          </w:p>
        </w:tc>
        <w:tc>
          <w:tcPr>
            <w:tcW w:w="1277" w:type="dxa"/>
            <w:tcBorders>
              <w:top w:val="single" w:sz="4" w:space="0" w:color="auto"/>
              <w:left w:val="single" w:sz="4" w:space="0" w:color="auto"/>
              <w:bottom w:val="single" w:sz="4" w:space="0" w:color="auto"/>
              <w:right w:val="single" w:sz="4" w:space="0" w:color="auto"/>
            </w:tcBorders>
            <w:hideMark/>
          </w:tcPr>
          <w:p w14:paraId="3947F8EC" w14:textId="77777777" w:rsidR="0056153A" w:rsidRDefault="0056153A">
            <w:pPr>
              <w:pStyle w:val="TAL"/>
            </w:pPr>
            <w:r>
              <w:t>1 ms to 50 ms (note 6) (note 7)</w:t>
            </w:r>
          </w:p>
        </w:tc>
        <w:tc>
          <w:tcPr>
            <w:tcW w:w="992" w:type="dxa"/>
            <w:tcBorders>
              <w:top w:val="single" w:sz="4" w:space="0" w:color="auto"/>
              <w:left w:val="single" w:sz="4" w:space="0" w:color="auto"/>
              <w:bottom w:val="single" w:sz="4" w:space="0" w:color="auto"/>
              <w:right w:val="single" w:sz="4" w:space="0" w:color="auto"/>
            </w:tcBorders>
            <w:hideMark/>
          </w:tcPr>
          <w:p w14:paraId="192535CD" w14:textId="77777777" w:rsidR="0056153A" w:rsidRDefault="0056153A">
            <w:pPr>
              <w:pStyle w:val="TAL"/>
            </w:pPr>
            <w:r>
              <w:t>transfer interval value</w:t>
            </w:r>
          </w:p>
        </w:tc>
        <w:tc>
          <w:tcPr>
            <w:tcW w:w="2477" w:type="dxa"/>
            <w:tcBorders>
              <w:top w:val="single" w:sz="4" w:space="0" w:color="auto"/>
              <w:left w:val="single" w:sz="4" w:space="0" w:color="auto"/>
              <w:bottom w:val="single" w:sz="4" w:space="0" w:color="auto"/>
              <w:right w:val="single" w:sz="4" w:space="0" w:color="auto"/>
            </w:tcBorders>
            <w:hideMark/>
          </w:tcPr>
          <w:p w14:paraId="468D03C6" w14:textId="77777777" w:rsidR="0056153A" w:rsidRDefault="0056153A">
            <w:pPr>
              <w:pStyle w:val="TAL"/>
            </w:pPr>
            <w:r>
              <w:t>Mobile robots (A.2.2.3)</w:t>
            </w:r>
          </w:p>
        </w:tc>
      </w:tr>
      <w:tr w:rsidR="0056153A" w14:paraId="1A148C6F" w14:textId="77777777" w:rsidTr="0056153A">
        <w:trPr>
          <w:cantSplit/>
          <w:jc w:val="center"/>
        </w:trPr>
        <w:tc>
          <w:tcPr>
            <w:tcW w:w="1470" w:type="dxa"/>
            <w:tcBorders>
              <w:top w:val="single" w:sz="4" w:space="0" w:color="auto"/>
              <w:left w:val="single" w:sz="4" w:space="0" w:color="auto"/>
              <w:bottom w:val="single" w:sz="4" w:space="0" w:color="auto"/>
              <w:right w:val="single" w:sz="4" w:space="0" w:color="auto"/>
            </w:tcBorders>
            <w:hideMark/>
          </w:tcPr>
          <w:p w14:paraId="089C0879" w14:textId="77777777" w:rsidR="0056153A" w:rsidRDefault="0056153A">
            <w:pPr>
              <w:pStyle w:val="TAL"/>
            </w:pPr>
            <w:r>
              <w:t>99,9999 % to 99,999999 %</w:t>
            </w:r>
          </w:p>
        </w:tc>
        <w:tc>
          <w:tcPr>
            <w:tcW w:w="1276" w:type="dxa"/>
            <w:tcBorders>
              <w:top w:val="single" w:sz="4" w:space="0" w:color="auto"/>
              <w:left w:val="single" w:sz="4" w:space="0" w:color="auto"/>
              <w:bottom w:val="single" w:sz="4" w:space="0" w:color="auto"/>
              <w:right w:val="single" w:sz="4" w:space="0" w:color="auto"/>
            </w:tcBorders>
            <w:hideMark/>
          </w:tcPr>
          <w:p w14:paraId="73EC0D6B" w14:textId="77777777" w:rsidR="0056153A" w:rsidRDefault="0056153A">
            <w:pPr>
              <w:pStyle w:val="TAL"/>
            </w:pPr>
            <w:r>
              <w:t>&lt; transfer interval value</w:t>
            </w:r>
          </w:p>
        </w:tc>
        <w:tc>
          <w:tcPr>
            <w:tcW w:w="993" w:type="dxa"/>
            <w:tcBorders>
              <w:top w:val="single" w:sz="4" w:space="0" w:color="auto"/>
              <w:left w:val="single" w:sz="4" w:space="0" w:color="auto"/>
              <w:bottom w:val="single" w:sz="4" w:space="0" w:color="auto"/>
              <w:right w:val="single" w:sz="4" w:space="0" w:color="auto"/>
            </w:tcBorders>
            <w:hideMark/>
          </w:tcPr>
          <w:p w14:paraId="3EC1DD2B" w14:textId="77777777" w:rsidR="0056153A" w:rsidRDefault="0056153A">
            <w:pPr>
              <w:pStyle w:val="TAL"/>
            </w:pPr>
            <w:r>
              <w:t>40 to 250</w:t>
            </w:r>
          </w:p>
        </w:tc>
        <w:tc>
          <w:tcPr>
            <w:tcW w:w="1277" w:type="dxa"/>
            <w:tcBorders>
              <w:top w:val="single" w:sz="4" w:space="0" w:color="auto"/>
              <w:left w:val="single" w:sz="4" w:space="0" w:color="auto"/>
              <w:bottom w:val="single" w:sz="4" w:space="0" w:color="auto"/>
              <w:right w:val="single" w:sz="4" w:space="0" w:color="auto"/>
            </w:tcBorders>
            <w:hideMark/>
          </w:tcPr>
          <w:p w14:paraId="2E4E8733" w14:textId="77777777" w:rsidR="0056153A" w:rsidRDefault="0056153A">
            <w:pPr>
              <w:pStyle w:val="TAL"/>
            </w:pPr>
            <w:r>
              <w:t>4 ms to 8 ms (note 7)</w:t>
            </w:r>
          </w:p>
        </w:tc>
        <w:tc>
          <w:tcPr>
            <w:tcW w:w="992" w:type="dxa"/>
            <w:tcBorders>
              <w:top w:val="single" w:sz="4" w:space="0" w:color="auto"/>
              <w:left w:val="single" w:sz="4" w:space="0" w:color="auto"/>
              <w:bottom w:val="single" w:sz="4" w:space="0" w:color="auto"/>
              <w:right w:val="single" w:sz="4" w:space="0" w:color="auto"/>
            </w:tcBorders>
            <w:hideMark/>
          </w:tcPr>
          <w:p w14:paraId="15A57B6F" w14:textId="77777777" w:rsidR="0056153A" w:rsidRDefault="0056153A">
            <w:pPr>
              <w:pStyle w:val="TAL"/>
            </w:pPr>
            <w:r>
              <w:t>transfer interval value</w:t>
            </w:r>
          </w:p>
        </w:tc>
        <w:tc>
          <w:tcPr>
            <w:tcW w:w="2477" w:type="dxa"/>
            <w:tcBorders>
              <w:top w:val="single" w:sz="4" w:space="0" w:color="auto"/>
              <w:left w:val="single" w:sz="4" w:space="0" w:color="auto"/>
              <w:bottom w:val="single" w:sz="4" w:space="0" w:color="auto"/>
              <w:right w:val="single" w:sz="4" w:space="0" w:color="auto"/>
            </w:tcBorders>
            <w:hideMark/>
          </w:tcPr>
          <w:p w14:paraId="40A1CBCF" w14:textId="77777777" w:rsidR="0056153A" w:rsidRDefault="0056153A">
            <w:pPr>
              <w:pStyle w:val="TAL"/>
            </w:pPr>
            <w:r>
              <w:t>Mobile control panels – remote control of e.g. assembly robots, milling machines (A.2.4.1)</w:t>
            </w:r>
          </w:p>
        </w:tc>
      </w:tr>
      <w:tr w:rsidR="0056153A" w14:paraId="16B2B8C1" w14:textId="77777777" w:rsidTr="0056153A">
        <w:trPr>
          <w:cantSplit/>
          <w:jc w:val="center"/>
        </w:trPr>
        <w:tc>
          <w:tcPr>
            <w:tcW w:w="1470" w:type="dxa"/>
            <w:tcBorders>
              <w:top w:val="single" w:sz="4" w:space="0" w:color="auto"/>
              <w:left w:val="single" w:sz="4" w:space="0" w:color="auto"/>
              <w:bottom w:val="single" w:sz="4" w:space="0" w:color="auto"/>
              <w:right w:val="single" w:sz="4" w:space="0" w:color="auto"/>
            </w:tcBorders>
            <w:hideMark/>
          </w:tcPr>
          <w:p w14:paraId="215C35B3" w14:textId="77777777" w:rsidR="0056153A" w:rsidRDefault="0056153A">
            <w:pPr>
              <w:pStyle w:val="TAL"/>
            </w:pPr>
            <w:r>
              <w:t>99,9999 % to 99,999999 %</w:t>
            </w:r>
          </w:p>
        </w:tc>
        <w:tc>
          <w:tcPr>
            <w:tcW w:w="1276" w:type="dxa"/>
            <w:tcBorders>
              <w:top w:val="single" w:sz="4" w:space="0" w:color="auto"/>
              <w:left w:val="single" w:sz="4" w:space="0" w:color="auto"/>
              <w:bottom w:val="single" w:sz="4" w:space="0" w:color="auto"/>
              <w:right w:val="single" w:sz="4" w:space="0" w:color="auto"/>
            </w:tcBorders>
            <w:hideMark/>
          </w:tcPr>
          <w:p w14:paraId="273C8226" w14:textId="77777777" w:rsidR="0056153A" w:rsidRDefault="0056153A">
            <w:pPr>
              <w:pStyle w:val="TAL"/>
            </w:pPr>
            <w:r>
              <w:t>&lt; transfer interval</w:t>
            </w:r>
          </w:p>
        </w:tc>
        <w:tc>
          <w:tcPr>
            <w:tcW w:w="993" w:type="dxa"/>
            <w:tcBorders>
              <w:top w:val="single" w:sz="4" w:space="0" w:color="auto"/>
              <w:left w:val="single" w:sz="4" w:space="0" w:color="auto"/>
              <w:bottom w:val="single" w:sz="4" w:space="0" w:color="auto"/>
              <w:right w:val="single" w:sz="4" w:space="0" w:color="auto"/>
            </w:tcBorders>
          </w:tcPr>
          <w:p w14:paraId="256E3140" w14:textId="77777777" w:rsidR="0056153A" w:rsidRDefault="0056153A">
            <w:pPr>
              <w:pStyle w:val="TAL"/>
            </w:pPr>
            <w:r>
              <w:t>40 to 250</w:t>
            </w:r>
          </w:p>
          <w:p w14:paraId="0F6432EE" w14:textId="77777777" w:rsidR="0056153A" w:rsidRDefault="0056153A">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hideMark/>
          </w:tcPr>
          <w:p w14:paraId="12027D4D" w14:textId="77777777" w:rsidR="0056153A" w:rsidRDefault="0056153A">
            <w:pPr>
              <w:pStyle w:val="TAL"/>
            </w:pPr>
            <w:r>
              <w:t>&lt; 12 ms (note 7)</w:t>
            </w:r>
          </w:p>
        </w:tc>
        <w:tc>
          <w:tcPr>
            <w:tcW w:w="992" w:type="dxa"/>
            <w:tcBorders>
              <w:top w:val="single" w:sz="4" w:space="0" w:color="auto"/>
              <w:left w:val="single" w:sz="4" w:space="0" w:color="auto"/>
              <w:bottom w:val="single" w:sz="4" w:space="0" w:color="auto"/>
              <w:right w:val="single" w:sz="4" w:space="0" w:color="auto"/>
            </w:tcBorders>
            <w:hideMark/>
          </w:tcPr>
          <w:p w14:paraId="048DA63A" w14:textId="77777777" w:rsidR="0056153A" w:rsidRDefault="0056153A">
            <w:pPr>
              <w:pStyle w:val="TAL"/>
            </w:pPr>
            <w:r>
              <w:t>12 ms</w:t>
            </w:r>
          </w:p>
        </w:tc>
        <w:tc>
          <w:tcPr>
            <w:tcW w:w="2477" w:type="dxa"/>
            <w:tcBorders>
              <w:top w:val="single" w:sz="4" w:space="0" w:color="auto"/>
              <w:left w:val="single" w:sz="4" w:space="0" w:color="auto"/>
              <w:bottom w:val="single" w:sz="4" w:space="0" w:color="auto"/>
              <w:right w:val="single" w:sz="4" w:space="0" w:color="auto"/>
            </w:tcBorders>
            <w:hideMark/>
          </w:tcPr>
          <w:p w14:paraId="11EEF17B" w14:textId="77777777" w:rsidR="0056153A" w:rsidRDefault="0056153A">
            <w:pPr>
              <w:pStyle w:val="TAL"/>
            </w:pPr>
            <w:r>
              <w:t>Mobile control panels -remote control of e.g. mobile cranes, mobile pumps, fixed portal cranes(A.2.4.1)</w:t>
            </w:r>
          </w:p>
        </w:tc>
      </w:tr>
      <w:tr w:rsidR="0056153A" w14:paraId="7F93227F" w14:textId="77777777" w:rsidTr="0056153A">
        <w:trPr>
          <w:cantSplit/>
          <w:jc w:val="center"/>
        </w:trPr>
        <w:tc>
          <w:tcPr>
            <w:tcW w:w="1470" w:type="dxa"/>
            <w:tcBorders>
              <w:top w:val="single" w:sz="4" w:space="0" w:color="auto"/>
              <w:left w:val="single" w:sz="4" w:space="0" w:color="auto"/>
              <w:bottom w:val="single" w:sz="4" w:space="0" w:color="auto"/>
              <w:right w:val="single" w:sz="4" w:space="0" w:color="auto"/>
            </w:tcBorders>
            <w:hideMark/>
          </w:tcPr>
          <w:p w14:paraId="61667903" w14:textId="77777777" w:rsidR="0056153A" w:rsidRDefault="0056153A">
            <w:pPr>
              <w:pStyle w:val="TAL"/>
            </w:pPr>
            <w:r>
              <w:t>99,9999 % to 99,999999 %</w:t>
            </w:r>
          </w:p>
        </w:tc>
        <w:tc>
          <w:tcPr>
            <w:tcW w:w="1276" w:type="dxa"/>
            <w:tcBorders>
              <w:top w:val="single" w:sz="4" w:space="0" w:color="auto"/>
              <w:left w:val="single" w:sz="4" w:space="0" w:color="auto"/>
              <w:bottom w:val="single" w:sz="4" w:space="0" w:color="auto"/>
              <w:right w:val="single" w:sz="4" w:space="0" w:color="auto"/>
            </w:tcBorders>
            <w:hideMark/>
          </w:tcPr>
          <w:p w14:paraId="5175C95B" w14:textId="77777777" w:rsidR="0056153A" w:rsidRDefault="0056153A">
            <w:pPr>
              <w:pStyle w:val="TAL"/>
            </w:pPr>
            <w:r>
              <w:t>&lt; transfer interval value</w:t>
            </w:r>
          </w:p>
        </w:tc>
        <w:tc>
          <w:tcPr>
            <w:tcW w:w="993" w:type="dxa"/>
            <w:tcBorders>
              <w:top w:val="single" w:sz="4" w:space="0" w:color="auto"/>
              <w:left w:val="single" w:sz="4" w:space="0" w:color="auto"/>
              <w:bottom w:val="single" w:sz="4" w:space="0" w:color="auto"/>
              <w:right w:val="single" w:sz="4" w:space="0" w:color="auto"/>
            </w:tcBorders>
            <w:hideMark/>
          </w:tcPr>
          <w:p w14:paraId="4369ADFC" w14:textId="77777777" w:rsidR="0056153A" w:rsidRDefault="0056153A">
            <w:pPr>
              <w:pStyle w:val="TAL"/>
            </w:pPr>
            <w:r>
              <w:t>20</w:t>
            </w:r>
          </w:p>
        </w:tc>
        <w:tc>
          <w:tcPr>
            <w:tcW w:w="1277" w:type="dxa"/>
            <w:tcBorders>
              <w:top w:val="single" w:sz="4" w:space="0" w:color="auto"/>
              <w:left w:val="single" w:sz="4" w:space="0" w:color="auto"/>
              <w:bottom w:val="single" w:sz="4" w:space="0" w:color="auto"/>
              <w:right w:val="single" w:sz="4" w:space="0" w:color="auto"/>
            </w:tcBorders>
            <w:hideMark/>
          </w:tcPr>
          <w:p w14:paraId="48448705" w14:textId="77777777" w:rsidR="0056153A" w:rsidRDefault="0056153A">
            <w:pPr>
              <w:pStyle w:val="TAL"/>
            </w:pPr>
            <w:r>
              <w:t>≥ 10 ms (note 8)</w:t>
            </w:r>
          </w:p>
        </w:tc>
        <w:tc>
          <w:tcPr>
            <w:tcW w:w="992" w:type="dxa"/>
            <w:tcBorders>
              <w:top w:val="single" w:sz="4" w:space="0" w:color="auto"/>
              <w:left w:val="single" w:sz="4" w:space="0" w:color="auto"/>
              <w:bottom w:val="single" w:sz="4" w:space="0" w:color="auto"/>
              <w:right w:val="single" w:sz="4" w:space="0" w:color="auto"/>
            </w:tcBorders>
            <w:hideMark/>
          </w:tcPr>
          <w:p w14:paraId="07FCA8EE" w14:textId="77777777" w:rsidR="0056153A" w:rsidRDefault="0056153A">
            <w:pPr>
              <w:pStyle w:val="TAL"/>
            </w:pPr>
            <w:r>
              <w:t>0</w:t>
            </w:r>
          </w:p>
        </w:tc>
        <w:tc>
          <w:tcPr>
            <w:tcW w:w="2477" w:type="dxa"/>
            <w:tcBorders>
              <w:top w:val="single" w:sz="4" w:space="0" w:color="auto"/>
              <w:left w:val="single" w:sz="4" w:space="0" w:color="auto"/>
              <w:bottom w:val="single" w:sz="4" w:space="0" w:color="auto"/>
              <w:right w:val="single" w:sz="4" w:space="0" w:color="auto"/>
            </w:tcBorders>
            <w:hideMark/>
          </w:tcPr>
          <w:p w14:paraId="6EA65EE3" w14:textId="77777777" w:rsidR="0056153A" w:rsidRDefault="0056153A">
            <w:pPr>
              <w:pStyle w:val="TAL"/>
            </w:pPr>
            <w:r>
              <w:t>Process automation – closed loop control (A.2.3.1)</w:t>
            </w:r>
          </w:p>
        </w:tc>
      </w:tr>
      <w:tr w:rsidR="0056153A" w14:paraId="657D00AD" w14:textId="77777777" w:rsidTr="0056153A">
        <w:trPr>
          <w:cantSplit/>
          <w:jc w:val="center"/>
        </w:trPr>
        <w:tc>
          <w:tcPr>
            <w:tcW w:w="1470" w:type="dxa"/>
            <w:tcBorders>
              <w:top w:val="single" w:sz="4" w:space="0" w:color="auto"/>
              <w:left w:val="single" w:sz="4" w:space="0" w:color="auto"/>
              <w:bottom w:val="single" w:sz="4" w:space="0" w:color="auto"/>
              <w:right w:val="single" w:sz="4" w:space="0" w:color="auto"/>
            </w:tcBorders>
            <w:hideMark/>
          </w:tcPr>
          <w:p w14:paraId="7F0AD705" w14:textId="77777777" w:rsidR="0056153A" w:rsidRDefault="0056153A">
            <w:pPr>
              <w:pStyle w:val="TAL"/>
            </w:pPr>
            <w:r>
              <w:t>&gt; 99,9999 %</w:t>
            </w:r>
          </w:p>
        </w:tc>
        <w:tc>
          <w:tcPr>
            <w:tcW w:w="1276" w:type="dxa"/>
            <w:tcBorders>
              <w:top w:val="single" w:sz="4" w:space="0" w:color="auto"/>
              <w:left w:val="single" w:sz="4" w:space="0" w:color="auto"/>
              <w:bottom w:val="single" w:sz="4" w:space="0" w:color="auto"/>
              <w:right w:val="single" w:sz="4" w:space="0" w:color="auto"/>
            </w:tcBorders>
            <w:hideMark/>
          </w:tcPr>
          <w:p w14:paraId="21153439" w14:textId="77777777" w:rsidR="0056153A" w:rsidRDefault="0056153A">
            <w:pPr>
              <w:pStyle w:val="TAL"/>
            </w:pPr>
            <w:r>
              <w:t>&lt; transfer interval value</w:t>
            </w:r>
          </w:p>
        </w:tc>
        <w:tc>
          <w:tcPr>
            <w:tcW w:w="993" w:type="dxa"/>
            <w:tcBorders>
              <w:top w:val="single" w:sz="4" w:space="0" w:color="auto"/>
              <w:left w:val="single" w:sz="4" w:space="0" w:color="auto"/>
              <w:bottom w:val="single" w:sz="4" w:space="0" w:color="auto"/>
              <w:right w:val="single" w:sz="4" w:space="0" w:color="auto"/>
            </w:tcBorders>
            <w:hideMark/>
          </w:tcPr>
          <w:p w14:paraId="08E635C6" w14:textId="77777777" w:rsidR="0056153A" w:rsidRDefault="0056153A">
            <w:pPr>
              <w:pStyle w:val="TAL"/>
            </w:pPr>
            <w:r>
              <w:t>15 k to 250 k</w:t>
            </w:r>
          </w:p>
        </w:tc>
        <w:tc>
          <w:tcPr>
            <w:tcW w:w="1277" w:type="dxa"/>
            <w:tcBorders>
              <w:top w:val="single" w:sz="4" w:space="0" w:color="auto"/>
              <w:left w:val="single" w:sz="4" w:space="0" w:color="auto"/>
              <w:bottom w:val="single" w:sz="4" w:space="0" w:color="auto"/>
              <w:right w:val="single" w:sz="4" w:space="0" w:color="auto"/>
            </w:tcBorders>
            <w:hideMark/>
          </w:tcPr>
          <w:p w14:paraId="02A990E6" w14:textId="77777777" w:rsidR="0056153A" w:rsidRDefault="0056153A">
            <w:pPr>
              <w:pStyle w:val="TAL"/>
            </w:pPr>
            <w:r>
              <w:t>10 ms to 100 ms (note 7)</w:t>
            </w:r>
          </w:p>
        </w:tc>
        <w:tc>
          <w:tcPr>
            <w:tcW w:w="992" w:type="dxa"/>
            <w:tcBorders>
              <w:top w:val="single" w:sz="4" w:space="0" w:color="auto"/>
              <w:left w:val="single" w:sz="4" w:space="0" w:color="auto"/>
              <w:bottom w:val="single" w:sz="4" w:space="0" w:color="auto"/>
              <w:right w:val="single" w:sz="4" w:space="0" w:color="auto"/>
            </w:tcBorders>
            <w:hideMark/>
          </w:tcPr>
          <w:p w14:paraId="3E288239" w14:textId="77777777" w:rsidR="0056153A" w:rsidRDefault="0056153A">
            <w:pPr>
              <w:pStyle w:val="TAL"/>
            </w:pPr>
            <w:r>
              <w:t>transfer interval value</w:t>
            </w:r>
          </w:p>
        </w:tc>
        <w:tc>
          <w:tcPr>
            <w:tcW w:w="2477" w:type="dxa"/>
            <w:tcBorders>
              <w:top w:val="single" w:sz="4" w:space="0" w:color="auto"/>
              <w:left w:val="single" w:sz="4" w:space="0" w:color="auto"/>
              <w:bottom w:val="single" w:sz="4" w:space="0" w:color="auto"/>
              <w:right w:val="single" w:sz="4" w:space="0" w:color="auto"/>
            </w:tcBorders>
            <w:hideMark/>
          </w:tcPr>
          <w:p w14:paraId="08A2B817" w14:textId="77777777" w:rsidR="0056153A" w:rsidRDefault="0056153A">
            <w:pPr>
              <w:pStyle w:val="TAL"/>
            </w:pPr>
            <w:r>
              <w:t>Mobile robots – video-operated remote control (A.2.2.3)</w:t>
            </w:r>
          </w:p>
        </w:tc>
      </w:tr>
    </w:tbl>
    <w:p w14:paraId="71556248" w14:textId="77777777" w:rsidR="00965715" w:rsidRDefault="00965715" w:rsidP="007347EA"/>
    <w:p w14:paraId="6CAE9C4B" w14:textId="3B2899C0" w:rsidR="003232ED" w:rsidRDefault="003232ED" w:rsidP="007347EA">
      <w:r>
        <w:rPr>
          <w:rFonts w:hint="eastAsia"/>
        </w:rPr>
        <w:t>In above</w:t>
      </w:r>
      <w:r>
        <w:t xml:space="preserve"> table, some periodicities are explicitly mentioned: 0.5/1/2/4/8/10 ms, while there are also some ranges mentioned</w:t>
      </w:r>
      <w:r w:rsidR="00EE405E">
        <w:t>, e.g. ≤ 10 ms, 1 ms to 50 ms, 4 ms to 8 ms.</w:t>
      </w:r>
      <w:r w:rsidR="00D7504A">
        <w:t xml:space="preserve"> </w:t>
      </w:r>
      <w:r w:rsidR="00637D8A">
        <w:t>T</w:t>
      </w:r>
      <w:r w:rsidR="00D7504A">
        <w:t>he granularity for the ranges</w:t>
      </w:r>
      <w:r w:rsidR="00637D8A">
        <w:t xml:space="preserve"> is not clear</w:t>
      </w:r>
      <w:r w:rsidR="00D7504A">
        <w:t>, e.g. whether the granularity is 1 ms or even shorter.</w:t>
      </w:r>
    </w:p>
    <w:p w14:paraId="0CBDC3AF" w14:textId="4B7D18E4" w:rsidR="00647884" w:rsidRDefault="00B701F4" w:rsidP="007347EA">
      <w:r>
        <w:rPr>
          <w:rFonts w:hint="eastAsia"/>
        </w:rPr>
        <w:t>Currently</w:t>
      </w:r>
      <w:r>
        <w:t xml:space="preserve"> NR supports the following periodicit</w:t>
      </w:r>
      <w:r w:rsidR="00D721FE">
        <w:t xml:space="preserve">ies for configured grant (as in field description of </w:t>
      </w:r>
      <w:r w:rsidR="00D721FE" w:rsidRPr="00D721FE">
        <w:rPr>
          <w:i/>
        </w:rPr>
        <w:t>periodicity</w:t>
      </w:r>
      <w:r w:rsidR="00D721FE">
        <w:t xml:space="preserve"> of IE </w:t>
      </w:r>
      <w:r w:rsidR="00D721FE">
        <w:rPr>
          <w:i/>
        </w:rPr>
        <w:t>ConfiguredGrantConfig</w:t>
      </w:r>
      <w:r w:rsidR="00D721FE">
        <w:t>):</w:t>
      </w:r>
    </w:p>
    <w:p w14:paraId="2C9F5523" w14:textId="77777777" w:rsidR="00D25952" w:rsidRDefault="00D25952" w:rsidP="00D25952">
      <w:pPr>
        <w:pStyle w:val="TAL"/>
        <w:ind w:leftChars="200" w:left="400"/>
        <w:rPr>
          <w:szCs w:val="22"/>
          <w:lang w:val="en-GB" w:eastAsia="ja-JP"/>
        </w:rPr>
      </w:pPr>
      <w:r>
        <w:rPr>
          <w:szCs w:val="22"/>
          <w:lang w:val="en-GB" w:eastAsia="ja-JP"/>
        </w:rPr>
        <w:lastRenderedPageBreak/>
        <w:t>The following periodicities are supported depending on the configured subcarrier spacing [symbols]:</w:t>
      </w:r>
    </w:p>
    <w:p w14:paraId="7791ECE3" w14:textId="77777777" w:rsidR="00D25952" w:rsidRDefault="00D25952" w:rsidP="00D25952">
      <w:pPr>
        <w:pStyle w:val="TAL"/>
        <w:ind w:leftChars="200" w:left="400"/>
        <w:rPr>
          <w:szCs w:val="22"/>
          <w:lang w:val="en-GB" w:eastAsia="ja-JP"/>
        </w:rPr>
      </w:pPr>
      <w:r>
        <w:rPr>
          <w:szCs w:val="22"/>
          <w:lang w:val="en-GB" w:eastAsia="ja-JP"/>
        </w:rPr>
        <w:t xml:space="preserve">15kHz: </w:t>
      </w:r>
      <w:r>
        <w:rPr>
          <w:szCs w:val="22"/>
          <w:lang w:val="en-GB" w:eastAsia="ja-JP"/>
        </w:rPr>
        <w:tab/>
      </w:r>
      <w:r>
        <w:rPr>
          <w:szCs w:val="22"/>
          <w:lang w:val="en-GB" w:eastAsia="ja-JP"/>
        </w:rPr>
        <w:tab/>
      </w:r>
      <w:r>
        <w:rPr>
          <w:szCs w:val="22"/>
          <w:lang w:val="en-GB" w:eastAsia="ja-JP"/>
        </w:rPr>
        <w:tab/>
      </w:r>
      <w:r>
        <w:rPr>
          <w:szCs w:val="22"/>
          <w:lang w:val="en-GB" w:eastAsia="ja-JP"/>
        </w:rPr>
        <w:tab/>
      </w:r>
      <w:r>
        <w:rPr>
          <w:szCs w:val="22"/>
          <w:lang w:val="en-GB" w:eastAsia="ja-JP"/>
        </w:rPr>
        <w:tab/>
        <w:t>2, 7, n*14, where n={1, 2, 4, 5, 8, 10, 16, 20, 32, 40, 64, 80, 128, 160, 320, 640}</w:t>
      </w:r>
    </w:p>
    <w:p w14:paraId="3439C41D" w14:textId="77777777" w:rsidR="00D25952" w:rsidRDefault="00D25952" w:rsidP="00D25952">
      <w:pPr>
        <w:pStyle w:val="TAL"/>
        <w:ind w:leftChars="200" w:left="400"/>
        <w:rPr>
          <w:szCs w:val="22"/>
          <w:lang w:val="en-GB" w:eastAsia="ja-JP"/>
        </w:rPr>
      </w:pPr>
      <w:r>
        <w:rPr>
          <w:szCs w:val="22"/>
          <w:lang w:val="en-GB" w:eastAsia="ja-JP"/>
        </w:rPr>
        <w:t xml:space="preserve">30kHz: </w:t>
      </w:r>
      <w:r>
        <w:rPr>
          <w:szCs w:val="22"/>
          <w:lang w:val="en-GB" w:eastAsia="ja-JP"/>
        </w:rPr>
        <w:tab/>
      </w:r>
      <w:r>
        <w:rPr>
          <w:szCs w:val="22"/>
          <w:lang w:val="en-GB" w:eastAsia="ja-JP"/>
        </w:rPr>
        <w:tab/>
      </w:r>
      <w:r>
        <w:rPr>
          <w:szCs w:val="22"/>
          <w:lang w:val="en-GB" w:eastAsia="ja-JP"/>
        </w:rPr>
        <w:tab/>
      </w:r>
      <w:r>
        <w:rPr>
          <w:szCs w:val="22"/>
          <w:lang w:val="en-GB" w:eastAsia="ja-JP"/>
        </w:rPr>
        <w:tab/>
      </w:r>
      <w:r>
        <w:rPr>
          <w:szCs w:val="22"/>
          <w:lang w:val="en-GB" w:eastAsia="ja-JP"/>
        </w:rPr>
        <w:tab/>
        <w:t>2, 7, n*14, where n={1, 2, 4, 5, 8, 10, 16, 20, 32, 40, 64, 80, 128, 160, 256, 320, 640, 1280}</w:t>
      </w:r>
    </w:p>
    <w:p w14:paraId="27256BEC" w14:textId="77777777" w:rsidR="00D25952" w:rsidRDefault="00D25952" w:rsidP="00D25952">
      <w:pPr>
        <w:pStyle w:val="TAL"/>
        <w:ind w:leftChars="200" w:left="400"/>
        <w:rPr>
          <w:szCs w:val="22"/>
          <w:lang w:val="en-GB" w:eastAsia="ja-JP"/>
        </w:rPr>
      </w:pPr>
      <w:r>
        <w:rPr>
          <w:szCs w:val="22"/>
          <w:lang w:val="en-GB" w:eastAsia="ja-JP"/>
        </w:rPr>
        <w:t xml:space="preserve">60kHz with normal CP: </w:t>
      </w:r>
      <w:r>
        <w:rPr>
          <w:szCs w:val="22"/>
          <w:lang w:val="en-GB" w:eastAsia="ja-JP"/>
        </w:rPr>
        <w:tab/>
        <w:t>2, 7, n*14, where n={1, 2, 4, 5, 8, 10, 16, 20, 32, 40, 64, 80, 128, 160, 256, 320, 512, 640, 1280, 2560}</w:t>
      </w:r>
    </w:p>
    <w:p w14:paraId="61A9F8FA" w14:textId="77777777" w:rsidR="00D25952" w:rsidRDefault="00D25952" w:rsidP="00D25952">
      <w:pPr>
        <w:pStyle w:val="TAL"/>
        <w:ind w:leftChars="200" w:left="400"/>
        <w:rPr>
          <w:szCs w:val="22"/>
          <w:lang w:val="en-GB" w:eastAsia="ja-JP"/>
        </w:rPr>
      </w:pPr>
      <w:r>
        <w:rPr>
          <w:szCs w:val="22"/>
          <w:lang w:val="en-GB" w:eastAsia="ja-JP"/>
        </w:rPr>
        <w:t xml:space="preserve">60kHz with ECP: </w:t>
      </w:r>
      <w:r>
        <w:rPr>
          <w:szCs w:val="22"/>
          <w:lang w:val="en-GB" w:eastAsia="ja-JP"/>
        </w:rPr>
        <w:tab/>
      </w:r>
      <w:r>
        <w:rPr>
          <w:szCs w:val="22"/>
          <w:lang w:val="en-GB" w:eastAsia="ja-JP"/>
        </w:rPr>
        <w:tab/>
      </w:r>
      <w:r>
        <w:rPr>
          <w:szCs w:val="22"/>
          <w:lang w:val="en-GB" w:eastAsia="ja-JP"/>
        </w:rPr>
        <w:tab/>
        <w:t>2, 6, n*12, where n={1, 2, 4, 5, 8, 10, 16, 20, 32, 40, 64, 80, 128, 160, 256, 320, 512, 640, 1280, 2560}</w:t>
      </w:r>
    </w:p>
    <w:p w14:paraId="5BACB8C8" w14:textId="50C16A28" w:rsidR="00D25952" w:rsidRPr="00D721FE" w:rsidRDefault="00D25952" w:rsidP="00D25952">
      <w:pPr>
        <w:ind w:leftChars="200" w:left="400"/>
      </w:pPr>
      <w:r>
        <w:rPr>
          <w:szCs w:val="22"/>
        </w:rPr>
        <w:t xml:space="preserve">120kHz: </w:t>
      </w:r>
      <w:r>
        <w:rPr>
          <w:szCs w:val="22"/>
        </w:rPr>
        <w:tab/>
      </w:r>
      <w:r>
        <w:rPr>
          <w:szCs w:val="22"/>
        </w:rPr>
        <w:tab/>
      </w:r>
      <w:r>
        <w:rPr>
          <w:szCs w:val="22"/>
        </w:rPr>
        <w:tab/>
      </w:r>
      <w:r>
        <w:rPr>
          <w:szCs w:val="22"/>
        </w:rPr>
        <w:tab/>
      </w:r>
      <w:r>
        <w:rPr>
          <w:szCs w:val="22"/>
        </w:rPr>
        <w:tab/>
        <w:t>2, 7, n*14, where n={1, 2, 4, 5, 8, 10, 16, 20, 32, 40, 64, 80, 128, 160, 256, 320, 512, 640, 1024, 1280, 2560, 5120}</w:t>
      </w:r>
    </w:p>
    <w:p w14:paraId="55BCED50" w14:textId="4F69E3EB" w:rsidR="00F057D2" w:rsidRDefault="00637D8A" w:rsidP="007347EA">
      <w:r>
        <w:t>T</w:t>
      </w:r>
      <w:r w:rsidR="008D29D8">
        <w:t xml:space="preserve">he explicitly mentioned periodicities </w:t>
      </w:r>
      <w:r w:rsidR="0003328F">
        <w:t xml:space="preserve">(0.5/1/2/4/8/10 ms) </w:t>
      </w:r>
      <w:r w:rsidR="008D29D8">
        <w:t>are already supported by Rel-15 NR. In fact, if we aggregate all the supported periodicities of 15/30/60 kHz SCS, the</w:t>
      </w:r>
      <w:r w:rsidR="004678A0">
        <w:t xml:space="preserve"> supported</w:t>
      </w:r>
      <w:r w:rsidR="008D29D8">
        <w:t xml:space="preserve"> periodicities</w:t>
      </w:r>
      <w:r w:rsidR="00856A56">
        <w:t xml:space="preserve"> (ms)</w:t>
      </w:r>
      <w:r w:rsidR="008D29D8">
        <w:t xml:space="preserve"> are { </w:t>
      </w:r>
      <w:r w:rsidR="00856A56">
        <w:t xml:space="preserve">1/28, 1/14, 1/8, 1/4, 1/7, 1/4, </w:t>
      </w:r>
      <w:r w:rsidR="008D29D8">
        <w:rPr>
          <w:szCs w:val="22"/>
          <w:lang w:val="en-GB" w:eastAsia="ja-JP"/>
        </w:rPr>
        <w:t xml:space="preserve">1, </w:t>
      </w:r>
      <w:r w:rsidR="004678A0">
        <w:rPr>
          <w:szCs w:val="22"/>
          <w:lang w:val="en-GB" w:eastAsia="ja-JP"/>
        </w:rPr>
        <w:t xml:space="preserve">1.25, </w:t>
      </w:r>
      <w:r w:rsidR="008D29D8">
        <w:rPr>
          <w:szCs w:val="22"/>
          <w:lang w:val="en-GB" w:eastAsia="ja-JP"/>
        </w:rPr>
        <w:t xml:space="preserve">2, </w:t>
      </w:r>
      <w:r w:rsidR="004678A0">
        <w:rPr>
          <w:szCs w:val="22"/>
          <w:lang w:val="en-GB" w:eastAsia="ja-JP"/>
        </w:rPr>
        <w:t xml:space="preserve">2.5, </w:t>
      </w:r>
      <w:r w:rsidR="008D29D8">
        <w:rPr>
          <w:szCs w:val="22"/>
          <w:lang w:val="en-GB" w:eastAsia="ja-JP"/>
        </w:rPr>
        <w:t xml:space="preserve">4, 5, 8, 10, 16, 20, 32, 40, 64, 80, 128, 160, 320, 640 </w:t>
      </w:r>
      <w:r w:rsidR="008D29D8">
        <w:t>}.</w:t>
      </w:r>
      <w:r w:rsidR="0003328F">
        <w:t xml:space="preserve"> There are fine</w:t>
      </w:r>
      <w:r w:rsidR="0038719C">
        <w:t>r</w:t>
      </w:r>
      <w:r w:rsidR="0003328F">
        <w:t xml:space="preserve"> granularity fo</w:t>
      </w:r>
      <w:r w:rsidR="00DD21AB">
        <w:t>r short periodicities, which typically corresponding to</w:t>
      </w:r>
      <w:r w:rsidR="0003328F">
        <w:t xml:space="preserve"> delay sensitive</w:t>
      </w:r>
      <w:r w:rsidR="00DD21AB">
        <w:t xml:space="preserve"> services</w:t>
      </w:r>
      <w:r w:rsidR="0003328F">
        <w:t>.</w:t>
      </w:r>
    </w:p>
    <w:p w14:paraId="6FD6C4EC" w14:textId="12F11C6F" w:rsidR="00EC276B" w:rsidRDefault="00EC276B" w:rsidP="007347EA">
      <w:r>
        <w:t xml:space="preserve">Although it </w:t>
      </w:r>
      <w:r>
        <w:t>is feasible to add more periodicities, such addition should be done cautiously given that SA1 requirements on TSN traffic</w:t>
      </w:r>
      <w:r w:rsidR="00611704">
        <w:t xml:space="preserve"> transfer</w:t>
      </w:r>
      <w:r w:rsidR="007C6D96">
        <w:t xml:space="preserve"> </w:t>
      </w:r>
      <w:r>
        <w:t xml:space="preserve">interval are not very clear for certain use cases. Given that gNB is provided with TSN traffic patterns, </w:t>
      </w:r>
      <w:r w:rsidR="00432719">
        <w:t xml:space="preserve">there are several tools </w:t>
      </w:r>
      <w:r>
        <w:t xml:space="preserve">gNB </w:t>
      </w:r>
      <w:r>
        <w:t xml:space="preserve">could </w:t>
      </w:r>
      <w:r w:rsidR="00432719">
        <w:t xml:space="preserve">utilize if latency requirement is tight for a TSN traffic whose periodicity is not explicitly supported: e.g. gNB can configure </w:t>
      </w:r>
      <w:r w:rsidR="003E32A8">
        <w:t xml:space="preserve">UE </w:t>
      </w:r>
      <w:r w:rsidR="00432719">
        <w:t>with shorter periodicity (</w:t>
      </w:r>
      <w:r w:rsidR="00407EDE">
        <w:t>UE can skip UL transmission if no data), multiple configurations or even use dynamic scheduling if necessary.</w:t>
      </w:r>
      <w:r w:rsidR="00432719">
        <w:t xml:space="preserve"> </w:t>
      </w:r>
      <w:r w:rsidR="00DC7F9D">
        <w:t xml:space="preserve">There </w:t>
      </w:r>
      <w:r w:rsidR="008E7F23">
        <w:t xml:space="preserve">is </w:t>
      </w:r>
      <w:r w:rsidR="00DC7F9D">
        <w:t>less granularity for larger periodicities, but the latency requirement can be easily met given that Rel-16 IIoT is targeted to meet very stringent latencies like 0.5 ms.</w:t>
      </w:r>
    </w:p>
    <w:p w14:paraId="1EFE3FDE" w14:textId="4E3746ED" w:rsidR="00C50931" w:rsidRDefault="00DC7F9D" w:rsidP="00DC7F9D">
      <w:r>
        <w:t xml:space="preserve">Potential jitter </w:t>
      </w:r>
      <w:r w:rsidR="00611704">
        <w:t>compensation (jittering/de-jittering) for TSN traffic can simply be achieved at the TSN translators at the CN and UE sides</w:t>
      </w:r>
      <w:r>
        <w:t xml:space="preserve"> which are aware of the TSN traffic pattern</w:t>
      </w:r>
      <w:r w:rsidR="00572D41">
        <w:t>.</w:t>
      </w:r>
      <w:r w:rsidR="00CC53EB">
        <w:t xml:space="preserve"> </w:t>
      </w:r>
    </w:p>
    <w:p w14:paraId="66A55045" w14:textId="1F3C5E7A" w:rsidR="00DC7F9D" w:rsidRDefault="00DC7F9D" w:rsidP="00DC7F9D">
      <w:pPr>
        <w:rPr>
          <w:lang w:eastAsia="zh-CN"/>
        </w:rPr>
      </w:pPr>
      <w:r>
        <w:t xml:space="preserve">In summary, </w:t>
      </w:r>
      <w:r w:rsidR="006F3234">
        <w:t>mismatch between TSN periodicity and CG/SPS periodicity</w:t>
      </w:r>
      <w:r w:rsidR="00417624">
        <w:t xml:space="preserve"> is not critical to </w:t>
      </w:r>
      <w:r w:rsidR="00611704">
        <w:t xml:space="preserve">be </w:t>
      </w:r>
      <w:r w:rsidR="00417624">
        <w:t>resolve</w:t>
      </w:r>
      <w:r w:rsidR="00611704">
        <w:t>d</w:t>
      </w:r>
      <w:r w:rsidR="00417624">
        <w:t xml:space="preserve"> unless there are clear requirements identified.</w:t>
      </w:r>
    </w:p>
    <w:p w14:paraId="1EFE3FDF" w14:textId="5C3D93B6" w:rsidR="00C50931" w:rsidRDefault="00C50931" w:rsidP="00C50931">
      <w:pPr>
        <w:rPr>
          <w:lang w:eastAsia="zh-CN"/>
        </w:rPr>
      </w:pPr>
      <w:bookmarkStart w:id="3" w:name="Proposal_DL"/>
      <w:bookmarkStart w:id="4" w:name="Proposal_Mismatch"/>
      <w:r w:rsidRPr="00077A03">
        <w:rPr>
          <w:b/>
          <w:lang w:eastAsia="ko-KR"/>
        </w:rPr>
        <w:t xml:space="preserve">Proposal </w:t>
      </w:r>
      <w:r>
        <w:rPr>
          <w:b/>
          <w:lang w:eastAsia="ko-KR"/>
        </w:rPr>
        <w:fldChar w:fldCharType="begin"/>
      </w:r>
      <w:r>
        <w:rPr>
          <w:b/>
          <w:lang w:eastAsia="ko-KR"/>
        </w:rPr>
        <w:instrText xml:space="preserve"> SEQ Proposal \* MERGEFORMAT  \* MERGEFORMAT </w:instrText>
      </w:r>
      <w:r>
        <w:rPr>
          <w:b/>
          <w:lang w:eastAsia="ko-KR"/>
        </w:rPr>
        <w:fldChar w:fldCharType="separate"/>
      </w:r>
      <w:r w:rsidR="00C46DAE">
        <w:rPr>
          <w:b/>
          <w:noProof/>
          <w:lang w:eastAsia="ko-KR"/>
        </w:rPr>
        <w:t>3</w:t>
      </w:r>
      <w:r>
        <w:rPr>
          <w:b/>
          <w:lang w:eastAsia="ko-KR"/>
        </w:rPr>
        <w:fldChar w:fldCharType="end"/>
      </w:r>
      <w:r w:rsidRPr="00077A03">
        <w:rPr>
          <w:lang w:eastAsia="ko-KR"/>
        </w:rPr>
        <w:t>:</w:t>
      </w:r>
      <w:r>
        <w:rPr>
          <w:lang w:eastAsia="ko-KR"/>
        </w:rPr>
        <w:t xml:space="preserve"> </w:t>
      </w:r>
      <w:r w:rsidR="00BA6673">
        <w:t xml:space="preserve">Mismatch between TSN periodicity and CG/SPS periodicity is not critical to </w:t>
      </w:r>
      <w:r w:rsidR="00611704">
        <w:t xml:space="preserve">be </w:t>
      </w:r>
      <w:r w:rsidR="00BA6673">
        <w:t>resolve</w:t>
      </w:r>
      <w:r w:rsidR="00611704">
        <w:t>d</w:t>
      </w:r>
      <w:r w:rsidR="00BA6673">
        <w:t xml:space="preserve"> unless there are clear requirements identified.</w:t>
      </w:r>
      <w:bookmarkEnd w:id="3"/>
      <w:bookmarkEnd w:id="4"/>
    </w:p>
    <w:p w14:paraId="1EFE3FE5" w14:textId="77777777" w:rsidR="00DC4347" w:rsidRPr="00A10F7A" w:rsidRDefault="00DC4347" w:rsidP="00DC4347">
      <w:pPr>
        <w:pStyle w:val="Heading1"/>
        <w:rPr>
          <w:lang w:val="en-US"/>
        </w:rPr>
      </w:pPr>
      <w:r w:rsidRPr="00A10F7A">
        <w:rPr>
          <w:lang w:val="en-US"/>
        </w:rPr>
        <w:t>Conclusion</w:t>
      </w:r>
    </w:p>
    <w:p w14:paraId="556F4E57" w14:textId="6A7E200D" w:rsidR="00C151F0" w:rsidRDefault="00DC4347" w:rsidP="00DC4347">
      <w:pPr>
        <w:rPr>
          <w:lang w:eastAsia="zh-CN"/>
        </w:rPr>
      </w:pPr>
      <w:r>
        <w:rPr>
          <w:rFonts w:hint="eastAsia"/>
          <w:lang w:eastAsia="zh-CN"/>
        </w:rPr>
        <w:t>I</w:t>
      </w:r>
      <w:r>
        <w:rPr>
          <w:lang w:eastAsia="zh-CN"/>
        </w:rPr>
        <w:t>n this contribution, we</w:t>
      </w:r>
      <w:r w:rsidR="009533A9">
        <w:rPr>
          <w:lang w:eastAsia="zh-CN"/>
        </w:rPr>
        <w:t xml:space="preserve"> analyze the TSN traffic pattern provisioning, short DL SPS periodicities, and mismatch between TSN periodicity and CG/SPS periodicity</w:t>
      </w:r>
      <w:r w:rsidR="00723167">
        <w:rPr>
          <w:lang w:eastAsia="zh-CN"/>
        </w:rPr>
        <w:t>.</w:t>
      </w:r>
      <w:r w:rsidR="009F6EE7">
        <w:rPr>
          <w:lang w:eastAsia="zh-CN"/>
        </w:rPr>
        <w:t xml:space="preserve"> </w:t>
      </w:r>
      <w:r w:rsidR="00C151F0">
        <w:rPr>
          <w:lang w:eastAsia="zh-CN"/>
        </w:rPr>
        <w:t>We have the following observation:</w:t>
      </w:r>
    </w:p>
    <w:p w14:paraId="5C629A47" w14:textId="1013D8CD" w:rsidR="006620CF" w:rsidRDefault="006620CF" w:rsidP="00DC4347">
      <w:pPr>
        <w:rPr>
          <w:lang w:eastAsia="zh-CN"/>
        </w:rPr>
      </w:pPr>
      <w:r>
        <w:rPr>
          <w:lang w:eastAsia="zh-CN"/>
        </w:rPr>
        <w:fldChar w:fldCharType="begin"/>
      </w:r>
      <w:r>
        <w:rPr>
          <w:lang w:eastAsia="zh-CN"/>
        </w:rPr>
        <w:instrText xml:space="preserve"> REF Obs_TSN_Pattern \h </w:instrText>
      </w:r>
      <w:r>
        <w:rPr>
          <w:lang w:eastAsia="zh-CN"/>
        </w:rPr>
      </w:r>
      <w:r>
        <w:rPr>
          <w:lang w:eastAsia="zh-CN"/>
        </w:rPr>
        <w:fldChar w:fldCharType="separate"/>
      </w:r>
      <w:r w:rsidR="00C46DAE">
        <w:rPr>
          <w:b/>
          <w:lang w:eastAsia="ko-KR"/>
        </w:rPr>
        <w:t>Observation</w:t>
      </w:r>
      <w:r w:rsidR="00C46DAE" w:rsidRPr="00077A03">
        <w:rPr>
          <w:b/>
          <w:lang w:eastAsia="ko-KR"/>
        </w:rPr>
        <w:t xml:space="preserve"> </w:t>
      </w:r>
      <w:r w:rsidR="00C46DAE">
        <w:rPr>
          <w:b/>
          <w:noProof/>
          <w:lang w:eastAsia="ko-KR"/>
        </w:rPr>
        <w:t>1</w:t>
      </w:r>
      <w:r w:rsidR="00C46DAE" w:rsidRPr="00077A03">
        <w:rPr>
          <w:lang w:eastAsia="ko-KR"/>
        </w:rPr>
        <w:t>:</w:t>
      </w:r>
      <w:r w:rsidR="00C46DAE">
        <w:rPr>
          <w:lang w:eastAsia="ko-KR"/>
        </w:rPr>
        <w:t xml:space="preserve"> </w:t>
      </w:r>
      <w:r w:rsidR="00C46DAE">
        <w:rPr>
          <w:lang w:eastAsia="zh-CN"/>
        </w:rPr>
        <w:t>Provisioning of TSN traffic pattern from core network to gNB is captured as one SA2 solution.</w:t>
      </w:r>
      <w:r>
        <w:rPr>
          <w:lang w:eastAsia="zh-CN"/>
        </w:rPr>
        <w:fldChar w:fldCharType="end"/>
      </w:r>
    </w:p>
    <w:p w14:paraId="1EFE3FE6" w14:textId="2A1D4DAD" w:rsidR="00DC4347" w:rsidRDefault="00DC4347" w:rsidP="00DC4347">
      <w:pPr>
        <w:rPr>
          <w:lang w:eastAsia="ko-KR"/>
        </w:rPr>
      </w:pPr>
      <w:r w:rsidRPr="00A10F7A">
        <w:rPr>
          <w:lang w:eastAsia="ko-KR"/>
        </w:rPr>
        <w:t>We propose the following:</w:t>
      </w:r>
    </w:p>
    <w:p w14:paraId="389B041D" w14:textId="77777777" w:rsidR="006620CF" w:rsidRDefault="006620CF" w:rsidP="00DC4347">
      <w:pPr>
        <w:rPr>
          <w:lang w:eastAsia="ko-KR"/>
        </w:rPr>
      </w:pPr>
      <w:r>
        <w:rPr>
          <w:lang w:eastAsia="ko-KR"/>
        </w:rPr>
        <w:fldChar w:fldCharType="begin"/>
      </w:r>
      <w:r>
        <w:rPr>
          <w:lang w:eastAsia="ko-KR"/>
        </w:rPr>
        <w:instrText xml:space="preserve"> REF Proposal_TSN_Pattern \h </w:instrText>
      </w:r>
      <w:r>
        <w:rPr>
          <w:lang w:eastAsia="ko-KR"/>
        </w:rPr>
      </w:r>
      <w:r>
        <w:rPr>
          <w:lang w:eastAsia="ko-KR"/>
        </w:rPr>
        <w:fldChar w:fldCharType="separate"/>
      </w:r>
      <w:r w:rsidR="00C46DAE" w:rsidRPr="00077A03">
        <w:rPr>
          <w:b/>
          <w:lang w:eastAsia="ko-KR"/>
        </w:rPr>
        <w:t xml:space="preserve">Proposal </w:t>
      </w:r>
      <w:r w:rsidR="00C46DAE">
        <w:rPr>
          <w:b/>
          <w:noProof/>
          <w:lang w:eastAsia="ko-KR"/>
        </w:rPr>
        <w:t>1</w:t>
      </w:r>
      <w:r w:rsidR="00C46DAE" w:rsidRPr="00077A03">
        <w:rPr>
          <w:lang w:eastAsia="ko-KR"/>
        </w:rPr>
        <w:t>:</w:t>
      </w:r>
      <w:r w:rsidR="00C46DAE">
        <w:rPr>
          <w:lang w:eastAsia="ko-KR"/>
        </w:rPr>
        <w:t xml:space="preserve"> </w:t>
      </w:r>
      <w:r w:rsidR="00C46DAE">
        <w:rPr>
          <w:lang w:eastAsia="zh-CN"/>
        </w:rPr>
        <w:t>RAN2 to discuss whether it is sufficient for core network to provide TSN traffic pattern to gNB considering the progress from SA2</w:t>
      </w:r>
      <w:r w:rsidR="00C46DAE">
        <w:t>.</w:t>
      </w:r>
      <w:r>
        <w:rPr>
          <w:lang w:eastAsia="ko-KR"/>
        </w:rPr>
        <w:fldChar w:fldCharType="end"/>
      </w:r>
    </w:p>
    <w:p w14:paraId="5AB8E1D8" w14:textId="77777777" w:rsidR="006620CF" w:rsidRDefault="006620CF" w:rsidP="00DC4347">
      <w:pPr>
        <w:rPr>
          <w:lang w:eastAsia="ko-KR"/>
        </w:rPr>
      </w:pPr>
      <w:r>
        <w:rPr>
          <w:lang w:eastAsia="ko-KR"/>
        </w:rPr>
        <w:fldChar w:fldCharType="begin"/>
      </w:r>
      <w:r>
        <w:rPr>
          <w:lang w:eastAsia="ko-KR"/>
        </w:rPr>
        <w:instrText xml:space="preserve"> REF Proposal_DL_Periodicity \h </w:instrText>
      </w:r>
      <w:r>
        <w:rPr>
          <w:lang w:eastAsia="ko-KR"/>
        </w:rPr>
      </w:r>
      <w:r>
        <w:rPr>
          <w:lang w:eastAsia="ko-KR"/>
        </w:rPr>
        <w:fldChar w:fldCharType="separate"/>
      </w:r>
      <w:r w:rsidR="00C46DAE" w:rsidRPr="00077A03">
        <w:rPr>
          <w:b/>
          <w:lang w:eastAsia="ko-KR"/>
        </w:rPr>
        <w:t xml:space="preserve">Proposal </w:t>
      </w:r>
      <w:r w:rsidR="00C46DAE">
        <w:rPr>
          <w:b/>
          <w:noProof/>
          <w:lang w:eastAsia="ko-KR"/>
        </w:rPr>
        <w:t>2</w:t>
      </w:r>
      <w:r w:rsidR="00C46DAE" w:rsidRPr="00077A03">
        <w:rPr>
          <w:lang w:eastAsia="ko-KR"/>
        </w:rPr>
        <w:t>:</w:t>
      </w:r>
      <w:r w:rsidR="00C46DAE">
        <w:rPr>
          <w:lang w:eastAsia="ko-KR"/>
        </w:rPr>
        <w:t xml:space="preserve"> </w:t>
      </w:r>
      <w:r w:rsidR="00C46DAE">
        <w:rPr>
          <w:lang w:eastAsia="zh-CN"/>
        </w:rPr>
        <w:t>RAN2 to send LS to RAN1 to ask the feasibility of supporting DL SPS periodicities shorter than 1 slot</w:t>
      </w:r>
      <w:r w:rsidR="00C46DAE">
        <w:t>.</w:t>
      </w:r>
      <w:r>
        <w:rPr>
          <w:lang w:eastAsia="ko-KR"/>
        </w:rPr>
        <w:fldChar w:fldCharType="end"/>
      </w:r>
    </w:p>
    <w:p w14:paraId="6470E1D9" w14:textId="693FC8D9" w:rsidR="006620CF" w:rsidRDefault="006620CF" w:rsidP="00DC4347">
      <w:pPr>
        <w:rPr>
          <w:lang w:eastAsia="ko-KR"/>
        </w:rPr>
      </w:pPr>
      <w:r>
        <w:rPr>
          <w:lang w:eastAsia="ko-KR"/>
        </w:rPr>
        <w:fldChar w:fldCharType="begin"/>
      </w:r>
      <w:r>
        <w:rPr>
          <w:lang w:eastAsia="ko-KR"/>
        </w:rPr>
        <w:instrText xml:space="preserve"> REF Proposal_Mismatch \h </w:instrText>
      </w:r>
      <w:r>
        <w:rPr>
          <w:lang w:eastAsia="ko-KR"/>
        </w:rPr>
      </w:r>
      <w:r>
        <w:rPr>
          <w:lang w:eastAsia="ko-KR"/>
        </w:rPr>
        <w:fldChar w:fldCharType="separate"/>
      </w:r>
      <w:r w:rsidR="00C46DAE" w:rsidRPr="00077A03">
        <w:rPr>
          <w:b/>
          <w:lang w:eastAsia="ko-KR"/>
        </w:rPr>
        <w:t xml:space="preserve">Proposal </w:t>
      </w:r>
      <w:r w:rsidR="00C46DAE">
        <w:rPr>
          <w:b/>
          <w:noProof/>
          <w:lang w:eastAsia="ko-KR"/>
        </w:rPr>
        <w:t>3</w:t>
      </w:r>
      <w:r w:rsidR="00C46DAE" w:rsidRPr="00077A03">
        <w:rPr>
          <w:lang w:eastAsia="ko-KR"/>
        </w:rPr>
        <w:t>:</w:t>
      </w:r>
      <w:r w:rsidR="00C46DAE">
        <w:rPr>
          <w:lang w:eastAsia="ko-KR"/>
        </w:rPr>
        <w:t xml:space="preserve"> </w:t>
      </w:r>
      <w:r w:rsidR="00C46DAE">
        <w:t>Mismatch between TSN periodicity and CG/SPS periodicity is not critical to be resolved unless there are clear requirements identified.</w:t>
      </w:r>
      <w:r>
        <w:rPr>
          <w:lang w:eastAsia="ko-KR"/>
        </w:rPr>
        <w:fldChar w:fldCharType="end"/>
      </w:r>
    </w:p>
    <w:p w14:paraId="1EFE3FE9" w14:textId="77777777" w:rsidR="00DC4347" w:rsidRPr="00A10F7A" w:rsidRDefault="00DC4347" w:rsidP="00DC4347">
      <w:pPr>
        <w:pStyle w:val="Heading1"/>
        <w:numPr>
          <w:ilvl w:val="0"/>
          <w:numId w:val="0"/>
        </w:numPr>
        <w:ind w:left="420" w:hanging="420"/>
        <w:rPr>
          <w:lang w:val="en-US"/>
        </w:rPr>
      </w:pPr>
      <w:r w:rsidRPr="00A10F7A">
        <w:rPr>
          <w:lang w:val="en-US"/>
        </w:rPr>
        <w:t>References</w:t>
      </w:r>
    </w:p>
    <w:p w14:paraId="1EFE3FEC" w14:textId="473430C9" w:rsidR="00AB5EDE" w:rsidRPr="00407EDE" w:rsidRDefault="00AB5EDE" w:rsidP="00AB5EDE">
      <w:pPr>
        <w:rPr>
          <w:lang w:eastAsia="zh-CN"/>
        </w:rPr>
      </w:pPr>
      <w:bookmarkStart w:id="5" w:name="Ref_23734"/>
      <w:r w:rsidRPr="00407EDE">
        <w:rPr>
          <w:rFonts w:hint="eastAsia"/>
          <w:lang w:eastAsia="zh-CN"/>
        </w:rPr>
        <w:t>[</w:t>
      </w:r>
      <w:r w:rsidRPr="00407EDE">
        <w:rPr>
          <w:noProof/>
        </w:rPr>
        <w:fldChar w:fldCharType="begin"/>
      </w:r>
      <w:r w:rsidRPr="00407EDE">
        <w:rPr>
          <w:noProof/>
        </w:rPr>
        <w:instrText xml:space="preserve"> SEQ Ref \* MERGEFORMAT </w:instrText>
      </w:r>
      <w:r w:rsidRPr="00407EDE">
        <w:rPr>
          <w:noProof/>
        </w:rPr>
        <w:fldChar w:fldCharType="separate"/>
      </w:r>
      <w:r w:rsidR="00C46DAE">
        <w:rPr>
          <w:noProof/>
        </w:rPr>
        <w:t>1</w:t>
      </w:r>
      <w:r w:rsidRPr="00407EDE">
        <w:rPr>
          <w:noProof/>
        </w:rPr>
        <w:fldChar w:fldCharType="end"/>
      </w:r>
      <w:r w:rsidRPr="00407EDE">
        <w:rPr>
          <w:rFonts w:hint="eastAsia"/>
          <w:lang w:eastAsia="zh-CN"/>
        </w:rPr>
        <w:t>]</w:t>
      </w:r>
      <w:bookmarkEnd w:id="5"/>
      <w:r w:rsidRPr="00407EDE">
        <w:rPr>
          <w:lang w:eastAsia="zh-CN"/>
        </w:rPr>
        <w:tab/>
      </w:r>
      <w:r w:rsidR="005375BB" w:rsidRPr="00407EDE">
        <w:rPr>
          <w:lang w:eastAsia="zh-CN"/>
        </w:rPr>
        <w:t>3GPP TS 23.734, "Study on 5GS Enhanced support of Vertical and LAN Services"</w:t>
      </w:r>
    </w:p>
    <w:p w14:paraId="2B8D2E3B" w14:textId="1C764C68" w:rsidR="00D34055" w:rsidRPr="00AF7305" w:rsidRDefault="00D34055" w:rsidP="00D34055">
      <w:pPr>
        <w:rPr>
          <w:lang w:eastAsia="zh-CN"/>
        </w:rPr>
      </w:pPr>
      <w:bookmarkStart w:id="6" w:name="Ref_TS22104"/>
      <w:r w:rsidRPr="00AF7305">
        <w:rPr>
          <w:rFonts w:hint="eastAsia"/>
          <w:lang w:eastAsia="zh-CN"/>
        </w:rPr>
        <w:t>[</w:t>
      </w:r>
      <w:r w:rsidRPr="00AF7305">
        <w:rPr>
          <w:noProof/>
        </w:rPr>
        <w:fldChar w:fldCharType="begin"/>
      </w:r>
      <w:r w:rsidRPr="00AF7305">
        <w:rPr>
          <w:noProof/>
        </w:rPr>
        <w:instrText xml:space="preserve"> SEQ Ref \* MERGEFORMAT </w:instrText>
      </w:r>
      <w:r w:rsidRPr="00AF7305">
        <w:rPr>
          <w:noProof/>
        </w:rPr>
        <w:fldChar w:fldCharType="separate"/>
      </w:r>
      <w:r w:rsidR="00C46DAE">
        <w:rPr>
          <w:noProof/>
        </w:rPr>
        <w:t>2</w:t>
      </w:r>
      <w:r w:rsidRPr="00AF7305">
        <w:rPr>
          <w:noProof/>
        </w:rPr>
        <w:fldChar w:fldCharType="end"/>
      </w:r>
      <w:r w:rsidRPr="00AF7305">
        <w:rPr>
          <w:rFonts w:hint="eastAsia"/>
          <w:lang w:eastAsia="zh-CN"/>
        </w:rPr>
        <w:t>]</w:t>
      </w:r>
      <w:bookmarkEnd w:id="6"/>
      <w:r w:rsidRPr="00AF7305">
        <w:rPr>
          <w:lang w:eastAsia="zh-CN"/>
        </w:rPr>
        <w:t xml:space="preserve"> </w:t>
      </w:r>
      <w:r w:rsidR="008F2CF3">
        <w:rPr>
          <w:lang w:eastAsia="zh-CN"/>
        </w:rPr>
        <w:t>3GPP TS 22.104</w:t>
      </w:r>
      <w:r w:rsidR="007D192E">
        <w:rPr>
          <w:lang w:eastAsia="zh-CN"/>
        </w:rPr>
        <w:t>:</w:t>
      </w:r>
      <w:r w:rsidRPr="00AF7305">
        <w:rPr>
          <w:lang w:eastAsia="zh-CN"/>
        </w:rPr>
        <w:t xml:space="preserve"> "</w:t>
      </w:r>
      <w:r w:rsidR="007D192E" w:rsidRPr="007D192E">
        <w:rPr>
          <w:lang w:eastAsia="zh-CN"/>
        </w:rPr>
        <w:t>Service requirements for cyber-physical control a</w:t>
      </w:r>
      <w:r w:rsidR="00A5039A">
        <w:rPr>
          <w:lang w:eastAsia="zh-CN"/>
        </w:rPr>
        <w:t>pplications in vertical domains</w:t>
      </w:r>
      <w:r w:rsidRPr="00AF7305">
        <w:rPr>
          <w:lang w:eastAsia="zh-CN"/>
        </w:rPr>
        <w:t>"</w:t>
      </w:r>
    </w:p>
    <w:p w14:paraId="43861CF7" w14:textId="2FD5EE0D" w:rsidR="00527D38" w:rsidRDefault="00527D38" w:rsidP="00527D38">
      <w:pPr>
        <w:rPr>
          <w:lang w:eastAsia="zh-CN"/>
        </w:rPr>
      </w:pPr>
      <w:bookmarkStart w:id="7" w:name="Ref_SA2_CR"/>
      <w:r w:rsidRPr="00AF7305">
        <w:rPr>
          <w:rFonts w:hint="eastAsia"/>
          <w:lang w:eastAsia="zh-CN"/>
        </w:rPr>
        <w:t>[</w:t>
      </w:r>
      <w:r w:rsidRPr="00AF7305">
        <w:rPr>
          <w:noProof/>
        </w:rPr>
        <w:fldChar w:fldCharType="begin"/>
      </w:r>
      <w:r w:rsidRPr="00AF7305">
        <w:rPr>
          <w:noProof/>
        </w:rPr>
        <w:instrText xml:space="preserve"> SEQ Ref \* MERGEFORMAT </w:instrText>
      </w:r>
      <w:r w:rsidRPr="00AF7305">
        <w:rPr>
          <w:noProof/>
        </w:rPr>
        <w:fldChar w:fldCharType="separate"/>
      </w:r>
      <w:r w:rsidR="00C46DAE">
        <w:rPr>
          <w:noProof/>
        </w:rPr>
        <w:t>3</w:t>
      </w:r>
      <w:r w:rsidRPr="00AF7305">
        <w:rPr>
          <w:noProof/>
        </w:rPr>
        <w:fldChar w:fldCharType="end"/>
      </w:r>
      <w:r w:rsidRPr="00AF7305">
        <w:rPr>
          <w:rFonts w:hint="eastAsia"/>
          <w:lang w:eastAsia="zh-CN"/>
        </w:rPr>
        <w:t>]</w:t>
      </w:r>
      <w:bookmarkEnd w:id="7"/>
      <w:r w:rsidRPr="00AF7305">
        <w:rPr>
          <w:lang w:eastAsia="zh-CN"/>
        </w:rPr>
        <w:t xml:space="preserve"> S2-1901234, Ericsson</w:t>
      </w:r>
      <w:r w:rsidR="00B663AA" w:rsidRPr="00AF7305">
        <w:rPr>
          <w:lang w:eastAsia="zh-CN"/>
        </w:rPr>
        <w:t>,</w:t>
      </w:r>
      <w:r w:rsidRPr="00AF7305">
        <w:rPr>
          <w:lang w:eastAsia="zh-CN"/>
        </w:rPr>
        <w:t xml:space="preserve"> "</w:t>
      </w:r>
      <w:r w:rsidR="00002EE2" w:rsidRPr="00002EE2">
        <w:rPr>
          <w:lang w:eastAsia="zh-CN"/>
        </w:rPr>
        <w:t>23.734 CR0004: Additional TSN traffic pattern for RAN optimization</w:t>
      </w:r>
      <w:r w:rsidRPr="00AF7305">
        <w:rPr>
          <w:lang w:eastAsia="zh-CN"/>
        </w:rPr>
        <w:t>"</w:t>
      </w:r>
    </w:p>
    <w:p w14:paraId="25E9CBF8" w14:textId="2B186FC5" w:rsidR="004A652A" w:rsidRDefault="004A652A" w:rsidP="004A652A">
      <w:pPr>
        <w:rPr>
          <w:lang w:eastAsia="zh-CN"/>
        </w:rPr>
      </w:pPr>
      <w:bookmarkStart w:id="8" w:name="Ref_Email_TSN_Traffic"/>
      <w:r w:rsidRPr="00AF7305">
        <w:rPr>
          <w:rFonts w:hint="eastAsia"/>
          <w:lang w:eastAsia="zh-CN"/>
        </w:rPr>
        <w:t>[</w:t>
      </w:r>
      <w:r w:rsidRPr="00AF7305">
        <w:rPr>
          <w:noProof/>
        </w:rPr>
        <w:fldChar w:fldCharType="begin"/>
      </w:r>
      <w:r w:rsidRPr="00AF7305">
        <w:rPr>
          <w:noProof/>
        </w:rPr>
        <w:instrText xml:space="preserve"> SEQ Ref \* MERGEFORMAT </w:instrText>
      </w:r>
      <w:r w:rsidRPr="00AF7305">
        <w:rPr>
          <w:noProof/>
        </w:rPr>
        <w:fldChar w:fldCharType="separate"/>
      </w:r>
      <w:r w:rsidR="00C46DAE">
        <w:rPr>
          <w:noProof/>
        </w:rPr>
        <w:t>4</w:t>
      </w:r>
      <w:r w:rsidRPr="00AF7305">
        <w:rPr>
          <w:noProof/>
        </w:rPr>
        <w:fldChar w:fldCharType="end"/>
      </w:r>
      <w:r w:rsidRPr="00AF7305">
        <w:rPr>
          <w:rFonts w:hint="eastAsia"/>
          <w:lang w:eastAsia="zh-CN"/>
        </w:rPr>
        <w:t>]</w:t>
      </w:r>
      <w:bookmarkEnd w:id="8"/>
      <w:r w:rsidRPr="00AF7305">
        <w:rPr>
          <w:lang w:eastAsia="zh-CN"/>
        </w:rPr>
        <w:t xml:space="preserve"> </w:t>
      </w:r>
      <w:r w:rsidR="006B30AE">
        <w:rPr>
          <w:lang w:eastAsia="zh-CN"/>
        </w:rPr>
        <w:t>R</w:t>
      </w:r>
      <w:r w:rsidRPr="00AF7305">
        <w:rPr>
          <w:lang w:eastAsia="zh-CN"/>
        </w:rPr>
        <w:t>2-190</w:t>
      </w:r>
      <w:r w:rsidR="004A6736">
        <w:rPr>
          <w:lang w:eastAsia="zh-CN"/>
        </w:rPr>
        <w:t>0635</w:t>
      </w:r>
      <w:r w:rsidRPr="00AF7305">
        <w:rPr>
          <w:lang w:eastAsia="zh-CN"/>
        </w:rPr>
        <w:t xml:space="preserve">, </w:t>
      </w:r>
      <w:r w:rsidR="00066FD0">
        <w:rPr>
          <w:lang w:eastAsia="zh-CN"/>
        </w:rPr>
        <w:t xml:space="preserve">Nokia </w:t>
      </w:r>
      <w:r w:rsidR="00066FD0">
        <w:rPr>
          <w:i/>
          <w:lang w:eastAsia="zh-CN"/>
        </w:rPr>
        <w:t>et al</w:t>
      </w:r>
      <w:r w:rsidRPr="00AF7305">
        <w:rPr>
          <w:lang w:eastAsia="zh-CN"/>
        </w:rPr>
        <w:t>, "</w:t>
      </w:r>
      <w:r w:rsidR="00914C6D" w:rsidRPr="00914C6D">
        <w:rPr>
          <w:lang w:eastAsia="zh-CN"/>
        </w:rPr>
        <w:t>Summary of e-mail discussion on TSN traffic patterns (with TP)</w:t>
      </w:r>
      <w:r w:rsidRPr="00AF7305">
        <w:rPr>
          <w:lang w:eastAsia="zh-CN"/>
        </w:rPr>
        <w:t>"</w:t>
      </w:r>
    </w:p>
    <w:p w14:paraId="1EFE3FF3" w14:textId="77777777" w:rsidR="00826ECB" w:rsidRPr="00D350E0" w:rsidRDefault="00826ECB">
      <w:pPr>
        <w:rPr>
          <w:rFonts w:hint="eastAsia"/>
          <w:lang w:eastAsia="zh-CN"/>
        </w:rPr>
      </w:pPr>
      <w:bookmarkStart w:id="9" w:name="_GoBack"/>
      <w:bookmarkEnd w:id="9"/>
    </w:p>
    <w:sectPr w:rsidR="00826ECB"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18C3E" w14:textId="77777777" w:rsidR="00A35CB2" w:rsidRDefault="00A35CB2">
      <w:r>
        <w:separator/>
      </w:r>
    </w:p>
  </w:endnote>
  <w:endnote w:type="continuationSeparator" w:id="0">
    <w:p w14:paraId="03DD3573" w14:textId="77777777" w:rsidR="00A35CB2" w:rsidRDefault="00A35CB2">
      <w:r>
        <w:continuationSeparator/>
      </w:r>
    </w:p>
  </w:endnote>
  <w:endnote w:type="continuationNotice" w:id="1">
    <w:p w14:paraId="4CF6190F" w14:textId="77777777" w:rsidR="00A35CB2" w:rsidRDefault="00A35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E3FFC" w14:textId="77777777" w:rsidR="00432719" w:rsidRDefault="0043271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3F55">
      <w:rPr>
        <w:rFonts w:ascii="Arial" w:hAnsi="Arial" w:cs="Arial"/>
        <w:b/>
        <w:noProof/>
        <w:sz w:val="18"/>
        <w:szCs w:val="18"/>
      </w:rPr>
      <w:t>3</w:t>
    </w:r>
    <w:r>
      <w:rPr>
        <w:rFonts w:ascii="Arial" w:hAnsi="Arial" w:cs="Arial"/>
        <w:b/>
        <w:sz w:val="18"/>
        <w:szCs w:val="18"/>
      </w:rPr>
      <w:fldChar w:fldCharType="end"/>
    </w:r>
  </w:p>
  <w:p w14:paraId="1EFE3FFD" w14:textId="77777777" w:rsidR="00432719" w:rsidRDefault="004327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29591" w14:textId="77777777" w:rsidR="00A35CB2" w:rsidRDefault="00A35CB2">
      <w:r>
        <w:separator/>
      </w:r>
    </w:p>
  </w:footnote>
  <w:footnote w:type="continuationSeparator" w:id="0">
    <w:p w14:paraId="4AC14D3B" w14:textId="77777777" w:rsidR="00A35CB2" w:rsidRDefault="00A35CB2">
      <w:r>
        <w:continuationSeparator/>
      </w:r>
    </w:p>
  </w:footnote>
  <w:footnote w:type="continuationNotice" w:id="1">
    <w:p w14:paraId="067DDE5A" w14:textId="77777777" w:rsidR="00A35CB2" w:rsidRDefault="00A35CB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6"/>
  </w:num>
  <w:num w:numId="3">
    <w:abstractNumId w:val="27"/>
  </w:num>
  <w:num w:numId="4">
    <w:abstractNumId w:val="25"/>
  </w:num>
  <w:num w:numId="5">
    <w:abstractNumId w:val="1"/>
  </w:num>
  <w:num w:numId="6">
    <w:abstractNumId w:val="2"/>
  </w:num>
  <w:num w:numId="7">
    <w:abstractNumId w:val="19"/>
  </w:num>
  <w:num w:numId="8">
    <w:abstractNumId w:val="22"/>
  </w:num>
  <w:num w:numId="9">
    <w:abstractNumId w:val="17"/>
  </w:num>
  <w:num w:numId="10">
    <w:abstractNumId w:val="12"/>
  </w:num>
  <w:num w:numId="11">
    <w:abstractNumId w:val="16"/>
  </w:num>
  <w:num w:numId="12">
    <w:abstractNumId w:val="8"/>
  </w:num>
  <w:num w:numId="13">
    <w:abstractNumId w:val="34"/>
  </w:num>
  <w:num w:numId="14">
    <w:abstractNumId w:val="10"/>
  </w:num>
  <w:num w:numId="15">
    <w:abstractNumId w:val="16"/>
  </w:num>
  <w:num w:numId="16">
    <w:abstractNumId w:val="16"/>
  </w:num>
  <w:num w:numId="17">
    <w:abstractNumId w:val="15"/>
  </w:num>
  <w:num w:numId="18">
    <w:abstractNumId w:val="13"/>
  </w:num>
  <w:num w:numId="19">
    <w:abstractNumId w:val="31"/>
  </w:num>
  <w:num w:numId="20">
    <w:abstractNumId w:val="7"/>
  </w:num>
  <w:num w:numId="21">
    <w:abstractNumId w:val="30"/>
  </w:num>
  <w:num w:numId="22">
    <w:abstractNumId w:val="20"/>
  </w:num>
  <w:num w:numId="23">
    <w:abstractNumId w:val="6"/>
  </w:num>
  <w:num w:numId="24">
    <w:abstractNumId w:val="5"/>
  </w:num>
  <w:num w:numId="25">
    <w:abstractNumId w:val="11"/>
  </w:num>
  <w:num w:numId="26">
    <w:abstractNumId w:val="35"/>
  </w:num>
  <w:num w:numId="27">
    <w:abstractNumId w:val="36"/>
  </w:num>
  <w:num w:numId="28">
    <w:abstractNumId w:val="9"/>
  </w:num>
  <w:num w:numId="29">
    <w:abstractNumId w:val="21"/>
  </w:num>
  <w:num w:numId="30">
    <w:abstractNumId w:val="1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24"/>
  </w:num>
  <w:num w:numId="35">
    <w:abstractNumId w:val="29"/>
  </w:num>
  <w:num w:numId="36">
    <w:abstractNumId w:val="3"/>
  </w:num>
  <w:num w:numId="37">
    <w:abstractNumId w:val="28"/>
  </w:num>
  <w:num w:numId="38">
    <w:abstractNumId w:val="16"/>
  </w:num>
  <w:num w:numId="39">
    <w:abstractNumId w:val="23"/>
  </w:num>
  <w:num w:numId="40">
    <w:abstractNumId w:val="14"/>
  </w:num>
  <w:num w:numId="41">
    <w:abstractNumId w:val="4"/>
  </w:num>
  <w:num w:numId="42">
    <w:abstractNumId w:val="16"/>
  </w:num>
  <w:num w:numId="43">
    <w:abstractNumId w:val="16"/>
  </w:num>
  <w:num w:numId="44">
    <w:abstractNumId w:val="32"/>
  </w:num>
  <w:num w:numId="4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2EE2"/>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8"/>
    <w:rsid w:val="00014FBF"/>
    <w:rsid w:val="0001513C"/>
    <w:rsid w:val="0001524A"/>
    <w:rsid w:val="0001544E"/>
    <w:rsid w:val="000154A0"/>
    <w:rsid w:val="000154BB"/>
    <w:rsid w:val="000156A9"/>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28F"/>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79F"/>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6FD0"/>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E"/>
    <w:rsid w:val="00084FCF"/>
    <w:rsid w:val="00085063"/>
    <w:rsid w:val="00085065"/>
    <w:rsid w:val="00085212"/>
    <w:rsid w:val="0008521B"/>
    <w:rsid w:val="000853F0"/>
    <w:rsid w:val="0008557E"/>
    <w:rsid w:val="00085675"/>
    <w:rsid w:val="000857FA"/>
    <w:rsid w:val="00085A4B"/>
    <w:rsid w:val="00085CA3"/>
    <w:rsid w:val="00086311"/>
    <w:rsid w:val="000864FB"/>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0DC2"/>
    <w:rsid w:val="000A1237"/>
    <w:rsid w:val="000A128A"/>
    <w:rsid w:val="000A1A81"/>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4FA4"/>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1E41"/>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399"/>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BB0"/>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3FF7"/>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406"/>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31F"/>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3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42"/>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01"/>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87C"/>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5A7"/>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DE7"/>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7CD"/>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05"/>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1C7"/>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BF9"/>
    <w:rsid w:val="002A5DEE"/>
    <w:rsid w:val="002A5FDD"/>
    <w:rsid w:val="002A6243"/>
    <w:rsid w:val="002A6273"/>
    <w:rsid w:val="002A62B7"/>
    <w:rsid w:val="002A6328"/>
    <w:rsid w:val="002A6363"/>
    <w:rsid w:val="002A67F3"/>
    <w:rsid w:val="002A6809"/>
    <w:rsid w:val="002A68A6"/>
    <w:rsid w:val="002A733C"/>
    <w:rsid w:val="002A7466"/>
    <w:rsid w:val="002A75AC"/>
    <w:rsid w:val="002A7AD7"/>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69"/>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A82"/>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48C"/>
    <w:rsid w:val="0030772A"/>
    <w:rsid w:val="0030785D"/>
    <w:rsid w:val="00307B1B"/>
    <w:rsid w:val="00307FFA"/>
    <w:rsid w:val="00310060"/>
    <w:rsid w:val="003102F5"/>
    <w:rsid w:val="003106C6"/>
    <w:rsid w:val="00310C9B"/>
    <w:rsid w:val="00310CD6"/>
    <w:rsid w:val="00310E1C"/>
    <w:rsid w:val="00310F04"/>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2ED"/>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5C5"/>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59E"/>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AE5"/>
    <w:rsid w:val="00352B98"/>
    <w:rsid w:val="00352D21"/>
    <w:rsid w:val="0035301B"/>
    <w:rsid w:val="0035328A"/>
    <w:rsid w:val="00353460"/>
    <w:rsid w:val="00353542"/>
    <w:rsid w:val="003536E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8B"/>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18C"/>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7"/>
    <w:rsid w:val="00382D7A"/>
    <w:rsid w:val="00382D7E"/>
    <w:rsid w:val="00382DC5"/>
    <w:rsid w:val="00382F03"/>
    <w:rsid w:val="00382F7C"/>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19C"/>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B5E"/>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021"/>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8C9"/>
    <w:rsid w:val="003B4C74"/>
    <w:rsid w:val="003B4E14"/>
    <w:rsid w:val="003B50C7"/>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2A8"/>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0B26"/>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970"/>
    <w:rsid w:val="00405EDF"/>
    <w:rsid w:val="0040651D"/>
    <w:rsid w:val="00406534"/>
    <w:rsid w:val="004068B7"/>
    <w:rsid w:val="00406A3F"/>
    <w:rsid w:val="00406B49"/>
    <w:rsid w:val="00406B96"/>
    <w:rsid w:val="00406CE9"/>
    <w:rsid w:val="0040746A"/>
    <w:rsid w:val="00407942"/>
    <w:rsid w:val="00407AD9"/>
    <w:rsid w:val="00407EDE"/>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24"/>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71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4C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4DA"/>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BBE"/>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55"/>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8A0"/>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12"/>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52A"/>
    <w:rsid w:val="004A6736"/>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3C1"/>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A8C"/>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C92"/>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620"/>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461"/>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1D0"/>
    <w:rsid w:val="005205E4"/>
    <w:rsid w:val="00520624"/>
    <w:rsid w:val="00520804"/>
    <w:rsid w:val="0052083B"/>
    <w:rsid w:val="0052085A"/>
    <w:rsid w:val="00520877"/>
    <w:rsid w:val="00520A8B"/>
    <w:rsid w:val="005210CD"/>
    <w:rsid w:val="0052110E"/>
    <w:rsid w:val="00521261"/>
    <w:rsid w:val="005212D9"/>
    <w:rsid w:val="005213EA"/>
    <w:rsid w:val="00521460"/>
    <w:rsid w:val="0052183C"/>
    <w:rsid w:val="00521B35"/>
    <w:rsid w:val="00521D0C"/>
    <w:rsid w:val="00521FAD"/>
    <w:rsid w:val="00521FB3"/>
    <w:rsid w:val="005223DB"/>
    <w:rsid w:val="005226E6"/>
    <w:rsid w:val="005228AE"/>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D3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5BB"/>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4BFA"/>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2B3"/>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53A"/>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29"/>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41"/>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06"/>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037"/>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C83"/>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4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5AA"/>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04"/>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3FC2"/>
    <w:rsid w:val="006342D2"/>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8A"/>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884"/>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0CF"/>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67B73"/>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BE0"/>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75"/>
    <w:rsid w:val="00690795"/>
    <w:rsid w:val="00690876"/>
    <w:rsid w:val="00690A2F"/>
    <w:rsid w:val="00691282"/>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780"/>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DB6"/>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78B"/>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971"/>
    <w:rsid w:val="006A4A2D"/>
    <w:rsid w:val="006A4B4D"/>
    <w:rsid w:val="006A4D0C"/>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0AE"/>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27"/>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620"/>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A92"/>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AF5"/>
    <w:rsid w:val="006E0BB9"/>
    <w:rsid w:val="006E0CAE"/>
    <w:rsid w:val="006E0E06"/>
    <w:rsid w:val="006E0E49"/>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E7AD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34"/>
    <w:rsid w:val="006F32EA"/>
    <w:rsid w:val="006F33B6"/>
    <w:rsid w:val="006F35CF"/>
    <w:rsid w:val="006F36D4"/>
    <w:rsid w:val="006F37F5"/>
    <w:rsid w:val="006F39BB"/>
    <w:rsid w:val="006F3BB2"/>
    <w:rsid w:val="006F3C79"/>
    <w:rsid w:val="006F3C9D"/>
    <w:rsid w:val="006F4101"/>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67"/>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7EA"/>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B05"/>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38"/>
    <w:rsid w:val="007606E9"/>
    <w:rsid w:val="007608EE"/>
    <w:rsid w:val="00760B2E"/>
    <w:rsid w:val="00760C68"/>
    <w:rsid w:val="00760E9D"/>
    <w:rsid w:val="00761517"/>
    <w:rsid w:val="00761B73"/>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6A7"/>
    <w:rsid w:val="0076577F"/>
    <w:rsid w:val="00765D4B"/>
    <w:rsid w:val="00765F82"/>
    <w:rsid w:val="00766302"/>
    <w:rsid w:val="007663D4"/>
    <w:rsid w:val="0076669A"/>
    <w:rsid w:val="0076699D"/>
    <w:rsid w:val="00766F4B"/>
    <w:rsid w:val="00766F59"/>
    <w:rsid w:val="00766FAD"/>
    <w:rsid w:val="00767706"/>
    <w:rsid w:val="00767820"/>
    <w:rsid w:val="00767B73"/>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68"/>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87F"/>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98E"/>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AB1"/>
    <w:rsid w:val="007A5B99"/>
    <w:rsid w:val="007A5C25"/>
    <w:rsid w:val="007A5C66"/>
    <w:rsid w:val="007A5C92"/>
    <w:rsid w:val="007A63BF"/>
    <w:rsid w:val="007A650B"/>
    <w:rsid w:val="007A6848"/>
    <w:rsid w:val="007A6A77"/>
    <w:rsid w:val="007A6C6D"/>
    <w:rsid w:val="007A6CF1"/>
    <w:rsid w:val="007A6EC7"/>
    <w:rsid w:val="007A71CD"/>
    <w:rsid w:val="007A7A1F"/>
    <w:rsid w:val="007A7AE8"/>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96"/>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92E"/>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53C"/>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0CEF"/>
    <w:rsid w:val="008210A2"/>
    <w:rsid w:val="00821563"/>
    <w:rsid w:val="00821698"/>
    <w:rsid w:val="00821814"/>
    <w:rsid w:val="008218B6"/>
    <w:rsid w:val="00821979"/>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CB"/>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0DB3"/>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65E"/>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41C"/>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56"/>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931"/>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10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6DC1"/>
    <w:rsid w:val="008873C8"/>
    <w:rsid w:val="00887515"/>
    <w:rsid w:val="0088758A"/>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7A4"/>
    <w:rsid w:val="008A6858"/>
    <w:rsid w:val="008A6AD6"/>
    <w:rsid w:val="008A6C52"/>
    <w:rsid w:val="008A6F24"/>
    <w:rsid w:val="008A6F62"/>
    <w:rsid w:val="008A7591"/>
    <w:rsid w:val="008A7730"/>
    <w:rsid w:val="008A796D"/>
    <w:rsid w:val="008A798D"/>
    <w:rsid w:val="008A79B8"/>
    <w:rsid w:val="008A7DC7"/>
    <w:rsid w:val="008A7E94"/>
    <w:rsid w:val="008A7EB5"/>
    <w:rsid w:val="008A7EDE"/>
    <w:rsid w:val="008B096A"/>
    <w:rsid w:val="008B0AA2"/>
    <w:rsid w:val="008B0D96"/>
    <w:rsid w:val="008B0DF9"/>
    <w:rsid w:val="008B0FAE"/>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9D8"/>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6D"/>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835"/>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E7F23"/>
    <w:rsid w:val="008F00F6"/>
    <w:rsid w:val="008F044A"/>
    <w:rsid w:val="008F0487"/>
    <w:rsid w:val="008F05A1"/>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2CF3"/>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D0"/>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C6D"/>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45"/>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3A9"/>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1F6D"/>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6D9"/>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715"/>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71"/>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49E"/>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38D"/>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670"/>
    <w:rsid w:val="009A4C73"/>
    <w:rsid w:val="009A4F37"/>
    <w:rsid w:val="009A50E5"/>
    <w:rsid w:val="009A5172"/>
    <w:rsid w:val="009A5357"/>
    <w:rsid w:val="009A5374"/>
    <w:rsid w:val="009A53E4"/>
    <w:rsid w:val="009A5664"/>
    <w:rsid w:val="009A5805"/>
    <w:rsid w:val="009A586C"/>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6C8"/>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C7FF0"/>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CB"/>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6EE7"/>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8E"/>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804"/>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E74"/>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CB2"/>
    <w:rsid w:val="00A35FF3"/>
    <w:rsid w:val="00A363C8"/>
    <w:rsid w:val="00A36475"/>
    <w:rsid w:val="00A3672C"/>
    <w:rsid w:val="00A36AA0"/>
    <w:rsid w:val="00A36E3D"/>
    <w:rsid w:val="00A3706A"/>
    <w:rsid w:val="00A3748C"/>
    <w:rsid w:val="00A37519"/>
    <w:rsid w:val="00A377D4"/>
    <w:rsid w:val="00A3782C"/>
    <w:rsid w:val="00A37AFB"/>
    <w:rsid w:val="00A37F89"/>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A0"/>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39A"/>
    <w:rsid w:val="00A50824"/>
    <w:rsid w:val="00A508A7"/>
    <w:rsid w:val="00A5099C"/>
    <w:rsid w:val="00A50BC7"/>
    <w:rsid w:val="00A50C58"/>
    <w:rsid w:val="00A50FCB"/>
    <w:rsid w:val="00A51011"/>
    <w:rsid w:val="00A5102B"/>
    <w:rsid w:val="00A5124C"/>
    <w:rsid w:val="00A514C2"/>
    <w:rsid w:val="00A5183E"/>
    <w:rsid w:val="00A51B04"/>
    <w:rsid w:val="00A51BAA"/>
    <w:rsid w:val="00A523C6"/>
    <w:rsid w:val="00A52E30"/>
    <w:rsid w:val="00A52E9C"/>
    <w:rsid w:val="00A532C6"/>
    <w:rsid w:val="00A5351C"/>
    <w:rsid w:val="00A53AE4"/>
    <w:rsid w:val="00A53D5A"/>
    <w:rsid w:val="00A53D69"/>
    <w:rsid w:val="00A53EAB"/>
    <w:rsid w:val="00A5405C"/>
    <w:rsid w:val="00A540FD"/>
    <w:rsid w:val="00A5419C"/>
    <w:rsid w:val="00A543A7"/>
    <w:rsid w:val="00A544A7"/>
    <w:rsid w:val="00A545FE"/>
    <w:rsid w:val="00A54799"/>
    <w:rsid w:val="00A5495A"/>
    <w:rsid w:val="00A54C5B"/>
    <w:rsid w:val="00A54FE1"/>
    <w:rsid w:val="00A550D4"/>
    <w:rsid w:val="00A555AE"/>
    <w:rsid w:val="00A55771"/>
    <w:rsid w:val="00A557AA"/>
    <w:rsid w:val="00A559F7"/>
    <w:rsid w:val="00A55AE1"/>
    <w:rsid w:val="00A55B4E"/>
    <w:rsid w:val="00A55BF4"/>
    <w:rsid w:val="00A55C5E"/>
    <w:rsid w:val="00A55FAB"/>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67F80"/>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353"/>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6F54"/>
    <w:rsid w:val="00A97285"/>
    <w:rsid w:val="00A97400"/>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EDE"/>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39C"/>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D7FAD"/>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339"/>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6D"/>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305"/>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5E7"/>
    <w:rsid w:val="00B026D7"/>
    <w:rsid w:val="00B0288F"/>
    <w:rsid w:val="00B02919"/>
    <w:rsid w:val="00B02A1A"/>
    <w:rsid w:val="00B02F89"/>
    <w:rsid w:val="00B0355D"/>
    <w:rsid w:val="00B03B8E"/>
    <w:rsid w:val="00B03BF0"/>
    <w:rsid w:val="00B03C7D"/>
    <w:rsid w:val="00B03F79"/>
    <w:rsid w:val="00B041CF"/>
    <w:rsid w:val="00B04506"/>
    <w:rsid w:val="00B04531"/>
    <w:rsid w:val="00B0453D"/>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8BF"/>
    <w:rsid w:val="00B22933"/>
    <w:rsid w:val="00B2295D"/>
    <w:rsid w:val="00B235A4"/>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AFF"/>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99"/>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1C1"/>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E80"/>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2A"/>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3AA"/>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1F4"/>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8F7"/>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A1D"/>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C17"/>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615"/>
    <w:rsid w:val="00BA59F8"/>
    <w:rsid w:val="00BA5DCE"/>
    <w:rsid w:val="00BA5E66"/>
    <w:rsid w:val="00BA5F37"/>
    <w:rsid w:val="00BA5F5D"/>
    <w:rsid w:val="00BA616C"/>
    <w:rsid w:val="00BA634D"/>
    <w:rsid w:val="00BA6652"/>
    <w:rsid w:val="00BA6664"/>
    <w:rsid w:val="00BA6673"/>
    <w:rsid w:val="00BA686F"/>
    <w:rsid w:val="00BA68BD"/>
    <w:rsid w:val="00BA6A3E"/>
    <w:rsid w:val="00BA6BAD"/>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7D"/>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240"/>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67"/>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1F0"/>
    <w:rsid w:val="00C1563A"/>
    <w:rsid w:val="00C156C4"/>
    <w:rsid w:val="00C15863"/>
    <w:rsid w:val="00C15A79"/>
    <w:rsid w:val="00C15A82"/>
    <w:rsid w:val="00C15CC3"/>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0FD1"/>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DAE"/>
    <w:rsid w:val="00C46FDD"/>
    <w:rsid w:val="00C470AC"/>
    <w:rsid w:val="00C4715C"/>
    <w:rsid w:val="00C47200"/>
    <w:rsid w:val="00C47566"/>
    <w:rsid w:val="00C478F5"/>
    <w:rsid w:val="00C47C32"/>
    <w:rsid w:val="00C47C9D"/>
    <w:rsid w:val="00C500DD"/>
    <w:rsid w:val="00C500F8"/>
    <w:rsid w:val="00C502BB"/>
    <w:rsid w:val="00C5036A"/>
    <w:rsid w:val="00C507EF"/>
    <w:rsid w:val="00C50931"/>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0DC"/>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796"/>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608"/>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3EB"/>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F46"/>
    <w:rsid w:val="00CE0415"/>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952"/>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871"/>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055"/>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015"/>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C12"/>
    <w:rsid w:val="00D60C35"/>
    <w:rsid w:val="00D614B3"/>
    <w:rsid w:val="00D614B8"/>
    <w:rsid w:val="00D614F3"/>
    <w:rsid w:val="00D619DE"/>
    <w:rsid w:val="00D619E8"/>
    <w:rsid w:val="00D61A96"/>
    <w:rsid w:val="00D61EAF"/>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1FE"/>
    <w:rsid w:val="00D722D5"/>
    <w:rsid w:val="00D724D5"/>
    <w:rsid w:val="00D7269C"/>
    <w:rsid w:val="00D72940"/>
    <w:rsid w:val="00D72BB5"/>
    <w:rsid w:val="00D72CDC"/>
    <w:rsid w:val="00D73082"/>
    <w:rsid w:val="00D73256"/>
    <w:rsid w:val="00D732DA"/>
    <w:rsid w:val="00D73AC1"/>
    <w:rsid w:val="00D73C2D"/>
    <w:rsid w:val="00D740A4"/>
    <w:rsid w:val="00D7432C"/>
    <w:rsid w:val="00D74512"/>
    <w:rsid w:val="00D748E3"/>
    <w:rsid w:val="00D749E1"/>
    <w:rsid w:val="00D74A4A"/>
    <w:rsid w:val="00D74A6C"/>
    <w:rsid w:val="00D74ABF"/>
    <w:rsid w:val="00D74FC5"/>
    <w:rsid w:val="00D7504A"/>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08B"/>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67"/>
    <w:rsid w:val="00DA1853"/>
    <w:rsid w:val="00DA18EB"/>
    <w:rsid w:val="00DA1A2C"/>
    <w:rsid w:val="00DA1BF6"/>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7B"/>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347"/>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C77"/>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C7F9D"/>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1AB"/>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0A0"/>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DF7DAA"/>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330"/>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D53"/>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BC9"/>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839"/>
    <w:rsid w:val="00E86AF4"/>
    <w:rsid w:val="00E86BDA"/>
    <w:rsid w:val="00E86F5A"/>
    <w:rsid w:val="00E86FE5"/>
    <w:rsid w:val="00E87014"/>
    <w:rsid w:val="00E871B1"/>
    <w:rsid w:val="00E87359"/>
    <w:rsid w:val="00E874E5"/>
    <w:rsid w:val="00E87708"/>
    <w:rsid w:val="00E87769"/>
    <w:rsid w:val="00E8781B"/>
    <w:rsid w:val="00E87BB7"/>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D7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4C9F"/>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A78"/>
    <w:rsid w:val="00EA7A8C"/>
    <w:rsid w:val="00EB06CB"/>
    <w:rsid w:val="00EB0892"/>
    <w:rsid w:val="00EB0E08"/>
    <w:rsid w:val="00EB1035"/>
    <w:rsid w:val="00EB121A"/>
    <w:rsid w:val="00EB144D"/>
    <w:rsid w:val="00EB1519"/>
    <w:rsid w:val="00EB1A30"/>
    <w:rsid w:val="00EB1A3E"/>
    <w:rsid w:val="00EB1AAA"/>
    <w:rsid w:val="00EB1C22"/>
    <w:rsid w:val="00EB203A"/>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3A"/>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76B"/>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11A"/>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2D1"/>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EB"/>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178"/>
    <w:rsid w:val="00EE36CB"/>
    <w:rsid w:val="00EE39DF"/>
    <w:rsid w:val="00EE3A64"/>
    <w:rsid w:val="00EE3B98"/>
    <w:rsid w:val="00EE3C38"/>
    <w:rsid w:val="00EE3E6F"/>
    <w:rsid w:val="00EE3EB0"/>
    <w:rsid w:val="00EE3F77"/>
    <w:rsid w:val="00EE401D"/>
    <w:rsid w:val="00EE405E"/>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6E"/>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7D2"/>
    <w:rsid w:val="00F058F3"/>
    <w:rsid w:val="00F05BFB"/>
    <w:rsid w:val="00F05C64"/>
    <w:rsid w:val="00F05CF0"/>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398"/>
    <w:rsid w:val="00F10428"/>
    <w:rsid w:val="00F1070A"/>
    <w:rsid w:val="00F1071E"/>
    <w:rsid w:val="00F10897"/>
    <w:rsid w:val="00F10A74"/>
    <w:rsid w:val="00F10ACB"/>
    <w:rsid w:val="00F10B13"/>
    <w:rsid w:val="00F10CF6"/>
    <w:rsid w:val="00F111D1"/>
    <w:rsid w:val="00F116C2"/>
    <w:rsid w:val="00F11727"/>
    <w:rsid w:val="00F1179D"/>
    <w:rsid w:val="00F11932"/>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BBA"/>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4E5F"/>
    <w:rsid w:val="00F250D9"/>
    <w:rsid w:val="00F251D0"/>
    <w:rsid w:val="00F2533A"/>
    <w:rsid w:val="00F2548B"/>
    <w:rsid w:val="00F257F2"/>
    <w:rsid w:val="00F258FF"/>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3C1"/>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AF8"/>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911"/>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193"/>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4C1"/>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08"/>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40"/>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AC"/>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E3FAB"/>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fontstyle01">
    <w:name w:val="fontstyle01"/>
    <w:rsid w:val="006D2A92"/>
    <w:rPr>
      <w:rFonts w:ascii="TimesNewRomanPSMT" w:hAnsi="TimesNewRomanPSMT" w:hint="default"/>
      <w:b w:val="0"/>
      <w:bCs w:val="0"/>
      <w:i w:val="0"/>
      <w:iCs w:val="0"/>
      <w:color w:val="000000"/>
      <w:sz w:val="20"/>
      <w:szCs w:val="20"/>
    </w:rPr>
  </w:style>
  <w:style w:type="character" w:customStyle="1" w:styleId="fontstyle21">
    <w:name w:val="fontstyle21"/>
    <w:rsid w:val="006D2A92"/>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9679464">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3789569">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0050943">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7142520">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350BFCF-77E7-4288-8B64-F83A30927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1605</Words>
  <Characters>8237</Characters>
  <Application>Microsoft Office Word</Application>
  <DocSecurity>0</DocSecurity>
  <Lines>235</Lines>
  <Paragraphs>134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13</cp:revision>
  <cp:lastPrinted>2004-04-14T09:17:00Z</cp:lastPrinted>
  <dcterms:created xsi:type="dcterms:W3CDTF">2019-02-15T04:27:00Z</dcterms:created>
  <dcterms:modified xsi:type="dcterms:W3CDTF">2019-02-15T05:40:00Z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ba4b042c-b245-4331-896c-d771737ccd7b</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2019-02-15 05:40:18Z</vt:lpwstr>
  </property>
  <property fmtid="{D5CDD505-2E9C-101B-9397-08002B2CF9AE}" pid="14" name="CTPClassification">
    <vt:lpwstr>CTP_NT</vt:lpwstr>
  </property>
</Properties>
</file>