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F32300E"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#105</w:t>
      </w:r>
      <w:r w:rsidR="00D17586">
        <w:rPr>
          <w:rFonts w:ascii="Arial" w:eastAsia="MS Mincho" w:hAnsi="Arial"/>
          <w:b/>
          <w:sz w:val="24"/>
          <w:szCs w:val="24"/>
          <w:lang w:val="en-GB" w:eastAsia="x-none"/>
        </w:rPr>
        <w:tab/>
        <w:t>R2-1900824</w:t>
      </w:r>
    </w:p>
    <w:p w14:paraId="6877EE3A" w14:textId="5C492756" w:rsidR="00895250" w:rsidRPr="00BA4886" w:rsidRDefault="00F913DB"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BA4886">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r>
        <w:rPr>
          <w:rFonts w:ascii="Arial" w:eastAsia="MS Mincho" w:hAnsi="Arial"/>
          <w:b/>
          <w:sz w:val="24"/>
          <w:szCs w:val="24"/>
          <w:lang w:val="en-GB" w:eastAsia="x-none"/>
        </w:rPr>
        <w:tab/>
      </w:r>
      <w:r w:rsidRPr="00F913DB">
        <w:rPr>
          <w:rFonts w:ascii="Arial" w:eastAsia="MS Mincho" w:hAnsi="Arial"/>
          <w:b/>
          <w:sz w:val="16"/>
          <w:szCs w:val="24"/>
          <w:lang w:val="en-GB" w:eastAsia="x-none"/>
        </w:rPr>
        <w:t>(revision of R2-1816819)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37DD932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9A42D2">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D291EF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049AF" w:rsidRPr="00BA4886">
        <w:rPr>
          <w:b/>
          <w:sz w:val="24"/>
          <w:lang w:val="en-GB"/>
        </w:rPr>
        <w:t>Delta sig</w:t>
      </w:r>
      <w:r w:rsidR="00EB7A17" w:rsidRPr="00BA4886">
        <w:rPr>
          <w:b/>
          <w:sz w:val="24"/>
          <w:lang w:val="en-GB"/>
        </w:rPr>
        <w:t>n</w:t>
      </w:r>
      <w:r w:rsidR="00C049AF" w:rsidRPr="00BA4886">
        <w:rPr>
          <w:b/>
          <w:sz w:val="24"/>
          <w:lang w:val="en-GB"/>
        </w:rPr>
        <w:t>alling for UE capability indication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1FEA0B3F" w14:textId="68114A7C" w:rsidR="004F781A" w:rsidRDefault="004F781A" w:rsidP="00853816">
      <w:pPr>
        <w:rPr>
          <w:lang w:val="en-GB"/>
        </w:rPr>
      </w:pPr>
      <w:r>
        <w:rPr>
          <w:lang w:val="en-GB"/>
        </w:rPr>
        <w:t>SA2 have discussed delta signalling mechanisms for the UE capability ID, and in the “Interim Conclusions” section of [1] it is indicated that such a solution is recommended for normative work, pending confirmation of its feasibility from RAN2.  This document discusses the delta signalling approach and its feasibility, with the intention of providing feedback to SA2.</w:t>
      </w:r>
    </w:p>
    <w:p w14:paraId="2D9A0F46" w14:textId="721FCEAD" w:rsidR="00202DDC" w:rsidRPr="00BA4886" w:rsidRDefault="00202DDC" w:rsidP="00202DDC">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Discussion</w:t>
      </w:r>
    </w:p>
    <w:p w14:paraId="28A5C741" w14:textId="7AD9C77A" w:rsidR="00F856F0" w:rsidRDefault="00F856F0" w:rsidP="00F856F0">
      <w:pPr>
        <w:pStyle w:val="Heading2"/>
      </w:pPr>
      <w:r>
        <w:t>Delta signalling approach</w:t>
      </w:r>
    </w:p>
    <w:p w14:paraId="706234E0" w14:textId="0E981E01" w:rsidR="003D7442" w:rsidRDefault="00BA4886" w:rsidP="003D7442">
      <w:pPr>
        <w:spacing w:after="240"/>
        <w:rPr>
          <w:lang w:val="en-GB"/>
        </w:rPr>
      </w:pPr>
      <w:r w:rsidRPr="00BA4886">
        <w:rPr>
          <w:lang w:val="en-GB"/>
        </w:rPr>
        <w:t xml:space="preserve">When UE capability is represented by an ID, there can be various reasons for a particular UE to deviate from the “baseline” capabilities that its </w:t>
      </w:r>
      <w:r w:rsidR="000B7B68">
        <w:rPr>
          <w:lang w:val="en-GB"/>
        </w:rPr>
        <w:t xml:space="preserve">usual </w:t>
      </w:r>
      <w:r w:rsidRPr="00BA4886">
        <w:rPr>
          <w:lang w:val="en-GB"/>
        </w:rPr>
        <w:t>ID indicates</w:t>
      </w:r>
      <w:r w:rsidR="003D7442" w:rsidRPr="00BA4886">
        <w:rPr>
          <w:lang w:val="en-GB"/>
        </w:rPr>
        <w:t>.</w:t>
      </w:r>
      <w:r w:rsidRPr="00BA4886">
        <w:rPr>
          <w:lang w:val="en-GB"/>
        </w:rPr>
        <w:t xml:space="preserve">  For instance, PLMN-specific settings might result in different band combination support from the default.  One reason to provide </w:t>
      </w:r>
      <w:r w:rsidR="000B7B68">
        <w:rPr>
          <w:lang w:val="en-GB"/>
        </w:rPr>
        <w:t xml:space="preserve">a </w:t>
      </w:r>
      <w:r w:rsidRPr="00BA4886">
        <w:rPr>
          <w:lang w:val="en-GB"/>
        </w:rPr>
        <w:t>delta signalling</w:t>
      </w:r>
      <w:r w:rsidR="000B7B68">
        <w:rPr>
          <w:lang w:val="en-GB"/>
        </w:rPr>
        <w:t xml:space="preserve"> scheme (as currently captured in [1], section 6.6)</w:t>
      </w:r>
      <w:r w:rsidRPr="00BA4886">
        <w:rPr>
          <w:lang w:val="en-GB"/>
        </w:rPr>
        <w:t xml:space="preserve"> </w:t>
      </w:r>
      <w:r>
        <w:rPr>
          <w:lang w:val="en-GB"/>
        </w:rPr>
        <w:t>is to enable such a UE to benefit from the capability ID scheme, so that it can indicate “</w:t>
      </w:r>
      <w:r w:rsidR="000B7B68">
        <w:rPr>
          <w:lang w:val="en-GB"/>
        </w:rPr>
        <w:t>ID X,</w:t>
      </w:r>
      <w:r>
        <w:rPr>
          <w:lang w:val="en-GB"/>
        </w:rPr>
        <w:t xml:space="preserve"> with variations Y and Z” rather than having to send its full capability</w:t>
      </w:r>
      <w:r w:rsidR="00F856F0">
        <w:rPr>
          <w:lang w:val="en-GB"/>
        </w:rPr>
        <w:t xml:space="preserve"> to the network every time</w:t>
      </w:r>
      <w:r>
        <w:rPr>
          <w:lang w:val="en-GB"/>
        </w:rPr>
        <w:t>.</w:t>
      </w:r>
    </w:p>
    <w:p w14:paraId="6797E15D" w14:textId="473A9B50" w:rsidR="00BA4886" w:rsidRDefault="00BA4886" w:rsidP="003D7442">
      <w:pPr>
        <w:spacing w:after="240"/>
        <w:rPr>
          <w:lang w:val="en-GB"/>
        </w:rPr>
      </w:pPr>
      <w:r>
        <w:rPr>
          <w:lang w:val="en-GB"/>
        </w:rPr>
        <w:t>A second use case is the situation where the database of UE capability IDs is not yet updated with a particular UE’s capability, e.g. a new model UE facing a network that has not been updated.</w:t>
      </w:r>
      <w:r w:rsidR="00467CA9">
        <w:rPr>
          <w:lang w:val="en-GB"/>
        </w:rPr>
        <w:t xml:space="preserve">  If the UE can recognise this situation, it may be able to identify its capabilities for the network using a recognised ID, with delta signalling to indicate the necessary changes.</w:t>
      </w:r>
    </w:p>
    <w:p w14:paraId="653FDBF5" w14:textId="41786DFD" w:rsidR="00843A18" w:rsidRDefault="00843A18" w:rsidP="003D7442">
      <w:pPr>
        <w:spacing w:after="240"/>
        <w:rPr>
          <w:lang w:val="en-GB"/>
        </w:rPr>
      </w:pPr>
      <w:r>
        <w:rPr>
          <w:lang w:val="en-GB"/>
        </w:rPr>
        <w:t>In addition, in case of a NAS capability update, delta signalling would allow a succinct way of indicating the change: The UE could indicate the same capability ID as it previously used, but with deltas to indicate the changes, such as removing specific band combinations or feature set combinations that are no longer supported after the change.</w:t>
      </w:r>
    </w:p>
    <w:p w14:paraId="2178A519" w14:textId="3DC1CB8E" w:rsidR="00467CA9" w:rsidRDefault="00467CA9" w:rsidP="003D7442">
      <w:pPr>
        <w:spacing w:after="240"/>
        <w:rPr>
          <w:lang w:val="en-GB"/>
        </w:rPr>
      </w:pPr>
      <w:r>
        <w:rPr>
          <w:lang w:val="en-GB"/>
        </w:rPr>
        <w:t>The basic mechanism of delta signalling is familiar from RRC reconfigurations, and there is no great complexity in implementing it.  We thus suggest that the use cases justify the effort of supporting delta signalling for UE capability ID.</w:t>
      </w:r>
    </w:p>
    <w:p w14:paraId="30F52288" w14:textId="54DD950A" w:rsidR="00467CA9" w:rsidRDefault="00467CA9" w:rsidP="003D7442">
      <w:pPr>
        <w:spacing w:after="240"/>
        <w:rPr>
          <w:lang w:val="en-GB"/>
        </w:rPr>
      </w:pPr>
      <w:r>
        <w:rPr>
          <w:b/>
          <w:lang w:val="en-GB"/>
        </w:rPr>
        <w:t>Proposal 1:</w:t>
      </w:r>
      <w:r>
        <w:rPr>
          <w:lang w:val="en-GB"/>
        </w:rPr>
        <w:t xml:space="preserve"> </w:t>
      </w:r>
      <w:r w:rsidR="004F781A">
        <w:rPr>
          <w:lang w:val="en-GB"/>
        </w:rPr>
        <w:t>From a RAN2 perspective, the use cases justify s</w:t>
      </w:r>
      <w:r>
        <w:rPr>
          <w:lang w:val="en-GB"/>
        </w:rPr>
        <w:t>upport</w:t>
      </w:r>
      <w:r w:rsidR="004F781A">
        <w:rPr>
          <w:lang w:val="en-GB"/>
        </w:rPr>
        <w:t>ing</w:t>
      </w:r>
      <w:r>
        <w:rPr>
          <w:lang w:val="en-GB"/>
        </w:rPr>
        <w:t xml:space="preserve"> delta signalling </w:t>
      </w:r>
      <w:r w:rsidR="00F856F0">
        <w:rPr>
          <w:lang w:val="en-GB"/>
        </w:rPr>
        <w:t>along with</w:t>
      </w:r>
      <w:r>
        <w:rPr>
          <w:lang w:val="en-GB"/>
        </w:rPr>
        <w:t xml:space="preserve"> the UE capability</w:t>
      </w:r>
      <w:r w:rsidR="00F856F0">
        <w:rPr>
          <w:lang w:val="en-GB"/>
        </w:rPr>
        <w:t xml:space="preserve"> ID</w:t>
      </w:r>
      <w:r>
        <w:rPr>
          <w:lang w:val="en-GB"/>
        </w:rPr>
        <w:t>.</w:t>
      </w:r>
    </w:p>
    <w:p w14:paraId="0FC67C60" w14:textId="4C9E1576" w:rsidR="00F856F0" w:rsidRDefault="00F856F0" w:rsidP="00F856F0">
      <w:pPr>
        <w:pStyle w:val="Heading2"/>
      </w:pPr>
      <w:r>
        <w:lastRenderedPageBreak/>
        <w:t>Selection of fields</w:t>
      </w:r>
    </w:p>
    <w:p w14:paraId="7C4BBF7B" w14:textId="73308D33" w:rsidR="00467CA9" w:rsidRDefault="000B7B68" w:rsidP="003D7442">
      <w:pPr>
        <w:spacing w:after="240"/>
        <w:rPr>
          <w:lang w:val="en-GB"/>
        </w:rPr>
      </w:pPr>
      <w:r>
        <w:rPr>
          <w:lang w:val="en-GB"/>
        </w:rPr>
        <w:t xml:space="preserve">In many cases, it could be expected that the UE could indicate its full capability with the index; the delta signalling mechanism is for exceptional cases.  Where such exceptions exist, it seems likely that they would be concentrated in the same fields of </w:t>
      </w:r>
      <w:r>
        <w:rPr>
          <w:i/>
          <w:lang w:val="en-GB"/>
        </w:rPr>
        <w:t xml:space="preserve">UE-NR-Capability </w:t>
      </w:r>
      <w:r>
        <w:rPr>
          <w:lang w:val="en-GB"/>
        </w:rPr>
        <w:t xml:space="preserve">and </w:t>
      </w:r>
      <w:r>
        <w:rPr>
          <w:i/>
          <w:lang w:val="en-GB"/>
        </w:rPr>
        <w:t xml:space="preserve">UE-MRDC-Capability </w:t>
      </w:r>
      <w:r>
        <w:rPr>
          <w:lang w:val="en-GB"/>
        </w:rPr>
        <w:t xml:space="preserve">that are responsible for most of the capability size: </w:t>
      </w:r>
      <w:proofErr w:type="spellStart"/>
      <w:r>
        <w:rPr>
          <w:i/>
          <w:lang w:val="en-GB"/>
        </w:rPr>
        <w:t>supportedBandCombinationList</w:t>
      </w:r>
      <w:proofErr w:type="spellEnd"/>
      <w:r>
        <w:rPr>
          <w:lang w:val="en-GB"/>
        </w:rPr>
        <w:t xml:space="preserve"> inside </w:t>
      </w:r>
      <w:proofErr w:type="spellStart"/>
      <w:r>
        <w:rPr>
          <w:i/>
          <w:lang w:val="en-GB"/>
        </w:rPr>
        <w:t>rf</w:t>
      </w:r>
      <w:proofErr w:type="spellEnd"/>
      <w:r>
        <w:rPr>
          <w:i/>
          <w:lang w:val="en-GB"/>
        </w:rPr>
        <w:t>-Parameters</w:t>
      </w:r>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xml:space="preserve">.  Another candidate would be the per-band parameters in </w:t>
      </w:r>
      <w:proofErr w:type="spellStart"/>
      <w:r>
        <w:rPr>
          <w:i/>
          <w:lang w:val="en-GB"/>
        </w:rPr>
        <w:t>rf</w:t>
      </w:r>
      <w:proofErr w:type="spellEnd"/>
      <w:r>
        <w:rPr>
          <w:i/>
          <w:lang w:val="en-GB"/>
        </w:rPr>
        <w:t>-Parameters</w:t>
      </w:r>
      <w:r>
        <w:rPr>
          <w:lang w:val="en-GB"/>
        </w:rPr>
        <w:t xml:space="preserve"> (e.g., in case a band is entirely disabled</w:t>
      </w:r>
      <w:r w:rsidR="00F856F0">
        <w:rPr>
          <w:lang w:val="en-GB"/>
        </w:rPr>
        <w:t>, removing the band could be a more efficient way of signalling the changed capability, compared to individually removing all the band combinations that use it</w:t>
      </w:r>
      <w:r>
        <w:rPr>
          <w:lang w:val="en-GB"/>
        </w:rPr>
        <w:t>).</w:t>
      </w:r>
    </w:p>
    <w:p w14:paraId="3753A1B9" w14:textId="0195639A" w:rsidR="000B7B68" w:rsidRDefault="000B7B68" w:rsidP="003D7442">
      <w:pPr>
        <w:spacing w:after="240"/>
        <w:rPr>
          <w:lang w:val="en-GB"/>
        </w:rPr>
      </w:pPr>
      <w:r>
        <w:rPr>
          <w:b/>
          <w:lang w:val="en-GB"/>
        </w:rPr>
        <w:t>Proposal 2:</w:t>
      </w:r>
      <w:r>
        <w:rPr>
          <w:lang w:val="en-GB"/>
        </w:rPr>
        <w:t xml:space="preserve"> The baseline set of fields in </w:t>
      </w:r>
      <w:r>
        <w:rPr>
          <w:i/>
          <w:lang w:val="en-GB"/>
        </w:rPr>
        <w:t>UE-NR-Capability</w:t>
      </w:r>
      <w:r>
        <w:rPr>
          <w:lang w:val="en-GB"/>
        </w:rPr>
        <w:t xml:space="preserve"> and </w:t>
      </w:r>
      <w:r>
        <w:rPr>
          <w:i/>
          <w:lang w:val="en-GB"/>
        </w:rPr>
        <w:t>UE-MRDC-Capability</w:t>
      </w:r>
      <w:r>
        <w:rPr>
          <w:lang w:val="en-GB"/>
        </w:rPr>
        <w:t xml:space="preserve"> for which delta signalling is supported comprises </w:t>
      </w:r>
      <w:proofErr w:type="spellStart"/>
      <w:r>
        <w:rPr>
          <w:i/>
          <w:lang w:val="en-GB"/>
        </w:rPr>
        <w:t>supportedBandCombinationList</w:t>
      </w:r>
      <w:proofErr w:type="spellEnd"/>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Additions to this set can be discussed.</w:t>
      </w:r>
    </w:p>
    <w:p w14:paraId="67AA3E9C" w14:textId="0930D259" w:rsidR="00F856F0" w:rsidRDefault="00F856F0" w:rsidP="00F856F0">
      <w:pPr>
        <w:pStyle w:val="Heading2"/>
      </w:pPr>
      <w:r>
        <w:t>Signalling design</w:t>
      </w:r>
    </w:p>
    <w:p w14:paraId="244A7259" w14:textId="0D8B663F" w:rsidR="000B7B68" w:rsidRDefault="000B7B68" w:rsidP="003D7442">
      <w:pPr>
        <w:spacing w:after="240"/>
        <w:rPr>
          <w:lang w:val="en-GB"/>
        </w:rPr>
      </w:pPr>
      <w:r>
        <w:rPr>
          <w:lang w:val="en-GB"/>
        </w:rPr>
        <w:t xml:space="preserve">The support for delta signalling need not be complex.  Where support is added, it is straightforward; for instance, a UE that wished to indicate “ID value X, with the addition of band combinations A and B” could signal the ID value X, along with an “additional supported band combination” list containing A and B.  In case support is removed (e.g., “ID value X, with the deletion of band combination C”), the UE could signal the ID value X, along with a </w:t>
      </w:r>
      <w:proofErr w:type="spellStart"/>
      <w:r>
        <w:rPr>
          <w:lang w:val="en-GB"/>
        </w:rPr>
        <w:t>ToRemove</w:t>
      </w:r>
      <w:proofErr w:type="spellEnd"/>
      <w:r>
        <w:rPr>
          <w:lang w:val="en-GB"/>
        </w:rPr>
        <w:t xml:space="preserve"> list containing the index of band combination C.  In other words, the deltas can be represented as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in a variation on the existing delta signalling mechanism for RRC configurations.</w:t>
      </w:r>
    </w:p>
    <w:p w14:paraId="61E102E7" w14:textId="20F2964B" w:rsidR="000B7B68" w:rsidRDefault="000B7B68" w:rsidP="003D7442">
      <w:pPr>
        <w:spacing w:after="240"/>
        <w:rPr>
          <w:lang w:val="en-GB"/>
        </w:rPr>
      </w:pPr>
      <w:r>
        <w:rPr>
          <w:b/>
          <w:lang w:val="en-GB"/>
        </w:rPr>
        <w:t>Proposal 3:</w:t>
      </w:r>
      <w:r>
        <w:rPr>
          <w:lang w:val="en-GB"/>
        </w:rPr>
        <w:t xml:space="preserve"> The delta signalling for UE capabilities can be supported by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for the affected fields.</w:t>
      </w:r>
    </w:p>
    <w:p w14:paraId="359B46A9" w14:textId="61C07125" w:rsidR="000B7B68" w:rsidRDefault="00A41E85" w:rsidP="003D7442">
      <w:pPr>
        <w:spacing w:after="240"/>
        <w:rPr>
          <w:lang w:val="en-GB"/>
        </w:rPr>
      </w:pPr>
      <w:r>
        <w:rPr>
          <w:lang w:val="en-GB"/>
        </w:rPr>
        <w:t>The corresponding ASN.1 might look like this:</w:t>
      </w:r>
    </w:p>
    <w:p w14:paraId="47599233" w14:textId="47C39D6B"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ue-CapabilityID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UE-CapabilityID</w:t>
      </w:r>
      <w:r w:rsidRPr="00A41E85">
        <w:rPr>
          <w:rFonts w:ascii="Courier New" w:eastAsia="Batang" w:hAnsi="Courier New"/>
          <w:noProof/>
          <w:sz w:val="16"/>
          <w:szCs w:val="20"/>
          <w:lang w:val="en-GB" w:eastAsia="sv-SE"/>
        </w:rPr>
        <w:t>,</w:t>
      </w:r>
    </w:p>
    <w:p w14:paraId="1D887C44"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1813EF0F" w14:textId="4CE64A25" w:rsidR="00A41E85" w:rsidRP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band combinations</w:t>
      </w:r>
    </w:p>
    <w:p w14:paraId="524A8CC9" w14:textId="2F7CCE8A"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supportedBandCombinationToRemoveList</w:t>
      </w:r>
      <w:r>
        <w:rPr>
          <w:rFonts w:ascii="Courier New" w:eastAsia="Batang" w:hAnsi="Courier New"/>
          <w:noProof/>
          <w:sz w:val="16"/>
          <w:szCs w:val="20"/>
          <w:lang w:val="en-GB" w:eastAsia="sv-SE"/>
        </w:rPr>
        <w:tab/>
        <w:t>SEQUENCE (SIZE(1..maxBandComb)) OF INTEGER (0..maxBandComb-1)</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620C41A6" w14:textId="26A3E9CF"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supportedBandCombinationToAdd</w:t>
      </w:r>
      <w:r w:rsidR="001510A2">
        <w:rPr>
          <w:rFonts w:ascii="Courier New" w:eastAsia="Batang" w:hAnsi="Courier New"/>
          <w:noProof/>
          <w:sz w:val="16"/>
          <w:szCs w:val="20"/>
          <w:lang w:val="en-GB" w:eastAsia="sv-SE"/>
        </w:rPr>
        <w:t>Mod</w:t>
      </w:r>
      <w:r>
        <w:rPr>
          <w:rFonts w:ascii="Courier New" w:eastAsia="Batang" w:hAnsi="Courier New"/>
          <w:noProof/>
          <w:sz w:val="16"/>
          <w:szCs w:val="20"/>
          <w:lang w:val="en-GB" w:eastAsia="sv-SE"/>
        </w:rPr>
        <w:t>List</w:t>
      </w:r>
      <w:r>
        <w:rPr>
          <w:rFonts w:ascii="Courier New" w:eastAsia="Batang" w:hAnsi="Courier New"/>
          <w:noProof/>
          <w:sz w:val="16"/>
          <w:szCs w:val="20"/>
          <w:lang w:val="en-GB" w:eastAsia="sv-SE"/>
        </w:rPr>
        <w:tab/>
        <w:t>SEQUENCE (SIZE(1..maxBandComb)) OF BandCombination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39B75C1C"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691105E3" w14:textId="40CED24F"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w:t>
      </w:r>
      <w:r w:rsidR="001510A2">
        <w:rPr>
          <w:rFonts w:ascii="Courier New" w:eastAsia="Batang" w:hAnsi="Courier New"/>
          <w:noProof/>
          <w:sz w:val="16"/>
          <w:szCs w:val="20"/>
          <w:lang w:val="en-GB" w:eastAsia="sv-SE"/>
        </w:rPr>
        <w:t>ng for feature sets (including DL, UL</w:t>
      </w:r>
      <w:r>
        <w:rPr>
          <w:rFonts w:ascii="Courier New" w:eastAsia="Batang" w:hAnsi="Courier New"/>
          <w:noProof/>
          <w:sz w:val="16"/>
          <w:szCs w:val="20"/>
          <w:lang w:val="en-GB" w:eastAsia="sv-SE"/>
        </w:rPr>
        <w:t>, and per-CC)</w:t>
      </w:r>
    </w:p>
    <w:p w14:paraId="4B593D1F" w14:textId="1A261612"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(SIZE(1..maxDownlinkFeatureSets)) OF FeatureSetDownlinkId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42296789" w14:textId="020453E6"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(SIZE(1..maxDownlinkFeatureSets)) OF FeatureSetDownlink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r>
        <w:rPr>
          <w:rFonts w:ascii="Courier New" w:eastAsia="Batang" w:hAnsi="Courier New"/>
          <w:noProof/>
          <w:sz w:val="16"/>
          <w:szCs w:val="20"/>
          <w:lang w:val="en-GB" w:eastAsia="sv-SE"/>
        </w:rPr>
        <w:t>,</w:t>
      </w:r>
    </w:p>
    <w:p w14:paraId="4C9EC54F" w14:textId="583D2C0D"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featureSetsDL-PerCC-ToRemoveList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FeatureSetDownlinkPerCC-Id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3DCFCBEF" w14:textId="49DC251C"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FeatureSetDownlinkPerCC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DB6EEFF" w14:textId="0C027589"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(SIZE(1..maxUplinkFeatureSets)) OF FeatureSetUplinkId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5DFB8713" w14:textId="6CED9B46"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(SIZE(1..maxUplinkFeatureSets)) OF FeatureSetUplink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1579C6F6" w14:textId="131044FD"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featureSetsUL-PerCC-ToRemoveList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FeatureSetUplinkPerCC-Id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7BD283C9" w14:textId="353C1AD8"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FeatureSetUplinkPerCC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5DDEB000"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4312E08B" w14:textId="21B23CB3"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feature set combinations</w:t>
      </w:r>
    </w:p>
    <w:p w14:paraId="37DE2F11" w14:textId="2B6DA8FB" w:rsidR="00A41E85" w:rsidRDefault="001510A2" w:rsidP="00151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featureSetCombinationToRemoveList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(SIZE(1..maxFeatureSetCombinations)) OF FeatureSetCombinationId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8F85E21" w14:textId="7D6939A1" w:rsidR="001510A2" w:rsidRDefault="001510A2" w:rsidP="00151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en-GB"/>
        </w:rPr>
      </w:pPr>
      <w:r>
        <w:rPr>
          <w:rFonts w:ascii="Courier New" w:eastAsia="Batang" w:hAnsi="Courier New"/>
          <w:noProof/>
          <w:sz w:val="16"/>
          <w:szCs w:val="20"/>
          <w:lang w:val="en-GB" w:eastAsia="sv-SE"/>
        </w:rPr>
        <w:tab/>
        <w:t>featureSetCombinationToAddModList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(SIZE(1..maxFeatureSetCombinations)) OF FeatureSetCombination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p>
    <w:p w14:paraId="1858DDB5" w14:textId="77777777" w:rsidR="001510A2" w:rsidRDefault="001510A2" w:rsidP="003D7442">
      <w:pPr>
        <w:spacing w:after="240"/>
        <w:rPr>
          <w:lang w:val="en-GB"/>
        </w:rPr>
      </w:pPr>
    </w:p>
    <w:p w14:paraId="1EEB6156" w14:textId="2B09C715" w:rsidR="00BB7841" w:rsidRDefault="00A41E85" w:rsidP="003D7442">
      <w:pPr>
        <w:spacing w:after="240"/>
        <w:rPr>
          <w:lang w:val="en-GB"/>
        </w:rPr>
      </w:pPr>
      <w:r>
        <w:rPr>
          <w:lang w:val="en-GB"/>
        </w:rPr>
        <w:lastRenderedPageBreak/>
        <w:t xml:space="preserve">This code snippet could be located wherever the UE capability ID is sent (e.g. in Msg5 and/or the </w:t>
      </w:r>
      <w:proofErr w:type="spellStart"/>
      <w:r>
        <w:rPr>
          <w:i/>
          <w:lang w:val="en-GB"/>
        </w:rPr>
        <w:t>UECapabilityInformation</w:t>
      </w:r>
      <w:proofErr w:type="spellEnd"/>
      <w:r>
        <w:rPr>
          <w:lang w:val="en-GB"/>
        </w:rPr>
        <w:t xml:space="preserve"> message)</w:t>
      </w:r>
      <w:r w:rsidR="001510A2">
        <w:rPr>
          <w:lang w:val="en-GB"/>
        </w:rPr>
        <w:t>.  It can itself grow somewhat large if many items are added to the lists, but the intention is that this should be used for relatively small deviations from the capability coded by the original ID.</w:t>
      </w:r>
    </w:p>
    <w:p w14:paraId="53AB9286" w14:textId="64C6D402" w:rsidR="004F781A" w:rsidRDefault="004F781A" w:rsidP="003D7442">
      <w:pPr>
        <w:spacing w:after="240"/>
        <w:rPr>
          <w:lang w:val="en-GB"/>
        </w:rPr>
      </w:pPr>
      <w:r>
        <w:rPr>
          <w:lang w:val="en-GB"/>
        </w:rPr>
        <w:t>Note that it would be possible for a UE to create an internally inconsistent capability structure, for example by removing a</w:t>
      </w:r>
      <w:r w:rsidR="00AC7D7D">
        <w:rPr>
          <w:lang w:val="en-GB"/>
        </w:rPr>
        <w:t>ll the</w:t>
      </w:r>
      <w:r>
        <w:rPr>
          <w:lang w:val="en-GB"/>
        </w:rPr>
        <w:t xml:space="preserve"> feature set combination</w:t>
      </w:r>
      <w:r w:rsidR="00AC7D7D">
        <w:rPr>
          <w:lang w:val="en-GB"/>
        </w:rPr>
        <w:t>s</w:t>
      </w:r>
      <w:r>
        <w:rPr>
          <w:lang w:val="en-GB"/>
        </w:rPr>
        <w:t xml:space="preserve"> </w:t>
      </w:r>
      <w:r w:rsidR="00AC7D7D">
        <w:rPr>
          <w:lang w:val="en-GB"/>
        </w:rPr>
        <w:t xml:space="preserve">for a certain band combination </w:t>
      </w:r>
      <w:r>
        <w:rPr>
          <w:lang w:val="en-GB"/>
        </w:rPr>
        <w:t xml:space="preserve">but not removing </w:t>
      </w:r>
      <w:r w:rsidR="00AC7D7D">
        <w:rPr>
          <w:lang w:val="en-GB"/>
        </w:rPr>
        <w:t xml:space="preserve">the </w:t>
      </w:r>
      <w:r>
        <w:rPr>
          <w:lang w:val="en-GB"/>
        </w:rPr>
        <w:t>band combination</w:t>
      </w:r>
      <w:r w:rsidR="00AC7D7D">
        <w:rPr>
          <w:lang w:val="en-GB"/>
        </w:rPr>
        <w:t xml:space="preserve"> itself</w:t>
      </w:r>
      <w:r>
        <w:rPr>
          <w:lang w:val="en-GB"/>
        </w:rPr>
        <w:t>.  There should thus be a requirement on the UE to maintain consistency in the capability structure.</w:t>
      </w:r>
    </w:p>
    <w:p w14:paraId="1DDA9119" w14:textId="15E1C67B" w:rsidR="004F781A" w:rsidRPr="004F781A" w:rsidRDefault="004F781A" w:rsidP="003D7442">
      <w:pPr>
        <w:spacing w:after="240"/>
        <w:rPr>
          <w:lang w:val="en-GB"/>
        </w:rPr>
      </w:pPr>
      <w:r>
        <w:rPr>
          <w:b/>
          <w:lang w:val="en-GB"/>
        </w:rPr>
        <w:t>Proposal 4:</w:t>
      </w:r>
      <w:r>
        <w:rPr>
          <w:lang w:val="en-GB"/>
        </w:rPr>
        <w:t xml:space="preserve"> The UE is required to set the delta signalling fields in such a way that the resulting capability structure is internally consistent.</w:t>
      </w:r>
    </w:p>
    <w:p w14:paraId="31272801" w14:textId="67991606" w:rsidR="00BB7841" w:rsidRDefault="004F781A" w:rsidP="003D7442">
      <w:pPr>
        <w:spacing w:after="240"/>
        <w:rPr>
          <w:lang w:val="en-GB"/>
        </w:rPr>
      </w:pPr>
      <w:r>
        <w:rPr>
          <w:lang w:val="en-GB"/>
        </w:rPr>
        <w:t>As indicated in the introduction, SA2 have agreed to the delta signalling approach provided RAN2 find it feasible</w:t>
      </w:r>
      <w:r w:rsidR="00BB7841">
        <w:rPr>
          <w:lang w:val="en-GB"/>
        </w:rPr>
        <w:t>.  We therefore suggest sending an LS to SA2 to confirm this.</w:t>
      </w:r>
    </w:p>
    <w:p w14:paraId="46366AC1" w14:textId="4D10EFE1" w:rsidR="00BB7841" w:rsidRDefault="004F781A" w:rsidP="003D7442">
      <w:pPr>
        <w:spacing w:after="240"/>
        <w:rPr>
          <w:lang w:val="en-GB"/>
        </w:rPr>
      </w:pPr>
      <w:r>
        <w:rPr>
          <w:b/>
          <w:lang w:val="en-GB"/>
        </w:rPr>
        <w:t>Proposal 5</w:t>
      </w:r>
      <w:r w:rsidR="00BB7841">
        <w:rPr>
          <w:b/>
          <w:lang w:val="en-GB"/>
        </w:rPr>
        <w:t>:</w:t>
      </w:r>
      <w:r w:rsidR="00BB7841">
        <w:rPr>
          <w:lang w:val="en-GB"/>
        </w:rPr>
        <w:t xml:space="preserve"> </w:t>
      </w:r>
      <w:r w:rsidR="000F48F3">
        <w:rPr>
          <w:lang w:val="en-GB"/>
        </w:rPr>
        <w:t>Include in a response LS to SA2</w:t>
      </w:r>
      <w:r w:rsidR="00BB7841">
        <w:rPr>
          <w:lang w:val="en-GB"/>
        </w:rPr>
        <w:t xml:space="preserve"> that from RAN2 perspective it is feasible to use delta signalling with the UE capability ID.</w:t>
      </w: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1B2289A4" w14:textId="3DE4AD31" w:rsidR="00BB7841" w:rsidRDefault="00D17586" w:rsidP="00BB7841">
      <w:pPr>
        <w:spacing w:after="240"/>
        <w:rPr>
          <w:lang w:val="en-GB" w:eastAsia="en-US"/>
        </w:rPr>
      </w:pPr>
      <w:r>
        <w:rPr>
          <w:lang w:val="en-GB" w:eastAsia="en-US"/>
        </w:rPr>
        <w:t>This document promulgated the following proposals:</w:t>
      </w:r>
    </w:p>
    <w:p w14:paraId="00A84D50" w14:textId="77777777" w:rsidR="00D17586" w:rsidRDefault="00D17586" w:rsidP="00D17586">
      <w:pPr>
        <w:spacing w:after="240"/>
        <w:rPr>
          <w:lang w:val="en-GB"/>
        </w:rPr>
      </w:pPr>
      <w:r>
        <w:rPr>
          <w:b/>
          <w:lang w:val="en-GB"/>
        </w:rPr>
        <w:t>Proposal 1:</w:t>
      </w:r>
      <w:r>
        <w:rPr>
          <w:lang w:val="en-GB"/>
        </w:rPr>
        <w:t xml:space="preserve"> From a RAN2 perspective, the use cases justify supporting delta signalling along with the UE capability ID.</w:t>
      </w:r>
    </w:p>
    <w:p w14:paraId="53AA966E" w14:textId="77777777" w:rsidR="00D17586" w:rsidRDefault="00D17586" w:rsidP="00D17586">
      <w:pPr>
        <w:spacing w:after="240"/>
        <w:rPr>
          <w:lang w:val="en-GB"/>
        </w:rPr>
      </w:pPr>
      <w:r>
        <w:rPr>
          <w:b/>
          <w:lang w:val="en-GB"/>
        </w:rPr>
        <w:t>Proposal 2:</w:t>
      </w:r>
      <w:r>
        <w:rPr>
          <w:lang w:val="en-GB"/>
        </w:rPr>
        <w:t xml:space="preserve"> The baseline set of fields in </w:t>
      </w:r>
      <w:r>
        <w:rPr>
          <w:i/>
          <w:lang w:val="en-GB"/>
        </w:rPr>
        <w:t>UE-NR-Capability</w:t>
      </w:r>
      <w:r>
        <w:rPr>
          <w:lang w:val="en-GB"/>
        </w:rPr>
        <w:t xml:space="preserve"> and </w:t>
      </w:r>
      <w:r>
        <w:rPr>
          <w:i/>
          <w:lang w:val="en-GB"/>
        </w:rPr>
        <w:t>UE-MRDC-Capability</w:t>
      </w:r>
      <w:r>
        <w:rPr>
          <w:lang w:val="en-GB"/>
        </w:rPr>
        <w:t xml:space="preserve"> for which delta signalling is supported comprises </w:t>
      </w:r>
      <w:proofErr w:type="spellStart"/>
      <w:r>
        <w:rPr>
          <w:i/>
          <w:lang w:val="en-GB"/>
        </w:rPr>
        <w:t>supportedBandCombinationList</w:t>
      </w:r>
      <w:proofErr w:type="spellEnd"/>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Additions to this set can be discussed.</w:t>
      </w:r>
    </w:p>
    <w:p w14:paraId="5259E5C8" w14:textId="77777777" w:rsidR="00D17586" w:rsidRDefault="00D17586" w:rsidP="00D17586">
      <w:pPr>
        <w:spacing w:after="240"/>
        <w:rPr>
          <w:lang w:val="en-GB"/>
        </w:rPr>
      </w:pPr>
      <w:r>
        <w:rPr>
          <w:b/>
          <w:lang w:val="en-GB"/>
        </w:rPr>
        <w:t>Proposal 3:</w:t>
      </w:r>
      <w:r>
        <w:rPr>
          <w:lang w:val="en-GB"/>
        </w:rPr>
        <w:t xml:space="preserve"> The delta signalling for UE capabilities can be supported by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for the affected fields.</w:t>
      </w:r>
    </w:p>
    <w:p w14:paraId="5DD11D92" w14:textId="77777777" w:rsidR="00D17586" w:rsidRPr="004F781A" w:rsidRDefault="00D17586" w:rsidP="00D17586">
      <w:pPr>
        <w:spacing w:after="240"/>
        <w:rPr>
          <w:lang w:val="en-GB"/>
        </w:rPr>
      </w:pPr>
      <w:r>
        <w:rPr>
          <w:b/>
          <w:lang w:val="en-GB"/>
        </w:rPr>
        <w:t>Proposal 4:</w:t>
      </w:r>
      <w:r>
        <w:rPr>
          <w:lang w:val="en-GB"/>
        </w:rPr>
        <w:t xml:space="preserve"> The UE is required to set the delta signalling fields in such a way that the resulting capability structure is internally consistent.</w:t>
      </w:r>
    </w:p>
    <w:p w14:paraId="3A6843CE" w14:textId="77777777" w:rsidR="00D17586" w:rsidRDefault="00D17586" w:rsidP="00D17586">
      <w:pPr>
        <w:spacing w:after="240"/>
        <w:rPr>
          <w:lang w:val="en-GB"/>
        </w:rPr>
      </w:pPr>
      <w:r>
        <w:rPr>
          <w:b/>
          <w:lang w:val="en-GB"/>
        </w:rPr>
        <w:t>Proposal 5:</w:t>
      </w:r>
      <w:r>
        <w:rPr>
          <w:lang w:val="en-GB"/>
        </w:rPr>
        <w:t xml:space="preserve"> Include in a response LS to SA2 that from RAN2 perspective it is feasible to use delta signalling with the UE capability ID.</w:t>
      </w:r>
    </w:p>
    <w:p w14:paraId="1CD51B74" w14:textId="71304200" w:rsidR="00A07E02" w:rsidRPr="00BA4886" w:rsidRDefault="007E37A2" w:rsidP="00A07E02">
      <w:pPr>
        <w:pStyle w:val="Heading1"/>
        <w:overflowPunct w:val="0"/>
        <w:autoSpaceDE w:val="0"/>
        <w:autoSpaceDN w:val="0"/>
        <w:adjustRightInd w:val="0"/>
        <w:rPr>
          <w:rFonts w:eastAsia="PMingLiU" w:cs="Arial"/>
        </w:rPr>
      </w:pPr>
      <w:bookmarkStart w:id="9" w:name="_GoBack"/>
      <w:bookmarkEnd w:id="9"/>
      <w:r w:rsidRPr="00BA4886">
        <w:rPr>
          <w:rFonts w:eastAsia="PMingLiU" w:cs="Arial"/>
          <w:lang w:eastAsia="zh-TW"/>
        </w:rPr>
        <w:t>R</w:t>
      </w:r>
      <w:r w:rsidR="00A07E02" w:rsidRPr="00BA4886">
        <w:rPr>
          <w:rFonts w:eastAsia="PMingLiU" w:cs="Arial"/>
        </w:rPr>
        <w:t>eference</w:t>
      </w:r>
      <w:r w:rsidR="00674996" w:rsidRPr="00BA4886">
        <w:rPr>
          <w:rFonts w:eastAsia="PMingLiU" w:cs="Arial"/>
        </w:rPr>
        <w:t>s</w:t>
      </w:r>
    </w:p>
    <w:p w14:paraId="62128EA8" w14:textId="34724C68" w:rsidR="003D7442" w:rsidRDefault="000B7B68" w:rsidP="003D7442">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TR 23.743, “Study on optimisations on UE radio</w:t>
      </w:r>
      <w:r w:rsidR="004F781A">
        <w:rPr>
          <w:rFonts w:ascii="Arial" w:hAnsi="Arial" w:cs="Arial"/>
          <w:sz w:val="20"/>
          <w:szCs w:val="20"/>
          <w:lang w:val="en-GB"/>
        </w:rPr>
        <w:t xml:space="preserve"> capability signalling”, 2018-12</w:t>
      </w:r>
    </w:p>
    <w:sectPr w:rsidR="003D744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98857" w14:textId="77777777" w:rsidR="00422BF8" w:rsidRDefault="00422BF8">
      <w:pPr>
        <w:pStyle w:val="TAL"/>
      </w:pPr>
      <w:r>
        <w:separator/>
      </w:r>
    </w:p>
  </w:endnote>
  <w:endnote w:type="continuationSeparator" w:id="0">
    <w:p w14:paraId="1CD5E4A0" w14:textId="77777777" w:rsidR="00422BF8" w:rsidRDefault="00422BF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080F0" w14:textId="77777777" w:rsidR="00422BF8" w:rsidRDefault="00422BF8">
      <w:pPr>
        <w:pStyle w:val="TAL"/>
      </w:pPr>
      <w:r>
        <w:separator/>
      </w:r>
    </w:p>
  </w:footnote>
  <w:footnote w:type="continuationSeparator" w:id="0">
    <w:p w14:paraId="63E44536" w14:textId="77777777" w:rsidR="00422BF8" w:rsidRDefault="00422BF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0"/>
  </w:num>
  <w:num w:numId="4">
    <w:abstractNumId w:val="7"/>
  </w:num>
  <w:num w:numId="5">
    <w:abstractNumId w:val="4"/>
  </w:num>
  <w:num w:numId="6">
    <w:abstractNumId w:val="3"/>
  </w:num>
  <w:num w:numId="7">
    <w:abstractNumId w:val="15"/>
  </w:num>
  <w:num w:numId="8">
    <w:abstractNumId w:val="14"/>
  </w:num>
  <w:num w:numId="9">
    <w:abstractNumId w:val="0"/>
  </w:num>
  <w:num w:numId="10">
    <w:abstractNumId w:val="2"/>
  </w:num>
  <w:num w:numId="11">
    <w:abstractNumId w:val="9"/>
  </w:num>
  <w:num w:numId="12">
    <w:abstractNumId w:val="13"/>
  </w:num>
  <w:num w:numId="13">
    <w:abstractNumId w:val="12"/>
  </w:num>
  <w:num w:numId="14">
    <w:abstractNumId w:val="1"/>
  </w:num>
  <w:num w:numId="15">
    <w:abstractNumId w:val="8"/>
  </w:num>
  <w:num w:numId="16">
    <w:abstractNumId w:val="5"/>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4F631-18E9-40A9-97FD-21A1CF26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2019-02-15T00:35:00Z</dcterms:created>
  <dcterms:modified xsi:type="dcterms:W3CDTF">2019-02-15T00:35:00Z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