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721DC" w:rsidRPr="0078591D" w:rsidRDefault="002721DC" w:rsidP="002721DC">
      <w:pPr>
        <w:pStyle w:val="3GPPHeader"/>
        <w:spacing w:after="0"/>
        <w:rPr>
          <w:rFonts w:cs="Arial"/>
          <w:color w:val="000000"/>
          <w:kern w:val="2"/>
          <w:lang w:val="en-US"/>
        </w:rPr>
      </w:pPr>
      <w:bookmarkStart w:id="0" w:name="OLE_LINK10"/>
      <w:bookmarkStart w:id="1" w:name="OLE_LINK11"/>
      <w:r w:rsidRPr="0078591D">
        <w:rPr>
          <w:noProof/>
          <w:lang w:val="en-US"/>
        </w:rPr>
        <w:t>3GPP TSG-RAN WG2</w:t>
      </w:r>
      <w:r w:rsidRPr="0078591D">
        <w:rPr>
          <w:rFonts w:hint="eastAsia"/>
          <w:noProof/>
          <w:lang w:val="en-US"/>
        </w:rPr>
        <w:t xml:space="preserve"> Meeting #10</w:t>
      </w:r>
      <w:r w:rsidRPr="0078591D">
        <w:rPr>
          <w:noProof/>
          <w:lang w:val="en-US"/>
        </w:rPr>
        <w:t>5</w:t>
      </w:r>
      <w:r w:rsidRPr="0078591D">
        <w:rPr>
          <w:rFonts w:cs="Arial"/>
          <w:color w:val="000000"/>
          <w:kern w:val="2"/>
          <w:lang w:val="en-US"/>
        </w:rPr>
        <w:tab/>
        <w:t xml:space="preserve"> </w:t>
      </w:r>
      <w:r w:rsidR="00B3297B" w:rsidRPr="00B3297B">
        <w:rPr>
          <w:noProof/>
          <w:lang w:val="en-US"/>
        </w:rPr>
        <w:t>R2-1900442</w:t>
      </w:r>
    </w:p>
    <w:bookmarkEnd w:id="0"/>
    <w:bookmarkEnd w:id="1"/>
    <w:p w:rsidR="002721DC" w:rsidRPr="0078591D" w:rsidRDefault="002721DC" w:rsidP="002721DC">
      <w:pPr>
        <w:pStyle w:val="3GPPHeader"/>
      </w:pPr>
      <w:r w:rsidRPr="0078591D">
        <w:rPr>
          <w:noProof/>
        </w:rPr>
        <w:t>Athens</w:t>
      </w:r>
      <w:r w:rsidRPr="0078591D">
        <w:rPr>
          <w:rFonts w:cs="Arial"/>
          <w:color w:val="000000"/>
          <w:kern w:val="2"/>
          <w:lang w:val="en-US"/>
        </w:rPr>
        <w:t>, Greece, 25 Feb - 1 Mar 2019</w:t>
      </w:r>
    </w:p>
    <w:p w:rsidR="002721DC" w:rsidRPr="0078591D" w:rsidRDefault="002721DC" w:rsidP="002721DC">
      <w:pPr>
        <w:tabs>
          <w:tab w:val="left" w:pos="1701"/>
          <w:tab w:val="right" w:pos="9639"/>
        </w:tabs>
        <w:spacing w:after="0"/>
        <w:rPr>
          <w:rFonts w:cs="Arial"/>
          <w:b/>
          <w:color w:val="000000"/>
          <w:kern w:val="2"/>
          <w:sz w:val="24"/>
        </w:rPr>
      </w:pPr>
    </w:p>
    <w:p w:rsidR="002721DC" w:rsidRPr="0078591D" w:rsidRDefault="002721DC" w:rsidP="002721DC">
      <w:pPr>
        <w:pStyle w:val="3GPPHeader"/>
        <w:rPr>
          <w:sz w:val="22"/>
          <w:szCs w:val="22"/>
        </w:rPr>
      </w:pPr>
      <w:r w:rsidRPr="0078591D">
        <w:rPr>
          <w:sz w:val="22"/>
          <w:szCs w:val="22"/>
        </w:rPr>
        <w:t>Agenda Item:</w:t>
      </w:r>
      <w:r w:rsidRPr="0078591D">
        <w:rPr>
          <w:sz w:val="22"/>
          <w:szCs w:val="22"/>
        </w:rPr>
        <w:tab/>
      </w:r>
      <w:r w:rsidR="00B3297B">
        <w:rPr>
          <w:sz w:val="22"/>
          <w:szCs w:val="22"/>
        </w:rPr>
        <w:t>11.10.4</w:t>
      </w:r>
    </w:p>
    <w:p w:rsidR="002721DC" w:rsidRPr="0078591D" w:rsidRDefault="002721DC" w:rsidP="002721DC">
      <w:pPr>
        <w:pStyle w:val="3GPPHeader"/>
        <w:rPr>
          <w:sz w:val="22"/>
          <w:szCs w:val="22"/>
        </w:rPr>
      </w:pPr>
      <w:r w:rsidRPr="0078591D">
        <w:rPr>
          <w:sz w:val="22"/>
          <w:szCs w:val="22"/>
        </w:rPr>
        <w:t>Source:</w:t>
      </w:r>
      <w:r w:rsidRPr="0078591D">
        <w:rPr>
          <w:sz w:val="22"/>
          <w:szCs w:val="22"/>
        </w:rPr>
        <w:tab/>
      </w:r>
      <w:r>
        <w:rPr>
          <w:sz w:val="22"/>
          <w:szCs w:val="22"/>
        </w:rPr>
        <w:t xml:space="preserve">Mediatek Inc. </w:t>
      </w:r>
    </w:p>
    <w:p w:rsidR="002721DC" w:rsidRPr="0078591D" w:rsidRDefault="002721DC" w:rsidP="00D26B25">
      <w:pPr>
        <w:pStyle w:val="3GPPHeader"/>
        <w:jc w:val="left"/>
        <w:rPr>
          <w:sz w:val="22"/>
          <w:szCs w:val="22"/>
        </w:rPr>
      </w:pPr>
      <w:r w:rsidRPr="0078591D">
        <w:rPr>
          <w:sz w:val="22"/>
          <w:szCs w:val="22"/>
        </w:rPr>
        <w:t>Title:</w:t>
      </w:r>
      <w:r w:rsidRPr="0078591D">
        <w:rPr>
          <w:sz w:val="22"/>
          <w:szCs w:val="22"/>
        </w:rPr>
        <w:tab/>
      </w:r>
      <w:r w:rsidR="00F5496B">
        <w:rPr>
          <w:sz w:val="22"/>
          <w:szCs w:val="22"/>
        </w:rPr>
        <w:t>Fast SCell Activation for Data Transmission</w:t>
      </w:r>
    </w:p>
    <w:p w:rsidR="002721DC" w:rsidRPr="00CE0424" w:rsidRDefault="002721DC" w:rsidP="002721DC">
      <w:pPr>
        <w:pStyle w:val="3GPPHeader"/>
        <w:rPr>
          <w:sz w:val="22"/>
          <w:szCs w:val="22"/>
        </w:rPr>
      </w:pPr>
      <w:r w:rsidRPr="0078591D">
        <w:rPr>
          <w:sz w:val="22"/>
          <w:szCs w:val="22"/>
        </w:rPr>
        <w:t>Document for:</w:t>
      </w:r>
      <w:r w:rsidRPr="0078591D">
        <w:rPr>
          <w:sz w:val="22"/>
          <w:szCs w:val="22"/>
        </w:rPr>
        <w:tab/>
        <w:t>Discussion, Decision</w:t>
      </w:r>
    </w:p>
    <w:p w:rsidR="002721DC" w:rsidRPr="00CE0424" w:rsidRDefault="002721DC" w:rsidP="002721DC"/>
    <w:p w:rsidR="002721DC" w:rsidRDefault="002721DC" w:rsidP="002721DC">
      <w:pPr>
        <w:pStyle w:val="Heading1"/>
      </w:pPr>
      <w:bookmarkStart w:id="2" w:name="_Ref488331639"/>
      <w:r w:rsidRPr="00CE0424">
        <w:t>Introduction</w:t>
      </w:r>
      <w:bookmarkEnd w:id="2"/>
    </w:p>
    <w:p w:rsidR="00893243" w:rsidRDefault="00893243" w:rsidP="00D3619B">
      <w:pPr>
        <w:spacing w:before="120"/>
        <w:rPr>
          <w:lang w:eastAsia="ko-KR"/>
        </w:rPr>
      </w:pPr>
      <w:r>
        <w:rPr>
          <w:lang w:eastAsia="ko-KR"/>
        </w:rPr>
        <w:t>In RAN#80 meeting, the Rel-16 work item of ‘</w:t>
      </w:r>
      <w:r w:rsidR="0084369E" w:rsidRPr="0084369E">
        <w:rPr>
          <w:lang w:eastAsia="ko-KR"/>
        </w:rPr>
        <w:t>DC and CA enhancements</w:t>
      </w:r>
      <w:r>
        <w:rPr>
          <w:lang w:eastAsia="ko-KR"/>
        </w:rPr>
        <w:t>’ was approved</w:t>
      </w:r>
      <w:r w:rsidR="0084369E">
        <w:rPr>
          <w:lang w:eastAsia="ko-KR"/>
        </w:rPr>
        <w:t>. One of the main objectives is</w:t>
      </w:r>
      <w:r>
        <w:rPr>
          <w:lang w:eastAsia="ko-KR"/>
        </w:rPr>
        <w:t>:</w:t>
      </w:r>
    </w:p>
    <w:tbl>
      <w:tblPr>
        <w:tblStyle w:val="TableGrid"/>
        <w:tblW w:w="0" w:type="auto"/>
        <w:tblLook w:val="04A0" w:firstRow="1" w:lastRow="0" w:firstColumn="1" w:lastColumn="0" w:noHBand="0" w:noVBand="1"/>
      </w:tblPr>
      <w:tblGrid>
        <w:gridCol w:w="8630"/>
      </w:tblGrid>
      <w:tr w:rsidR="00893243" w:rsidTr="00893243">
        <w:tc>
          <w:tcPr>
            <w:tcW w:w="8630" w:type="dxa"/>
          </w:tcPr>
          <w:p w:rsidR="00F5496B" w:rsidRDefault="00F5496B" w:rsidP="00F5496B">
            <w:pPr>
              <w:spacing w:after="0"/>
              <w:rPr>
                <w:bCs/>
                <w:lang w:val="en-US"/>
              </w:rPr>
            </w:pPr>
            <w:r w:rsidRPr="004D2E54">
              <w:rPr>
                <w:b/>
                <w:bCs/>
                <w:lang w:val="en-US"/>
              </w:rPr>
              <w:t>Efficient and low latency serving cell configuration/activation/setup:</w:t>
            </w:r>
            <w:r w:rsidRPr="004D2E54">
              <w:rPr>
                <w:bCs/>
                <w:lang w:val="en-US"/>
              </w:rPr>
              <w:t xml:space="preserve"> Minimizing signalling overhead and latency needed for initial cell setup, additional cell setup and additional cell activation for data transmission.</w:t>
            </w:r>
            <w:r>
              <w:rPr>
                <w:bCs/>
                <w:lang w:val="en-US"/>
              </w:rPr>
              <w:t xml:space="preserve"> [RAN2, RAN1, RAN4, RAN3]</w:t>
            </w:r>
          </w:p>
          <w:p w:rsidR="00F5496B" w:rsidRDefault="00F5496B" w:rsidP="00F5496B">
            <w:pPr>
              <w:numPr>
                <w:ilvl w:val="1"/>
                <w:numId w:val="7"/>
              </w:numPr>
              <w:spacing w:after="0"/>
              <w:rPr>
                <w:bCs/>
                <w:lang w:val="en-US"/>
              </w:rPr>
            </w:pPr>
            <w:r>
              <w:rPr>
                <w:bCs/>
                <w:lang w:val="en-US"/>
              </w:rPr>
              <w:t>This objective applies to MR-DC, NR-NR DC and CA</w:t>
            </w:r>
          </w:p>
          <w:p w:rsidR="00F5496B" w:rsidRDefault="00F5496B" w:rsidP="00F5496B">
            <w:pPr>
              <w:numPr>
                <w:ilvl w:val="1"/>
                <w:numId w:val="7"/>
              </w:numPr>
              <w:spacing w:after="0"/>
              <w:rPr>
                <w:bCs/>
                <w:lang w:val="en-US"/>
              </w:rPr>
            </w:pPr>
            <w:r>
              <w:rPr>
                <w:bCs/>
                <w:lang w:val="en-US"/>
              </w:rPr>
              <w:t>The objective should consider enhancements when starting from IDLE, INACTIVE mode and CONNECTED mode</w:t>
            </w:r>
          </w:p>
          <w:p w:rsidR="00893243" w:rsidRPr="0084369E" w:rsidRDefault="0084369E" w:rsidP="0084369E">
            <w:pPr>
              <w:tabs>
                <w:tab w:val="num" w:pos="2160"/>
              </w:tabs>
              <w:spacing w:after="0"/>
              <w:rPr>
                <w:bCs/>
                <w:lang w:val="en-US"/>
              </w:rPr>
            </w:pPr>
            <w:r w:rsidRPr="0084369E">
              <w:rPr>
                <w:bCs/>
                <w:lang w:val="en-US"/>
              </w:rPr>
              <w:t>The work on objective 2 and 3 should consider UEs in all states (i.e. IDLE, INACTIVE and CONNECTED).</w:t>
            </w:r>
            <w:r>
              <w:rPr>
                <w:bCs/>
                <w:lang w:val="en-US"/>
              </w:rPr>
              <w:t xml:space="preserve"> </w:t>
            </w:r>
          </w:p>
        </w:tc>
      </w:tr>
    </w:tbl>
    <w:p w:rsidR="00C35FD6" w:rsidRDefault="00D26B25" w:rsidP="00D3619B">
      <w:pPr>
        <w:spacing w:before="120"/>
      </w:pPr>
      <w:r>
        <w:rPr>
          <w:lang w:eastAsia="ko-KR"/>
        </w:rPr>
        <w:t xml:space="preserve">In this contribution, we analyse the latency for </w:t>
      </w:r>
      <w:r w:rsidR="00D92E3C">
        <w:rPr>
          <w:lang w:eastAsia="ko-KR"/>
        </w:rPr>
        <w:t xml:space="preserve">SCell activation </w:t>
      </w:r>
      <w:r w:rsidR="00D3619B">
        <w:rPr>
          <w:lang w:eastAsia="ko-KR"/>
        </w:rPr>
        <w:t>in NR and discuss the applicability of the</w:t>
      </w:r>
      <w:r w:rsidR="00D92E3C">
        <w:rPr>
          <w:lang w:eastAsia="ko-KR"/>
        </w:rPr>
        <w:t xml:space="preserve"> solutions for LTE Rel-15 euCA to enable fast SCell activation for data transmission. </w:t>
      </w:r>
    </w:p>
    <w:p w:rsidR="00B2151C" w:rsidRDefault="00B2151C" w:rsidP="00B2151C">
      <w:pPr>
        <w:pStyle w:val="Heading1"/>
        <w:jc w:val="both"/>
      </w:pPr>
      <w:bookmarkStart w:id="3" w:name="_Ref178064866"/>
      <w:r w:rsidRPr="00CE0424">
        <w:t>Discussion</w:t>
      </w:r>
      <w:bookmarkEnd w:id="3"/>
    </w:p>
    <w:p w:rsidR="00B23BBD" w:rsidRPr="00B23BBD" w:rsidRDefault="00B23BBD" w:rsidP="00B23BBD">
      <w:pPr>
        <w:pStyle w:val="Heading2"/>
        <w:keepLines w:val="0"/>
        <w:spacing w:before="240" w:after="60"/>
        <w:ind w:left="432" w:hanging="432"/>
        <w:rPr>
          <w:rFonts w:eastAsia="Malgun Gothic" w:cs="Arial"/>
          <w:bCs/>
          <w:iCs/>
          <w:sz w:val="28"/>
          <w:szCs w:val="28"/>
          <w:lang w:val="en-US"/>
        </w:rPr>
      </w:pPr>
      <w:r w:rsidRPr="00B23BBD">
        <w:rPr>
          <w:rFonts w:eastAsia="Malgun Gothic" w:cs="Arial"/>
          <w:bCs/>
          <w:iCs/>
          <w:sz w:val="28"/>
          <w:szCs w:val="28"/>
          <w:lang w:val="en-US"/>
        </w:rPr>
        <w:t xml:space="preserve">2.1 </w:t>
      </w:r>
      <w:r w:rsidR="00D92E3C">
        <w:rPr>
          <w:rFonts w:eastAsia="Malgun Gothic" w:cs="Arial"/>
          <w:bCs/>
          <w:iCs/>
          <w:sz w:val="28"/>
          <w:szCs w:val="28"/>
          <w:lang w:val="en-US"/>
        </w:rPr>
        <w:t>SCell Activation</w:t>
      </w:r>
      <w:r w:rsidR="003E258F">
        <w:rPr>
          <w:rFonts w:eastAsia="Malgun Gothic" w:cs="Arial"/>
          <w:bCs/>
          <w:iCs/>
          <w:sz w:val="28"/>
          <w:szCs w:val="28"/>
          <w:lang w:val="en-US"/>
        </w:rPr>
        <w:t xml:space="preserve"> Latency</w:t>
      </w:r>
    </w:p>
    <w:p w:rsidR="00D1318D" w:rsidRDefault="00D92E3C" w:rsidP="00A7264B">
      <w:pPr>
        <w:spacing w:before="120"/>
        <w:rPr>
          <w:lang w:eastAsia="ko-KR"/>
        </w:rPr>
      </w:pPr>
      <w:r>
        <w:rPr>
          <w:lang w:eastAsia="ko-KR"/>
        </w:rPr>
        <w:t>The overall</w:t>
      </w:r>
      <w:r w:rsidR="00D3619B">
        <w:rPr>
          <w:lang w:eastAsia="ko-KR"/>
        </w:rPr>
        <w:t xml:space="preserve"> procedures for setting up</w:t>
      </w:r>
      <w:r w:rsidR="009259C9">
        <w:rPr>
          <w:lang w:eastAsia="ko-KR"/>
        </w:rPr>
        <w:t xml:space="preserve"> MR-DC</w:t>
      </w:r>
      <w:r>
        <w:rPr>
          <w:lang w:eastAsia="ko-KR"/>
        </w:rPr>
        <w:t xml:space="preserve"> and CA is illustrated in our accompanied contribution [1]</w:t>
      </w:r>
      <w:r w:rsidR="00C6373E">
        <w:rPr>
          <w:lang w:eastAsia="ko-KR"/>
        </w:rPr>
        <w:t>.</w:t>
      </w:r>
      <w:r w:rsidR="00D1318D">
        <w:rPr>
          <w:lang w:eastAsia="ko-KR"/>
        </w:rPr>
        <w:t xml:space="preserve"> The SCell activation timeline </w:t>
      </w:r>
      <w:r w:rsidR="00C6373E">
        <w:rPr>
          <w:lang w:eastAsia="ko-KR"/>
        </w:rPr>
        <w:t xml:space="preserve">is illustrated in Figure 1. The procedures from IDLE/INACTIVE to CONNECTED transition to the RRC reconfiguration procedure with measurement configuration are not shown. Figure 1 show the delay starting </w:t>
      </w:r>
      <w:r w:rsidR="00D1318D">
        <w:rPr>
          <w:lang w:eastAsia="ko-KR"/>
        </w:rPr>
        <w:t xml:space="preserve">from initial MR-DC/CA </w:t>
      </w:r>
      <w:r w:rsidR="00C6373E">
        <w:rPr>
          <w:lang w:eastAsia="ko-KR"/>
        </w:rPr>
        <w:t>setup.</w:t>
      </w:r>
    </w:p>
    <w:p w:rsidR="00A7264B" w:rsidRDefault="003E258F" w:rsidP="00A7264B">
      <w:pPr>
        <w:jc w:val="center"/>
      </w:pPr>
      <w:r>
        <w:object w:dxaOrig="12264" w:dyaOrig="24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1.55pt;height:87pt" o:ole="">
            <v:imagedata r:id="rId7" o:title=""/>
          </v:shape>
          <o:OLEObject Type="Embed" ProgID="Visio.Drawing.15" ShapeID="_x0000_i1025" DrawAspect="Content" ObjectID="_1611676854" r:id="rId8"/>
        </w:object>
      </w:r>
    </w:p>
    <w:p w:rsidR="00A7264B" w:rsidRDefault="00A7264B" w:rsidP="00A7264B">
      <w:pPr>
        <w:jc w:val="center"/>
        <w:rPr>
          <w:lang w:eastAsia="ko-KR"/>
        </w:rPr>
      </w:pPr>
      <w:r>
        <w:t>Figure 1 SCell Activation Latency</w:t>
      </w:r>
    </w:p>
    <w:p w:rsidR="00F051E2" w:rsidRDefault="00C6373E" w:rsidP="00AF1A5D">
      <w:pPr>
        <w:spacing w:before="120" w:line="276" w:lineRule="auto"/>
      </w:pPr>
      <w:r>
        <w:t xml:space="preserve">Usually, </w:t>
      </w:r>
      <w:r w:rsidR="00AF1A5D">
        <w:t xml:space="preserve">SCG </w:t>
      </w:r>
      <w:r w:rsidR="00AF1A5D">
        <w:rPr>
          <w:rFonts w:hint="eastAsia"/>
        </w:rPr>
        <w:t xml:space="preserve">or SCells </w:t>
      </w:r>
      <w:r w:rsidR="00AF1A5D">
        <w:t>are configured</w:t>
      </w:r>
      <w:r w:rsidR="00D1318D" w:rsidRPr="009F1FB9">
        <w:t xml:space="preserve"> </w:t>
      </w:r>
      <w:r w:rsidR="00AF1A5D">
        <w:t>by the network based on the measurement reports provided by the UE</w:t>
      </w:r>
      <w:r>
        <w:t xml:space="preserve"> through RRC Reconfiguration procedure</w:t>
      </w:r>
      <w:r w:rsidR="00AF1A5D">
        <w:t xml:space="preserve">. </w:t>
      </w:r>
      <w:r w:rsidR="00D1318D" w:rsidRPr="009F1FB9">
        <w:t xml:space="preserve"> </w:t>
      </w:r>
      <w:r>
        <w:t>After</w:t>
      </w:r>
      <w:r w:rsidR="00D1318D" w:rsidRPr="009F1FB9">
        <w:t xml:space="preserve"> UE SCell is configured,</w:t>
      </w:r>
      <w:r>
        <w:t xml:space="preserve"> the SCells will be activated</w:t>
      </w:r>
      <w:r w:rsidR="00F051E2">
        <w:t xml:space="preserve"> through MAC-CE. Typically, the measurement reports for the SCells are required to help the network make decide to activate the </w:t>
      </w:r>
      <w:r w:rsidR="00570057">
        <w:t>SCells. The overall latency comprises of:</w:t>
      </w:r>
    </w:p>
    <w:p w:rsidR="00570057" w:rsidRDefault="00570057" w:rsidP="00546F2F">
      <w:pPr>
        <w:pStyle w:val="ListParagraph"/>
        <w:numPr>
          <w:ilvl w:val="0"/>
          <w:numId w:val="12"/>
        </w:numPr>
        <w:spacing w:before="120" w:line="276" w:lineRule="auto"/>
      </w:pPr>
      <w:r>
        <w:lastRenderedPageBreak/>
        <w:t xml:space="preserve">RRC processing delay for the </w:t>
      </w:r>
      <w:r w:rsidRPr="00546F2F">
        <w:rPr>
          <w:i/>
        </w:rPr>
        <w:t>RRCReconfiguration</w:t>
      </w:r>
      <w:r>
        <w:t xml:space="preserve"> message;</w:t>
      </w:r>
    </w:p>
    <w:p w:rsidR="003E258F" w:rsidRDefault="003E258F" w:rsidP="00546F2F">
      <w:pPr>
        <w:pStyle w:val="ListParagraph"/>
        <w:numPr>
          <w:ilvl w:val="0"/>
          <w:numId w:val="12"/>
        </w:numPr>
        <w:spacing w:before="120" w:line="276" w:lineRule="auto"/>
      </w:pPr>
      <w:r>
        <w:t>The time period waiting for SCell activation MAC CE</w:t>
      </w:r>
    </w:p>
    <w:p w:rsidR="00546F2F" w:rsidRDefault="00546F2F" w:rsidP="00546F2F">
      <w:pPr>
        <w:pStyle w:val="ListParagraph"/>
        <w:numPr>
          <w:ilvl w:val="0"/>
          <w:numId w:val="12"/>
        </w:numPr>
        <w:spacing w:before="120" w:line="276" w:lineRule="auto"/>
      </w:pPr>
      <w:r>
        <w:t xml:space="preserve">SCell activation delay as specified in TS38.133 [2], which starts from receiving MAC CE for activation and until UE transmits valid CSI report and applies actions related to the activated SCell.  </w:t>
      </w:r>
    </w:p>
    <w:p w:rsidR="00334F12" w:rsidRDefault="003E258F" w:rsidP="00AF1A5D">
      <w:pPr>
        <w:spacing w:before="120" w:line="276" w:lineRule="auto"/>
      </w:pPr>
      <w:r>
        <w:t xml:space="preserve">In NR, the RRC processing delay for </w:t>
      </w:r>
      <w:r w:rsidRPr="003E258F">
        <w:rPr>
          <w:i/>
        </w:rPr>
        <w:t>RRCReconfiguration</w:t>
      </w:r>
      <w:r>
        <w:t xml:space="preserve"> with SCell addition/release is 16ms. </w:t>
      </w:r>
    </w:p>
    <w:p w:rsidR="00334F12" w:rsidRDefault="003E258F" w:rsidP="00AF1A5D">
      <w:pPr>
        <w:spacing w:before="120" w:line="276" w:lineRule="auto"/>
      </w:pPr>
      <w:r>
        <w:t>T</w:t>
      </w:r>
      <w:r w:rsidR="00546F2F">
        <w:t xml:space="preserve">he SCell activation delay </w:t>
      </w:r>
      <w:r w:rsidR="00807A5E">
        <w:t xml:space="preserve">includes </w:t>
      </w:r>
      <w:r w:rsidR="00334F12">
        <w:t>following elements:</w:t>
      </w:r>
    </w:p>
    <w:p w:rsidR="00334F12" w:rsidRDefault="00807A5E" w:rsidP="00334F12">
      <w:pPr>
        <w:pStyle w:val="ListParagraph"/>
        <w:numPr>
          <w:ilvl w:val="0"/>
          <w:numId w:val="15"/>
        </w:numPr>
        <w:spacing w:before="120" w:line="276" w:lineRule="auto"/>
      </w:pPr>
      <w:r>
        <w:t>delay for MAC CE decoding (</w:t>
      </w:r>
      <w:r w:rsidRPr="003445FB">
        <w:t>T</w:t>
      </w:r>
      <w:r w:rsidRPr="00334F12">
        <w:rPr>
          <w:vertAlign w:val="subscript"/>
        </w:rPr>
        <w:t>HARQ</w:t>
      </w:r>
      <w:r>
        <w:t xml:space="preserve">), </w:t>
      </w:r>
    </w:p>
    <w:p w:rsidR="00334F12" w:rsidRDefault="00807A5E" w:rsidP="00334F12">
      <w:pPr>
        <w:pStyle w:val="ListParagraph"/>
        <w:numPr>
          <w:ilvl w:val="0"/>
          <w:numId w:val="15"/>
        </w:numPr>
        <w:spacing w:before="120" w:line="276" w:lineRule="auto"/>
      </w:pPr>
      <w:r>
        <w:t>SCell activation delay (</w:t>
      </w:r>
      <w:r w:rsidRPr="003445FB">
        <w:t>T</w:t>
      </w:r>
      <w:r w:rsidRPr="00334F12">
        <w:rPr>
          <w:vertAlign w:val="subscript"/>
        </w:rPr>
        <w:t>activation_time</w:t>
      </w:r>
      <w:r w:rsidR="00334F12">
        <w:t xml:space="preserve">): It </w:t>
      </w:r>
      <w:r w:rsidR="00334F12">
        <w:t>consists of the time duration for RF preparation, ACG tuning, cell search, fine time tracking as well as the extra margin for post-processing.</w:t>
      </w:r>
    </w:p>
    <w:p w:rsidR="00334F12" w:rsidRDefault="00807A5E" w:rsidP="00334F12">
      <w:pPr>
        <w:pStyle w:val="ListParagraph"/>
        <w:numPr>
          <w:ilvl w:val="0"/>
          <w:numId w:val="15"/>
        </w:numPr>
        <w:spacing w:before="120" w:line="276" w:lineRule="auto"/>
      </w:pPr>
      <w:r>
        <w:t>CSI reporting delay (</w:t>
      </w:r>
      <w:r w:rsidRPr="003445FB">
        <w:t>T</w:t>
      </w:r>
      <w:r w:rsidRPr="00334F12">
        <w:rPr>
          <w:vertAlign w:val="subscript"/>
        </w:rPr>
        <w:t>CSI_reporting</w:t>
      </w:r>
      <w:r>
        <w:t xml:space="preserve">). </w:t>
      </w:r>
    </w:p>
    <w:p w:rsidR="00334F12" w:rsidRDefault="0026095B" w:rsidP="00AF1A5D">
      <w:pPr>
        <w:spacing w:before="120" w:line="276" w:lineRule="auto"/>
      </w:pPr>
      <w:r>
        <w:t xml:space="preserve">In NR, the SCell activation delay is mainly determined by N times of SMTC periodicity. For FR1, N equals to 1 or 2 for the cases that the SCell is known and unknown respectively. For FR2, N has not been </w:t>
      </w:r>
      <w:r w:rsidR="00066121">
        <w:t xml:space="preserve">completely </w:t>
      </w:r>
      <w:r>
        <w:t xml:space="preserve">decided </w:t>
      </w:r>
      <w:r w:rsidR="00066121">
        <w:t>for all cases</w:t>
      </w:r>
      <w:r>
        <w:t>. CSI reporting delay mainly consider the time duration for CSI</w:t>
      </w:r>
      <w:r w:rsidR="00186E80">
        <w:t xml:space="preserve"> measurement, processing and waiting for the first available UL </w:t>
      </w:r>
      <w:r w:rsidR="00066121">
        <w:t xml:space="preserve">resource. </w:t>
      </w:r>
    </w:p>
    <w:p w:rsidR="00546F2F" w:rsidRDefault="00066121" w:rsidP="00AF1A5D">
      <w:pPr>
        <w:spacing w:before="120" w:line="276" w:lineRule="auto"/>
      </w:pPr>
      <w:r>
        <w:t>In LTE the SCell activation delay is fixed, which is 24ms or 34ms depending on whether the prior SCell measurements are not available or not. In NR, the SCell activation delay is variable, determined by SMTC periodicity, FR1 or FR2, as well as the different scenarios, which can be</w:t>
      </w:r>
      <w:r w:rsidR="00BA78D8">
        <w:t xml:space="preserve"> </w:t>
      </w:r>
      <w:r>
        <w:t>much longer than the delay in LTE.</w:t>
      </w:r>
      <w:r w:rsidR="00BA78D8">
        <w:t xml:space="preserve"> Taking FR1 with SMTC periodicity of 20ms as example, if the SCell is known, the SCell activation delay can be as long as 85ms. </w:t>
      </w:r>
    </w:p>
    <w:p w:rsidR="003E258F" w:rsidRDefault="00066121" w:rsidP="00AF1A5D">
      <w:pPr>
        <w:spacing w:before="120" w:line="276" w:lineRule="auto"/>
        <w:rPr>
          <w:b/>
        </w:rPr>
      </w:pPr>
      <w:r w:rsidRPr="00BA78D8">
        <w:rPr>
          <w:b/>
        </w:rPr>
        <w:t xml:space="preserve">Observation 1: </w:t>
      </w:r>
      <w:r w:rsidR="003E258F">
        <w:rPr>
          <w:b/>
        </w:rPr>
        <w:t xml:space="preserve">In NR, the RRC processing delay for </w:t>
      </w:r>
      <w:r w:rsidR="003E258F" w:rsidRPr="003E258F">
        <w:rPr>
          <w:b/>
          <w:i/>
        </w:rPr>
        <w:t>RRCReconfiguration</w:t>
      </w:r>
      <w:r w:rsidR="003E258F">
        <w:rPr>
          <w:b/>
        </w:rPr>
        <w:t xml:space="preserve"> with SCell addition/release is 16ms. </w:t>
      </w:r>
    </w:p>
    <w:p w:rsidR="00066121" w:rsidRPr="00BA78D8" w:rsidRDefault="003E258F" w:rsidP="00AF1A5D">
      <w:pPr>
        <w:spacing w:before="120" w:line="276" w:lineRule="auto"/>
        <w:rPr>
          <w:b/>
        </w:rPr>
      </w:pPr>
      <w:r>
        <w:rPr>
          <w:b/>
        </w:rPr>
        <w:t>Observation 2:  In NR, t</w:t>
      </w:r>
      <w:r w:rsidR="00066121" w:rsidRPr="00BA78D8">
        <w:rPr>
          <w:b/>
        </w:rPr>
        <w:t xml:space="preserve">he SCell activation delay </w:t>
      </w:r>
      <w:r w:rsidR="00BA78D8" w:rsidRPr="00BA78D8">
        <w:rPr>
          <w:b/>
        </w:rPr>
        <w:t xml:space="preserve">is variable and can be much longer than the delay in LTE. </w:t>
      </w:r>
    </w:p>
    <w:p w:rsidR="003E258F" w:rsidRDefault="003E258F" w:rsidP="003E258F">
      <w:pPr>
        <w:pStyle w:val="Heading2"/>
        <w:keepLines w:val="0"/>
        <w:spacing w:before="240" w:after="60"/>
        <w:ind w:left="432" w:hanging="432"/>
      </w:pPr>
      <w:r w:rsidRPr="00B23BBD">
        <w:rPr>
          <w:rFonts w:eastAsia="Malgun Gothic" w:cs="Arial"/>
          <w:bCs/>
          <w:iCs/>
          <w:sz w:val="28"/>
          <w:szCs w:val="28"/>
          <w:lang w:val="en-US"/>
        </w:rPr>
        <w:t>2.</w:t>
      </w:r>
      <w:r>
        <w:rPr>
          <w:rFonts w:eastAsia="Malgun Gothic" w:cs="Arial"/>
          <w:bCs/>
          <w:iCs/>
          <w:sz w:val="28"/>
          <w:szCs w:val="28"/>
          <w:lang w:val="en-US"/>
        </w:rPr>
        <w:t>2</w:t>
      </w:r>
      <w:r w:rsidRPr="00B23BBD">
        <w:rPr>
          <w:rFonts w:eastAsia="Malgun Gothic" w:cs="Arial"/>
          <w:bCs/>
          <w:iCs/>
          <w:sz w:val="28"/>
          <w:szCs w:val="28"/>
          <w:lang w:val="en-US"/>
        </w:rPr>
        <w:t xml:space="preserve"> </w:t>
      </w:r>
      <w:r>
        <w:t>SCell Activation at SCell Configuration</w:t>
      </w:r>
    </w:p>
    <w:p w:rsidR="007F7D52" w:rsidRDefault="000308D8" w:rsidP="00E54F12">
      <w:pPr>
        <w:spacing w:before="120" w:line="276" w:lineRule="auto"/>
      </w:pPr>
      <w:r>
        <w:t>In LTE euCA, c</w:t>
      </w:r>
      <w:r w:rsidR="00AC0013" w:rsidRPr="000308D8">
        <w:t xml:space="preserve">onfiguring SCell directly in activated/deactivated state </w:t>
      </w:r>
      <w:r>
        <w:t>is supported, which allows</w:t>
      </w:r>
      <w:r w:rsidR="00AC0013" w:rsidRPr="000308D8">
        <w:t xml:space="preserve"> direct SCell activation in any occasion when deactivated SCell can be (re)configured.</w:t>
      </w:r>
      <w:r w:rsidR="00DE238E">
        <w:t xml:space="preserve"> In NR, the SCell is considered</w:t>
      </w:r>
      <w:r w:rsidR="00DE238E" w:rsidRPr="00645E3C">
        <w:t xml:space="preserve"> to be in deactivated </w:t>
      </w:r>
      <w:r w:rsidR="00DE238E">
        <w:t xml:space="preserve">when it is </w:t>
      </w:r>
      <w:r w:rsidR="00E54F12">
        <w:t xml:space="preserve">configured. </w:t>
      </w:r>
      <w:r w:rsidR="00334F12">
        <w:t>D</w:t>
      </w:r>
      <w:r>
        <w:t xml:space="preserve">irect SCell activation </w:t>
      </w:r>
      <w:r w:rsidR="00E54F12">
        <w:t>in</w:t>
      </w:r>
      <w:r>
        <w:t xml:space="preserve"> SCell configuration can help to </w:t>
      </w:r>
      <w:r w:rsidR="00E54F12">
        <w:t>speed up the activation</w:t>
      </w:r>
      <w:r w:rsidR="002741A3">
        <w:t xml:space="preserve"> for data transmission</w:t>
      </w:r>
      <w:r w:rsidR="00E54F12">
        <w:t xml:space="preserve">. </w:t>
      </w:r>
      <w:r w:rsidR="002741A3">
        <w:t>So t</w:t>
      </w:r>
      <w:r w:rsidR="00E54F12">
        <w:t xml:space="preserve">he latency of waiting for MAC CE and the HARQ processing delay for the MAC CE can be saved. </w:t>
      </w:r>
      <w:r w:rsidR="002741A3">
        <w:t xml:space="preserve">When a SCell is configured, the activated/deactivated state can be indicated. </w:t>
      </w:r>
    </w:p>
    <w:p w:rsidR="00E54F12" w:rsidRPr="002741A3" w:rsidRDefault="00E54F12" w:rsidP="00E54F12">
      <w:pPr>
        <w:spacing w:before="120" w:line="276" w:lineRule="auto"/>
        <w:rPr>
          <w:b/>
        </w:rPr>
      </w:pPr>
      <w:r w:rsidRPr="002741A3">
        <w:rPr>
          <w:b/>
        </w:rPr>
        <w:t xml:space="preserve">Observation 3: Direct SCell activation in SCell configuration can help to reduce the </w:t>
      </w:r>
      <w:r w:rsidR="002741A3" w:rsidRPr="002741A3">
        <w:rPr>
          <w:b/>
        </w:rPr>
        <w:t xml:space="preserve">overall SCell </w:t>
      </w:r>
      <w:r w:rsidR="00334F12">
        <w:rPr>
          <w:b/>
        </w:rPr>
        <w:t>activation latency</w:t>
      </w:r>
      <w:r w:rsidR="002741A3" w:rsidRPr="002741A3">
        <w:rPr>
          <w:b/>
        </w:rPr>
        <w:t xml:space="preserve">. </w:t>
      </w:r>
    </w:p>
    <w:p w:rsidR="002741A3" w:rsidRPr="002741A3" w:rsidRDefault="002741A3" w:rsidP="00E54F12">
      <w:pPr>
        <w:spacing w:before="120" w:line="276" w:lineRule="auto"/>
        <w:rPr>
          <w:b/>
        </w:rPr>
      </w:pPr>
      <w:r w:rsidRPr="002741A3">
        <w:rPr>
          <w:b/>
        </w:rPr>
        <w:t>Proposal 1</w:t>
      </w:r>
      <w:r w:rsidRPr="002741A3">
        <w:rPr>
          <w:rFonts w:hint="eastAsia"/>
          <w:b/>
        </w:rPr>
        <w:t>:</w:t>
      </w:r>
      <w:r>
        <w:rPr>
          <w:b/>
        </w:rPr>
        <w:t xml:space="preserve"> </w:t>
      </w:r>
      <w:r w:rsidR="0028040A">
        <w:rPr>
          <w:b/>
        </w:rPr>
        <w:t>Indicate</w:t>
      </w:r>
      <w:r>
        <w:rPr>
          <w:b/>
        </w:rPr>
        <w:t xml:space="preserve"> SCell directly in activated/deactivated state when a SCell is (re)configured. </w:t>
      </w:r>
    </w:p>
    <w:p w:rsidR="007B02E7" w:rsidRPr="00FE55D9" w:rsidRDefault="000F7C30" w:rsidP="007B02E7">
      <w:pPr>
        <w:spacing w:before="120" w:line="276" w:lineRule="auto"/>
      </w:pPr>
      <w:r>
        <w:t xml:space="preserve">If SCell can be activated directly in SCell configuration, the timing when UE is able to use the activated SCell should be clarified. It relates to both the RRC processing delay and the RAN4 requirement for SCell activation delay. In LTE euCA, </w:t>
      </w:r>
      <w:r w:rsidRPr="007B02E7">
        <w:t xml:space="preserve">if the RRC configures the SCell with activation state in TTI n, UE considers the SCell is in activated state in n+20, i.e. after RRC processing delay. </w:t>
      </w:r>
      <w:r w:rsidR="007B02E7" w:rsidRPr="007B02E7">
        <w:t xml:space="preserve">In NR, </w:t>
      </w:r>
      <w:r w:rsidR="008F298B" w:rsidRPr="007B02E7">
        <w:t>RAN4 performance requirements for “configuring activated SCell”</w:t>
      </w:r>
      <w:r w:rsidR="007B02E7" w:rsidRPr="007B02E7">
        <w:t xml:space="preserve"> may be needed. </w:t>
      </w:r>
      <w:r w:rsidR="007B02E7">
        <w:t xml:space="preserve">Since the HARQ processing for Activation MAC CE is omitted, </w:t>
      </w:r>
      <w:r w:rsidR="0028040A" w:rsidRPr="003445FB">
        <w:t>T</w:t>
      </w:r>
      <w:r w:rsidR="0028040A" w:rsidRPr="003445FB">
        <w:rPr>
          <w:vertAlign w:val="subscript"/>
        </w:rPr>
        <w:t>HARQ</w:t>
      </w:r>
      <w:r w:rsidR="0028040A">
        <w:t xml:space="preserve"> in </w:t>
      </w:r>
      <w:r w:rsidR="007B02E7">
        <w:t xml:space="preserve">Scell activation delay </w:t>
      </w:r>
      <w:r w:rsidR="0028040A">
        <w:t xml:space="preserve">can be replaced by </w:t>
      </w:r>
      <w:r w:rsidR="0028040A" w:rsidRPr="003445FB">
        <w:rPr>
          <w:lang w:val="en-US"/>
        </w:rPr>
        <w:t>T</w:t>
      </w:r>
      <w:r w:rsidR="0028040A" w:rsidRPr="003445FB">
        <w:rPr>
          <w:vertAlign w:val="subscript"/>
          <w:lang w:val="en-US"/>
        </w:rPr>
        <w:t>RRCprocessingDelay</w:t>
      </w:r>
      <w:r w:rsidR="00FE55D9">
        <w:rPr>
          <w:vertAlign w:val="subscript"/>
          <w:lang w:val="en-US"/>
        </w:rPr>
        <w:t xml:space="preserve">. </w:t>
      </w:r>
      <w:r w:rsidR="00FE55D9" w:rsidRPr="00FE55D9">
        <w:t xml:space="preserve">This should be confirmed by RAN4. </w:t>
      </w:r>
    </w:p>
    <w:p w:rsidR="00FE55D9" w:rsidRPr="00FE55D9" w:rsidRDefault="00FE55D9" w:rsidP="007B02E7">
      <w:pPr>
        <w:spacing w:before="120" w:line="276" w:lineRule="auto"/>
        <w:rPr>
          <w:b/>
        </w:rPr>
      </w:pPr>
      <w:r w:rsidRPr="00FE55D9">
        <w:rPr>
          <w:b/>
        </w:rPr>
        <w:lastRenderedPageBreak/>
        <w:t xml:space="preserve">Proposal 2: Send LS to RAN4 to confirm that SCell activation delay by RRC configuration message is </w:t>
      </w:r>
      <w:r w:rsidRPr="00FE55D9">
        <w:rPr>
          <w:b/>
          <w:lang w:val="en-US"/>
        </w:rPr>
        <w:t>T</w:t>
      </w:r>
      <w:r w:rsidRPr="00FE55D9">
        <w:rPr>
          <w:b/>
          <w:vertAlign w:val="subscript"/>
          <w:lang w:val="en-US"/>
        </w:rPr>
        <w:t>RRCprocessingDelay</w:t>
      </w:r>
      <w:r w:rsidRPr="00FE55D9">
        <w:rPr>
          <w:b/>
        </w:rPr>
        <w:t>+ T</w:t>
      </w:r>
      <w:r w:rsidRPr="00FE55D9">
        <w:rPr>
          <w:b/>
          <w:vertAlign w:val="subscript"/>
        </w:rPr>
        <w:t>activation_time</w:t>
      </w:r>
      <w:r w:rsidRPr="00FE55D9">
        <w:rPr>
          <w:b/>
        </w:rPr>
        <w:t xml:space="preserve"> + T</w:t>
      </w:r>
      <w:r w:rsidRPr="00FE55D9">
        <w:rPr>
          <w:b/>
          <w:vertAlign w:val="subscript"/>
        </w:rPr>
        <w:t>CSI_Reporting.</w:t>
      </w:r>
    </w:p>
    <w:p w:rsidR="00FE55D9" w:rsidRDefault="00FE55D9" w:rsidP="00FE55D9">
      <w:pPr>
        <w:pStyle w:val="Heading2"/>
        <w:keepLines w:val="0"/>
        <w:spacing w:before="240" w:after="60"/>
        <w:ind w:left="432" w:hanging="432"/>
        <w:rPr>
          <w:rFonts w:eastAsia="Malgun Gothic" w:cs="Arial"/>
          <w:bCs/>
          <w:iCs/>
          <w:sz w:val="28"/>
          <w:szCs w:val="28"/>
          <w:lang w:val="en-US"/>
        </w:rPr>
      </w:pPr>
      <w:r w:rsidRPr="00B23BBD">
        <w:rPr>
          <w:rFonts w:eastAsia="Malgun Gothic" w:cs="Arial"/>
          <w:bCs/>
          <w:iCs/>
          <w:sz w:val="28"/>
          <w:szCs w:val="28"/>
          <w:lang w:val="en-US"/>
        </w:rPr>
        <w:t>2.</w:t>
      </w:r>
      <w:r>
        <w:rPr>
          <w:rFonts w:eastAsia="Malgun Gothic" w:cs="Arial"/>
          <w:bCs/>
          <w:iCs/>
          <w:sz w:val="28"/>
          <w:szCs w:val="28"/>
          <w:lang w:val="en-US"/>
        </w:rPr>
        <w:t>3</w:t>
      </w:r>
      <w:r w:rsidRPr="00B23BBD">
        <w:rPr>
          <w:rFonts w:eastAsia="Malgun Gothic" w:cs="Arial"/>
          <w:bCs/>
          <w:iCs/>
          <w:sz w:val="28"/>
          <w:szCs w:val="28"/>
          <w:lang w:val="en-US"/>
        </w:rPr>
        <w:t xml:space="preserve"> </w:t>
      </w:r>
      <w:r w:rsidR="007A53CC">
        <w:rPr>
          <w:rFonts w:eastAsia="Malgun Gothic" w:cs="Arial"/>
          <w:bCs/>
          <w:iCs/>
          <w:sz w:val="28"/>
          <w:szCs w:val="28"/>
          <w:lang w:val="en-US"/>
        </w:rPr>
        <w:t>BWP</w:t>
      </w:r>
      <w:r w:rsidRPr="001C56A6">
        <w:rPr>
          <w:rFonts w:eastAsia="Malgun Gothic" w:cs="Arial"/>
          <w:bCs/>
          <w:iCs/>
          <w:sz w:val="28"/>
          <w:szCs w:val="28"/>
          <w:lang w:val="en-US"/>
        </w:rPr>
        <w:t xml:space="preserve"> without PDCCH Monitoring </w:t>
      </w:r>
    </w:p>
    <w:p w:rsidR="00835D57" w:rsidRDefault="00E342A5" w:rsidP="008C36E6">
      <w:pPr>
        <w:spacing w:before="120" w:line="276" w:lineRule="auto"/>
      </w:pPr>
      <w:r w:rsidRPr="00E342A5">
        <w:t xml:space="preserve">In LTE euCA, </w:t>
      </w:r>
      <w:r>
        <w:t>the concept of ‘dormancy’ is introduced for SCell, i.e. a new ‘</w:t>
      </w:r>
      <w:r w:rsidR="007715BD" w:rsidRPr="00F03717">
        <w:t>Dormant SCell state’ is supported in addition to ‘activated’ and ‘deactivated’ state.  For the SCell in dormant state,</w:t>
      </w:r>
      <w:r w:rsidR="00F03717" w:rsidRPr="00F03717">
        <w:t xml:space="preserve"> UE doesn’t monitor</w:t>
      </w:r>
      <w:r w:rsidR="007715BD" w:rsidRPr="00F03717">
        <w:t xml:space="preserve"> PDCCH </w:t>
      </w:r>
      <w:r w:rsidR="00F03717" w:rsidRPr="00F03717">
        <w:t xml:space="preserve">and only perform </w:t>
      </w:r>
      <w:r w:rsidR="007715BD">
        <w:t xml:space="preserve">period CQI report </w:t>
      </w:r>
      <w:r w:rsidR="00F03717">
        <w:t xml:space="preserve">sparsely. </w:t>
      </w:r>
      <w:r w:rsidR="00AD0AD6">
        <w:t xml:space="preserve"> </w:t>
      </w:r>
    </w:p>
    <w:p w:rsidR="00835D57" w:rsidRDefault="00AD0AD6" w:rsidP="008C36E6">
      <w:pPr>
        <w:spacing w:before="120" w:line="276" w:lineRule="auto"/>
      </w:pPr>
      <w:r>
        <w:t>Without d</w:t>
      </w:r>
      <w:r w:rsidRPr="00F03717">
        <w:t>ormant SCell state</w:t>
      </w:r>
      <w:r>
        <w:t>,</w:t>
      </w:r>
      <w:r w:rsidRPr="00AD0AD6">
        <w:t xml:space="preserve"> </w:t>
      </w:r>
      <w:r>
        <w:t xml:space="preserve">the SCell should be deactivated when there is no data to be scheduled. Then the SCell will be activated again by MAC CE later when additional radio resources are required. The SCell activation delay from deactivated to activated state is long, </w:t>
      </w:r>
      <w:r w:rsidR="00835D57">
        <w:t xml:space="preserve">during which UE </w:t>
      </w:r>
      <w:r w:rsidR="00F4113A">
        <w:t xml:space="preserve">initiates CSI measurement and sends CSI reports. The network can start scheduling on the SCell only after the initial CSI report is received. The frequent transition between activated state and deactivated state is not efficient to offload the bursty traffic. </w:t>
      </w:r>
    </w:p>
    <w:p w:rsidR="00F4113A" w:rsidRDefault="001D0E73" w:rsidP="008C36E6">
      <w:pPr>
        <w:spacing w:before="120" w:line="276" w:lineRule="auto"/>
      </w:pPr>
      <w:r>
        <w:t>If the Scell is kept in</w:t>
      </w:r>
      <w:r w:rsidR="00AD0AD6">
        <w:t xml:space="preserve"> dormant state, the </w:t>
      </w:r>
      <w:r>
        <w:t>SCell activation delay can be reduced to 8ms</w:t>
      </w:r>
      <w:r w:rsidR="00835D57">
        <w:t>,</w:t>
      </w:r>
      <w:r>
        <w:t xml:space="preserve"> since the </w:t>
      </w:r>
      <w:r w:rsidR="00F4113A">
        <w:t xml:space="preserve">delay for initial CSI measurement and reporting is reduced by continuous CSI report.  Compared with the deactivated state, more UE power consumption is expected due to the continuous CSI measurement and report. So </w:t>
      </w:r>
      <w:r w:rsidR="008C36E6">
        <w:t xml:space="preserve">the resources for CSI report is configured sparsely to balance the UE power consumption. </w:t>
      </w:r>
      <w:r w:rsidR="00D104CE">
        <w:rPr>
          <w:lang w:eastAsia="en-US"/>
        </w:rPr>
        <w:t>In NR, the concept of ‘dormancy’ is still useful to reduce the SCell activation latency, especially considering the uncertainty in time duration to acquire the first available UL resource for CSI reporting.</w:t>
      </w:r>
    </w:p>
    <w:p w:rsidR="008C36E6" w:rsidRDefault="008C36E6" w:rsidP="008C36E6">
      <w:pPr>
        <w:spacing w:before="120" w:line="276" w:lineRule="auto"/>
        <w:rPr>
          <w:b/>
        </w:rPr>
      </w:pPr>
      <w:r w:rsidRPr="008C36E6">
        <w:rPr>
          <w:b/>
        </w:rPr>
        <w:t xml:space="preserve">Observation 4: The dormant state can help to reduce the SCell activation delay by continuous CSI measurement and reporting. UE power consumption can be balanced by sparse CSI resource allocation.  </w:t>
      </w:r>
    </w:p>
    <w:p w:rsidR="00D104CE" w:rsidRPr="008C36E6" w:rsidRDefault="00D104CE" w:rsidP="008C36E6">
      <w:pPr>
        <w:spacing w:before="120" w:line="276" w:lineRule="auto"/>
        <w:rPr>
          <w:b/>
        </w:rPr>
      </w:pPr>
      <w:r w:rsidRPr="002741A3">
        <w:rPr>
          <w:b/>
        </w:rPr>
        <w:t xml:space="preserve">Proposal </w:t>
      </w:r>
      <w:r>
        <w:rPr>
          <w:b/>
        </w:rPr>
        <w:t>3</w:t>
      </w:r>
      <w:r w:rsidRPr="002741A3">
        <w:rPr>
          <w:rFonts w:hint="eastAsia"/>
          <w:b/>
        </w:rPr>
        <w:t>:</w:t>
      </w:r>
      <w:r>
        <w:rPr>
          <w:b/>
        </w:rPr>
        <w:t xml:space="preserve"> The </w:t>
      </w:r>
      <w:r w:rsidR="0028040A">
        <w:rPr>
          <w:b/>
        </w:rPr>
        <w:t>‘dormancy’</w:t>
      </w:r>
      <w:r w:rsidR="00D24CB9">
        <w:rPr>
          <w:b/>
        </w:rPr>
        <w:t xml:space="preserve"> behaviour, that UE doesn’t monitor PDCCH and only performs </w:t>
      </w:r>
      <w:r w:rsidR="00D24CB9">
        <w:rPr>
          <w:b/>
        </w:rPr>
        <w:t>CSI measurement and reporting</w:t>
      </w:r>
      <w:r w:rsidR="00D24CB9">
        <w:rPr>
          <w:b/>
        </w:rPr>
        <w:t xml:space="preserve">, is </w:t>
      </w:r>
      <w:r>
        <w:rPr>
          <w:b/>
        </w:rPr>
        <w:t xml:space="preserve">supported in Rel-16 to reduce the SCell activation delay. </w:t>
      </w:r>
    </w:p>
    <w:p w:rsidR="00D104CE" w:rsidRDefault="00D104CE" w:rsidP="00D104CE">
      <w:pPr>
        <w:rPr>
          <w:lang w:eastAsia="en-US"/>
        </w:rPr>
      </w:pPr>
      <w:r>
        <w:rPr>
          <w:lang w:eastAsia="en-US"/>
        </w:rPr>
        <w:t>In NR,</w:t>
      </w:r>
      <w:r w:rsidR="00D26B31">
        <w:rPr>
          <w:lang w:eastAsia="en-US"/>
        </w:rPr>
        <w:t xml:space="preserve"> BWP operation is supported</w:t>
      </w:r>
      <w:r>
        <w:rPr>
          <w:lang w:eastAsia="en-US"/>
        </w:rPr>
        <w:t>.</w:t>
      </w:r>
      <w:r w:rsidR="00D26B31">
        <w:rPr>
          <w:lang w:eastAsia="en-US"/>
        </w:rPr>
        <w:t xml:space="preserve"> Data transmission/reception are performed per BWP on top of </w:t>
      </w:r>
      <w:r>
        <w:rPr>
          <w:lang w:eastAsia="en-US"/>
        </w:rPr>
        <w:t>the activated serving cells</w:t>
      </w:r>
      <w:r w:rsidR="00D26B31">
        <w:rPr>
          <w:lang w:eastAsia="en-US"/>
        </w:rPr>
        <w:t xml:space="preserve">.  </w:t>
      </w:r>
      <w:r w:rsidRPr="000B541D">
        <w:rPr>
          <w:lang w:eastAsia="ko-KR"/>
        </w:rPr>
        <w:t xml:space="preserve">The BWP switching for a </w:t>
      </w:r>
      <w:r>
        <w:rPr>
          <w:lang w:eastAsia="ko-KR"/>
        </w:rPr>
        <w:t>s</w:t>
      </w:r>
      <w:r w:rsidRPr="000B541D">
        <w:rPr>
          <w:lang w:eastAsia="ko-KR"/>
        </w:rPr>
        <w:t>erving Cell is used to activate an inactive BWP and deactivate an active BWP</w:t>
      </w:r>
      <w:r>
        <w:rPr>
          <w:lang w:eastAsia="ko-KR"/>
        </w:rPr>
        <w:t>.</w:t>
      </w:r>
      <w:r>
        <w:rPr>
          <w:lang w:eastAsia="en-US"/>
        </w:rPr>
        <w:t xml:space="preserve"> </w:t>
      </w:r>
      <w:r w:rsidR="00D26B31">
        <w:rPr>
          <w:lang w:eastAsia="en-US"/>
        </w:rPr>
        <w:t xml:space="preserve">So all the physical channels including PDCCH, PDSCH, PUCCH, PUSCH, PRACH, etc are configured per BWP instead of per cell. </w:t>
      </w:r>
      <w:r>
        <w:rPr>
          <w:lang w:eastAsia="en-US"/>
        </w:rPr>
        <w:t xml:space="preserve">The BWP switching is controlled by DCI, </w:t>
      </w:r>
      <w:r w:rsidRPr="000B541D">
        <w:rPr>
          <w:lang w:eastAsia="ko-KR"/>
        </w:rPr>
        <w:t xml:space="preserve">by the </w:t>
      </w:r>
      <w:r w:rsidRPr="000B541D">
        <w:rPr>
          <w:i/>
          <w:lang w:eastAsia="ko-KR"/>
        </w:rPr>
        <w:t>bwp-InactivityTimer</w:t>
      </w:r>
      <w:r w:rsidRPr="000B541D">
        <w:rPr>
          <w:lang w:eastAsia="ko-KR"/>
        </w:rPr>
        <w:t>, by RRC signalling, or by the MAC entity itself upon initiation of Random Access procedure.</w:t>
      </w:r>
      <w:r>
        <w:rPr>
          <w:lang w:eastAsia="ko-KR"/>
        </w:rPr>
        <w:t xml:space="preserve"> </w:t>
      </w:r>
    </w:p>
    <w:p w:rsidR="00D104CE" w:rsidRDefault="00D104CE" w:rsidP="00F41E65">
      <w:pPr>
        <w:spacing w:before="120" w:line="276" w:lineRule="auto"/>
        <w:rPr>
          <w:b/>
        </w:rPr>
      </w:pPr>
      <w:r w:rsidRPr="008C36E6">
        <w:rPr>
          <w:b/>
        </w:rPr>
        <w:t xml:space="preserve">Observation </w:t>
      </w:r>
      <w:r>
        <w:rPr>
          <w:b/>
        </w:rPr>
        <w:t>5</w:t>
      </w:r>
      <w:r w:rsidRPr="008C36E6">
        <w:rPr>
          <w:b/>
        </w:rPr>
        <w:t xml:space="preserve">: </w:t>
      </w:r>
      <w:r>
        <w:rPr>
          <w:b/>
        </w:rPr>
        <w:t xml:space="preserve">In NR, BWP operation is introduced and </w:t>
      </w:r>
      <w:r w:rsidRPr="00D104CE">
        <w:rPr>
          <w:b/>
        </w:rPr>
        <w:t>data transmission/reception are performed per BWP on top of the activated serving cells</w:t>
      </w:r>
      <w:r>
        <w:rPr>
          <w:b/>
        </w:rPr>
        <w:t xml:space="preserve">. </w:t>
      </w:r>
      <w:r w:rsidRPr="008C36E6">
        <w:rPr>
          <w:b/>
        </w:rPr>
        <w:t xml:space="preserve"> </w:t>
      </w:r>
    </w:p>
    <w:p w:rsidR="00A801AE" w:rsidRDefault="00F41E65" w:rsidP="00F41E65">
      <w:pPr>
        <w:spacing w:before="120" w:line="276" w:lineRule="auto"/>
      </w:pPr>
      <w:r w:rsidRPr="00F41E65">
        <w:t>If the concept of ‘</w:t>
      </w:r>
      <w:r>
        <w:t>Dormancy</w:t>
      </w:r>
      <w:r w:rsidRPr="00F41E65">
        <w:t xml:space="preserve">’ is introduced in NR, how to </w:t>
      </w:r>
      <w:r w:rsidR="0028040A">
        <w:t xml:space="preserve">realize it and </w:t>
      </w:r>
      <w:r w:rsidRPr="00F41E65">
        <w:t>make it compatible with BWP operation should be considered.</w:t>
      </w:r>
      <w:r w:rsidR="0028040A">
        <w:t xml:space="preserve"> </w:t>
      </w:r>
    </w:p>
    <w:p w:rsidR="00A801AE" w:rsidRDefault="00F41E65" w:rsidP="00F41E65">
      <w:pPr>
        <w:spacing w:before="120" w:line="276" w:lineRule="auto"/>
      </w:pPr>
      <w:r>
        <w:t>One option is</w:t>
      </w:r>
      <w:r w:rsidR="00A801AE">
        <w:t xml:space="preserve"> to define the </w:t>
      </w:r>
      <w:r w:rsidR="0028040A">
        <w:t>‘dormancy’</w:t>
      </w:r>
      <w:r w:rsidR="00A801AE">
        <w:t xml:space="preserve"> on the level of serving cell, same as LTE. In NR, the first active BWP is defined, which is the BWP </w:t>
      </w:r>
      <w:r w:rsidR="00A801AE" w:rsidRPr="00F41E65">
        <w:t xml:space="preserve">UE perform data transmission/reception </w:t>
      </w:r>
      <w:r w:rsidR="00A801AE">
        <w:t>upon</w:t>
      </w:r>
      <w:r w:rsidRPr="00F41E65">
        <w:t xml:space="preserve"> SCell </w:t>
      </w:r>
      <w:r w:rsidR="00A801AE">
        <w:t>activation</w:t>
      </w:r>
      <w:r w:rsidRPr="00F41E65">
        <w:t>.</w:t>
      </w:r>
      <w:r>
        <w:t xml:space="preserve"> </w:t>
      </w:r>
      <w:r w:rsidR="00A801AE">
        <w:t>If the</w:t>
      </w:r>
      <w:r>
        <w:t xml:space="preserve"> SCell is in dormant state, UE only needs to perform CSI measurement and reporting for the first active BWP</w:t>
      </w:r>
      <w:r w:rsidR="00A801AE">
        <w:t>.  In this option, the state transitions among activated, dormant and deactivated should be supported. It will requires new MAC CEs a</w:t>
      </w:r>
      <w:r w:rsidR="007903E3">
        <w:t>nd new procedures in MAC layer, which is very complicated.</w:t>
      </w:r>
    </w:p>
    <w:p w:rsidR="00A801AE" w:rsidRPr="00A801AE" w:rsidRDefault="00A801AE" w:rsidP="00F41E65">
      <w:pPr>
        <w:spacing w:before="120" w:line="276" w:lineRule="auto"/>
        <w:rPr>
          <w:b/>
        </w:rPr>
      </w:pPr>
      <w:r w:rsidRPr="00A801AE">
        <w:rPr>
          <w:b/>
        </w:rPr>
        <w:t xml:space="preserve">Observation 6: If dormant state is introduced </w:t>
      </w:r>
      <w:r w:rsidR="00C36DFA">
        <w:rPr>
          <w:b/>
        </w:rPr>
        <w:t>on the level of serving cells (e.g. dormant SCell)</w:t>
      </w:r>
      <w:r w:rsidRPr="00A801AE">
        <w:rPr>
          <w:b/>
        </w:rPr>
        <w:t xml:space="preserve">, new MAC CEs and new procedures in MAC layer to support state transitions among activated, dormant and deactivated should be specified. </w:t>
      </w:r>
    </w:p>
    <w:p w:rsidR="007903E3" w:rsidRDefault="00A801AE" w:rsidP="00A801AE">
      <w:pPr>
        <w:spacing w:before="120" w:line="276" w:lineRule="auto"/>
        <w:rPr>
          <w:lang w:eastAsia="en-US"/>
        </w:rPr>
      </w:pPr>
      <w:r>
        <w:lastRenderedPageBreak/>
        <w:t xml:space="preserve">The other option is to </w:t>
      </w:r>
      <w:r w:rsidR="007903E3">
        <w:t>realize the ‘dormancy’ behaviours</w:t>
      </w:r>
      <w:r>
        <w:t xml:space="preserve"> on the level of BWP.  Actually, </w:t>
      </w:r>
      <w:r w:rsidR="008C36E6">
        <w:rPr>
          <w:lang w:eastAsia="en-US"/>
        </w:rPr>
        <w:t xml:space="preserve">suspending PDCCH monitoring doesn’t </w:t>
      </w:r>
      <w:r w:rsidR="007903E3">
        <w:rPr>
          <w:lang w:eastAsia="en-US"/>
        </w:rPr>
        <w:t>necessarily need</w:t>
      </w:r>
      <w:r w:rsidR="008C36E6">
        <w:rPr>
          <w:lang w:eastAsia="en-US"/>
        </w:rPr>
        <w:t xml:space="preserve"> </w:t>
      </w:r>
      <w:r>
        <w:rPr>
          <w:lang w:eastAsia="en-US"/>
        </w:rPr>
        <w:t xml:space="preserve">to create </w:t>
      </w:r>
      <w:r w:rsidR="008C36E6">
        <w:rPr>
          <w:lang w:eastAsia="en-US"/>
        </w:rPr>
        <w:t>a new SCell state</w:t>
      </w:r>
      <w:r w:rsidR="007903E3">
        <w:rPr>
          <w:lang w:eastAsia="en-US"/>
        </w:rPr>
        <w:t xml:space="preserve"> in NR.</w:t>
      </w:r>
      <w:r w:rsidR="008C36E6">
        <w:rPr>
          <w:lang w:eastAsia="en-US"/>
        </w:rPr>
        <w:t xml:space="preserve"> </w:t>
      </w:r>
      <w:r>
        <w:rPr>
          <w:lang w:eastAsia="en-US"/>
        </w:rPr>
        <w:t xml:space="preserve">A </w:t>
      </w:r>
      <w:r w:rsidR="0057590A">
        <w:rPr>
          <w:lang w:eastAsia="en-US"/>
        </w:rPr>
        <w:t xml:space="preserve">particular </w:t>
      </w:r>
      <w:r>
        <w:rPr>
          <w:lang w:eastAsia="en-US"/>
        </w:rPr>
        <w:t xml:space="preserve">BWP without </w:t>
      </w:r>
      <w:r w:rsidR="007903E3">
        <w:rPr>
          <w:lang w:eastAsia="en-US"/>
        </w:rPr>
        <w:t>PDCCH/PDSCH configuration</w:t>
      </w:r>
      <w:r>
        <w:rPr>
          <w:lang w:eastAsia="en-US"/>
        </w:rPr>
        <w:t xml:space="preserve"> can be configured to effectively realize </w:t>
      </w:r>
      <w:r w:rsidR="007903E3">
        <w:rPr>
          <w:lang w:eastAsia="en-US"/>
        </w:rPr>
        <w:t>the same</w:t>
      </w:r>
      <w:r>
        <w:rPr>
          <w:lang w:eastAsia="en-US"/>
        </w:rPr>
        <w:t xml:space="preserve"> behaviour </w:t>
      </w:r>
      <w:r w:rsidR="007903E3">
        <w:rPr>
          <w:lang w:eastAsia="en-US"/>
        </w:rPr>
        <w:t>as in</w:t>
      </w:r>
      <w:r>
        <w:rPr>
          <w:lang w:eastAsia="en-US"/>
        </w:rPr>
        <w:t xml:space="preserve"> dormant state. </w:t>
      </w:r>
      <w:r w:rsidR="0057590A">
        <w:rPr>
          <w:lang w:eastAsia="en-US"/>
        </w:rPr>
        <w:t>When the network intends to make UE only perform CSI measurement and reporting without PDCCH monitoring, BWP switching to the particular BWP can be performed.</w:t>
      </w:r>
    </w:p>
    <w:p w:rsidR="00A801AE" w:rsidRDefault="0057590A" w:rsidP="00A801AE">
      <w:pPr>
        <w:spacing w:before="120" w:line="276" w:lineRule="auto"/>
        <w:rPr>
          <w:lang w:eastAsia="en-US"/>
        </w:rPr>
      </w:pPr>
      <w:r>
        <w:rPr>
          <w:lang w:eastAsia="en-US"/>
        </w:rPr>
        <w:t xml:space="preserve">Basically, only a particular BWP </w:t>
      </w:r>
      <w:r w:rsidR="007903E3">
        <w:rPr>
          <w:lang w:eastAsia="en-US"/>
        </w:rPr>
        <w:t>without PDCCH/PDSCH</w:t>
      </w:r>
      <w:r>
        <w:rPr>
          <w:lang w:eastAsia="en-US"/>
        </w:rPr>
        <w:t xml:space="preserve"> is configured by RRC</w:t>
      </w:r>
      <w:r w:rsidR="007903E3">
        <w:rPr>
          <w:lang w:eastAsia="en-US"/>
        </w:rPr>
        <w:t>. BWP switching with</w:t>
      </w:r>
      <w:r>
        <w:rPr>
          <w:lang w:eastAsia="en-US"/>
        </w:rPr>
        <w:t xml:space="preserve"> DCI can be used to send UE </w:t>
      </w:r>
      <w:r w:rsidR="007903E3">
        <w:rPr>
          <w:lang w:eastAsia="en-US"/>
        </w:rPr>
        <w:t>to the particular BWP without PDCCH monitoring</w:t>
      </w:r>
      <w:r>
        <w:rPr>
          <w:lang w:eastAsia="en-US"/>
        </w:rPr>
        <w:t xml:space="preserve">. No new signalling and procedures are </w:t>
      </w:r>
      <w:r w:rsidR="007903E3">
        <w:rPr>
          <w:lang w:eastAsia="en-US"/>
        </w:rPr>
        <w:t>needed</w:t>
      </w:r>
      <w:r>
        <w:rPr>
          <w:lang w:eastAsia="en-US"/>
        </w:rPr>
        <w:t xml:space="preserve"> in</w:t>
      </w:r>
      <w:r w:rsidR="007903E3">
        <w:rPr>
          <w:lang w:eastAsia="en-US"/>
        </w:rPr>
        <w:t xml:space="preserve"> both</w:t>
      </w:r>
      <w:r>
        <w:rPr>
          <w:lang w:eastAsia="en-US"/>
        </w:rPr>
        <w:t xml:space="preserve"> PHY and MAC layer. </w:t>
      </w:r>
      <w:r w:rsidR="00C36DFA">
        <w:rPr>
          <w:lang w:eastAsia="en-US"/>
        </w:rPr>
        <w:t xml:space="preserve">Furthermore, compared with the SCell activation delay from dormant state to activated state, the activation latency can be further reduced since the BWP switching delay is </w:t>
      </w:r>
      <w:r w:rsidR="007903E3">
        <w:rPr>
          <w:lang w:eastAsia="en-US"/>
        </w:rPr>
        <w:t xml:space="preserve">shorter compared with SCell state transition, which is </w:t>
      </w:r>
      <w:r w:rsidR="00C36DFA">
        <w:rPr>
          <w:lang w:eastAsia="en-US"/>
        </w:rPr>
        <w:t xml:space="preserve">only 2-3 ms. </w:t>
      </w:r>
    </w:p>
    <w:p w:rsidR="00C36DFA" w:rsidRPr="007A53CC" w:rsidRDefault="00C36DFA" w:rsidP="00D116AA">
      <w:pPr>
        <w:spacing w:before="120" w:line="276" w:lineRule="auto"/>
        <w:rPr>
          <w:b/>
        </w:rPr>
      </w:pPr>
      <w:r w:rsidRPr="007A53CC">
        <w:rPr>
          <w:b/>
        </w:rPr>
        <w:t xml:space="preserve">Observation 7: If </w:t>
      </w:r>
      <w:r w:rsidR="007903E3" w:rsidRPr="007A53CC">
        <w:rPr>
          <w:b/>
        </w:rPr>
        <w:t>dormancy</w:t>
      </w:r>
      <w:r w:rsidRPr="007A53CC">
        <w:rPr>
          <w:b/>
        </w:rPr>
        <w:t xml:space="preserve"> </w:t>
      </w:r>
      <w:r w:rsidR="007903E3" w:rsidRPr="007A53CC">
        <w:rPr>
          <w:b/>
        </w:rPr>
        <w:t>behaviour</w:t>
      </w:r>
      <w:r w:rsidRPr="007A53CC">
        <w:rPr>
          <w:b/>
        </w:rPr>
        <w:t xml:space="preserve"> is introduced on the level of BWPs (</w:t>
      </w:r>
      <w:r w:rsidR="007903E3" w:rsidRPr="007A53CC">
        <w:rPr>
          <w:b/>
        </w:rPr>
        <w:t>i.e. configuring a particular BWP without PDCCH/PDSCH</w:t>
      </w:r>
      <w:r w:rsidRPr="007A53CC">
        <w:rPr>
          <w:b/>
        </w:rPr>
        <w:t>), no new signalling and procedures are needed on MAC layer</w:t>
      </w:r>
      <w:r w:rsidR="007903E3" w:rsidRPr="007A53CC">
        <w:rPr>
          <w:b/>
        </w:rPr>
        <w:t xml:space="preserve"> to support different SCell state transition</w:t>
      </w:r>
      <w:r w:rsidRPr="007A53CC">
        <w:rPr>
          <w:b/>
        </w:rPr>
        <w:t xml:space="preserve">. BWP switching can further reduce the activation latency. </w:t>
      </w:r>
    </w:p>
    <w:p w:rsidR="00C36DFA" w:rsidRPr="007A53CC" w:rsidRDefault="008C36E6" w:rsidP="007A53CC">
      <w:pPr>
        <w:spacing w:before="120" w:line="276" w:lineRule="auto"/>
        <w:rPr>
          <w:b/>
          <w:bCs/>
        </w:rPr>
      </w:pPr>
      <w:r w:rsidRPr="007A53CC">
        <w:rPr>
          <w:b/>
          <w:bCs/>
        </w:rPr>
        <w:t xml:space="preserve">Proposal </w:t>
      </w:r>
      <w:r w:rsidR="00C36DFA" w:rsidRPr="007A53CC">
        <w:rPr>
          <w:b/>
          <w:bCs/>
        </w:rPr>
        <w:t>4</w:t>
      </w:r>
      <w:r w:rsidRPr="007A53CC">
        <w:rPr>
          <w:b/>
          <w:bCs/>
        </w:rPr>
        <w:t xml:space="preserve">: </w:t>
      </w:r>
      <w:r w:rsidR="00C36DFA" w:rsidRPr="007A53CC">
        <w:rPr>
          <w:b/>
          <w:bCs/>
        </w:rPr>
        <w:t xml:space="preserve">A </w:t>
      </w:r>
      <w:r w:rsidR="007A53CC">
        <w:rPr>
          <w:b/>
          <w:bCs/>
        </w:rPr>
        <w:t xml:space="preserve">particular </w:t>
      </w:r>
      <w:r w:rsidR="00C36DFA" w:rsidRPr="007A53CC">
        <w:rPr>
          <w:b/>
          <w:bCs/>
        </w:rPr>
        <w:t xml:space="preserve">BWP </w:t>
      </w:r>
      <w:r w:rsidR="007A53CC" w:rsidRPr="007A53CC">
        <w:rPr>
          <w:b/>
          <w:bCs/>
        </w:rPr>
        <w:t xml:space="preserve">without PDCCH/PDSCH </w:t>
      </w:r>
      <w:r w:rsidR="00D116AA" w:rsidRPr="007A53CC">
        <w:rPr>
          <w:b/>
          <w:bCs/>
        </w:rPr>
        <w:t xml:space="preserve">can be configured. </w:t>
      </w:r>
    </w:p>
    <w:p w:rsidR="00957D2E" w:rsidRPr="007A53CC" w:rsidRDefault="00C36DFA" w:rsidP="007A53CC">
      <w:pPr>
        <w:spacing w:before="120" w:line="276" w:lineRule="auto"/>
        <w:rPr>
          <w:b/>
          <w:bCs/>
        </w:rPr>
      </w:pPr>
      <w:r w:rsidRPr="007A53CC">
        <w:rPr>
          <w:b/>
          <w:bCs/>
        </w:rPr>
        <w:t xml:space="preserve">Proposal 5: BWP switching to the </w:t>
      </w:r>
      <w:r w:rsidR="007A53CC">
        <w:rPr>
          <w:b/>
          <w:bCs/>
        </w:rPr>
        <w:t xml:space="preserve">particular </w:t>
      </w:r>
      <w:r w:rsidRPr="007A53CC">
        <w:rPr>
          <w:b/>
          <w:bCs/>
        </w:rPr>
        <w:t xml:space="preserve">BWP without </w:t>
      </w:r>
      <w:r w:rsidR="007A53CC" w:rsidRPr="007A53CC">
        <w:rPr>
          <w:b/>
          <w:bCs/>
        </w:rPr>
        <w:t>PDCCH/PDSCH</w:t>
      </w:r>
      <w:r w:rsidRPr="007A53CC">
        <w:rPr>
          <w:b/>
          <w:bCs/>
        </w:rPr>
        <w:t xml:space="preserve"> is </w:t>
      </w:r>
      <w:r w:rsidR="00D116AA" w:rsidRPr="007A53CC">
        <w:rPr>
          <w:b/>
          <w:bCs/>
        </w:rPr>
        <w:t xml:space="preserve">used to realize </w:t>
      </w:r>
      <w:r w:rsidR="007A53CC">
        <w:rPr>
          <w:b/>
          <w:bCs/>
        </w:rPr>
        <w:t>‘dormancy’</w:t>
      </w:r>
      <w:r w:rsidR="00D116AA" w:rsidRPr="007A53CC">
        <w:rPr>
          <w:b/>
          <w:bCs/>
        </w:rPr>
        <w:t xml:space="preserve">. </w:t>
      </w:r>
    </w:p>
    <w:p w:rsidR="00957D2E" w:rsidRDefault="00957D2E">
      <w:pPr>
        <w:overflowPunct/>
        <w:autoSpaceDE/>
        <w:autoSpaceDN/>
        <w:adjustRightInd/>
        <w:spacing w:after="160" w:line="259" w:lineRule="auto"/>
        <w:jc w:val="left"/>
        <w:textAlignment w:val="auto"/>
        <w:rPr>
          <w:rStyle w:val="Strong"/>
        </w:rPr>
      </w:pPr>
      <w:r>
        <w:rPr>
          <w:rStyle w:val="Strong"/>
        </w:rPr>
        <w:br w:type="page"/>
      </w:r>
    </w:p>
    <w:p w:rsidR="00C35FD6" w:rsidRDefault="00C35FD6" w:rsidP="00C35FD6">
      <w:pPr>
        <w:pStyle w:val="Heading1"/>
        <w:jc w:val="both"/>
      </w:pPr>
      <w:r>
        <w:lastRenderedPageBreak/>
        <w:t>Conclusion</w:t>
      </w:r>
    </w:p>
    <w:p w:rsidR="00D116AA" w:rsidRDefault="00D116AA" w:rsidP="00BA4D7F">
      <w:pPr>
        <w:spacing w:before="120"/>
        <w:rPr>
          <w:lang w:eastAsia="ko-KR"/>
        </w:rPr>
      </w:pPr>
      <w:r>
        <w:rPr>
          <w:lang w:eastAsia="ko-KR"/>
        </w:rPr>
        <w:t xml:space="preserve">In this contribution, we analyse the latency for SCell activation in NR and discuss the applicability of the solutions for LTE Rel-15 euCA. </w:t>
      </w:r>
    </w:p>
    <w:p w:rsidR="00BA4D7F" w:rsidRDefault="00BA4D7F" w:rsidP="00BA4D7F">
      <w:pPr>
        <w:spacing w:before="120"/>
        <w:rPr>
          <w:lang w:eastAsia="ko-KR"/>
        </w:rPr>
      </w:pPr>
      <w:r>
        <w:rPr>
          <w:lang w:eastAsia="ko-KR"/>
        </w:rPr>
        <w:t xml:space="preserve">We have following observations compared with LTE CA enhancement. </w:t>
      </w:r>
    </w:p>
    <w:p w:rsidR="007A53CC" w:rsidRDefault="007A53CC" w:rsidP="007A53CC">
      <w:pPr>
        <w:spacing w:before="120" w:line="276" w:lineRule="auto"/>
        <w:rPr>
          <w:b/>
        </w:rPr>
      </w:pPr>
      <w:r w:rsidRPr="00BA78D8">
        <w:rPr>
          <w:b/>
        </w:rPr>
        <w:t xml:space="preserve">Observation 1: </w:t>
      </w:r>
      <w:r>
        <w:rPr>
          <w:b/>
        </w:rPr>
        <w:t xml:space="preserve">In NR, the RRC processing delay for </w:t>
      </w:r>
      <w:r w:rsidRPr="003E258F">
        <w:rPr>
          <w:b/>
          <w:i/>
        </w:rPr>
        <w:t>RRCReconfiguration</w:t>
      </w:r>
      <w:r>
        <w:rPr>
          <w:b/>
        </w:rPr>
        <w:t xml:space="preserve"> with SCell addition/release is 16ms. </w:t>
      </w:r>
    </w:p>
    <w:p w:rsidR="007A53CC" w:rsidRPr="00BA78D8" w:rsidRDefault="007A53CC" w:rsidP="007A53CC">
      <w:pPr>
        <w:spacing w:before="120" w:line="276" w:lineRule="auto"/>
        <w:rPr>
          <w:b/>
        </w:rPr>
      </w:pPr>
      <w:r>
        <w:rPr>
          <w:b/>
        </w:rPr>
        <w:t>Observation 2:  In NR, t</w:t>
      </w:r>
      <w:r w:rsidRPr="00BA78D8">
        <w:rPr>
          <w:b/>
        </w:rPr>
        <w:t xml:space="preserve">he SCell activation delay is variable and can be much longer than the delay in LTE. </w:t>
      </w:r>
    </w:p>
    <w:p w:rsidR="007A53CC" w:rsidRPr="002741A3" w:rsidRDefault="007A53CC" w:rsidP="007A53CC">
      <w:pPr>
        <w:spacing w:before="120" w:line="276" w:lineRule="auto"/>
        <w:rPr>
          <w:b/>
        </w:rPr>
      </w:pPr>
      <w:r w:rsidRPr="002741A3">
        <w:rPr>
          <w:b/>
        </w:rPr>
        <w:t xml:space="preserve">Observation 3: Direct SCell activation in SCell configuration can help to reduce the overall SCell </w:t>
      </w:r>
      <w:r>
        <w:rPr>
          <w:b/>
        </w:rPr>
        <w:t>activation latency</w:t>
      </w:r>
      <w:r w:rsidRPr="002741A3">
        <w:rPr>
          <w:b/>
        </w:rPr>
        <w:t xml:space="preserve">. </w:t>
      </w:r>
    </w:p>
    <w:p w:rsidR="007A53CC" w:rsidRDefault="007A53CC" w:rsidP="007A53CC">
      <w:pPr>
        <w:spacing w:before="120" w:line="276" w:lineRule="auto"/>
        <w:rPr>
          <w:b/>
        </w:rPr>
      </w:pPr>
      <w:r w:rsidRPr="008C36E6">
        <w:rPr>
          <w:b/>
        </w:rPr>
        <w:t xml:space="preserve">Observation 4: The dormant state can help to reduce the SCell activation delay by continuous CSI measurement and reporting. UE power consumption can be balanced by sparse CSI resource allocation.  </w:t>
      </w:r>
    </w:p>
    <w:p w:rsidR="007A53CC" w:rsidRDefault="007A53CC" w:rsidP="007A53CC">
      <w:pPr>
        <w:spacing w:before="120" w:line="276" w:lineRule="auto"/>
        <w:rPr>
          <w:b/>
        </w:rPr>
      </w:pPr>
      <w:r w:rsidRPr="008C36E6">
        <w:rPr>
          <w:b/>
        </w:rPr>
        <w:t xml:space="preserve">Observation </w:t>
      </w:r>
      <w:r>
        <w:rPr>
          <w:b/>
        </w:rPr>
        <w:t>5</w:t>
      </w:r>
      <w:r w:rsidRPr="008C36E6">
        <w:rPr>
          <w:b/>
        </w:rPr>
        <w:t xml:space="preserve">: </w:t>
      </w:r>
      <w:r>
        <w:rPr>
          <w:b/>
        </w:rPr>
        <w:t xml:space="preserve">In NR, BWP operation is introduced and </w:t>
      </w:r>
      <w:r w:rsidRPr="00D104CE">
        <w:rPr>
          <w:b/>
        </w:rPr>
        <w:t>data transmission/reception are performed per BWP on top of the activated serving cells</w:t>
      </w:r>
      <w:r>
        <w:rPr>
          <w:b/>
        </w:rPr>
        <w:t xml:space="preserve">. </w:t>
      </w:r>
      <w:r w:rsidRPr="008C36E6">
        <w:rPr>
          <w:b/>
        </w:rPr>
        <w:t xml:space="preserve"> </w:t>
      </w:r>
    </w:p>
    <w:p w:rsidR="007A53CC" w:rsidRPr="00A801AE" w:rsidRDefault="007A53CC" w:rsidP="007A53CC">
      <w:pPr>
        <w:spacing w:before="120" w:line="276" w:lineRule="auto"/>
        <w:rPr>
          <w:b/>
        </w:rPr>
      </w:pPr>
      <w:r w:rsidRPr="00A801AE">
        <w:rPr>
          <w:b/>
        </w:rPr>
        <w:t xml:space="preserve">Observation 6: If dormant state is introduced </w:t>
      </w:r>
      <w:r>
        <w:rPr>
          <w:b/>
        </w:rPr>
        <w:t>on the level of serving cells (e.g. dormant SCell)</w:t>
      </w:r>
      <w:r w:rsidRPr="00A801AE">
        <w:rPr>
          <w:b/>
        </w:rPr>
        <w:t xml:space="preserve">, new MAC CEs and new procedures in MAC layer to support state transitions among activated, dormant and deactivated should be specified. </w:t>
      </w:r>
    </w:p>
    <w:p w:rsidR="007A53CC" w:rsidRPr="007A53CC" w:rsidRDefault="007A53CC" w:rsidP="007A53CC">
      <w:pPr>
        <w:spacing w:before="120" w:line="276" w:lineRule="auto"/>
        <w:rPr>
          <w:b/>
        </w:rPr>
      </w:pPr>
      <w:r w:rsidRPr="007A53CC">
        <w:rPr>
          <w:b/>
        </w:rPr>
        <w:t xml:space="preserve">Observation 7: If dormancy behaviour is introduced on the level of BWPs (i.e. configuring a particular BWP without PDCCH/PDSCH), no new signalling and procedures are needed on MAC layer to support different SCell state transition. BWP switching can further reduce the activation latency. </w:t>
      </w:r>
    </w:p>
    <w:p w:rsidR="00BA4D7F" w:rsidRDefault="00BA4D7F" w:rsidP="00BA4D7F">
      <w:pPr>
        <w:spacing w:before="120"/>
        <w:rPr>
          <w:lang w:eastAsia="ko-KR"/>
        </w:rPr>
      </w:pPr>
      <w:r>
        <w:rPr>
          <w:lang w:eastAsia="ko-KR"/>
        </w:rPr>
        <w:t>Based on the above observations, we propose:</w:t>
      </w:r>
    </w:p>
    <w:p w:rsidR="007A53CC" w:rsidRPr="002741A3" w:rsidRDefault="007A53CC" w:rsidP="007A53CC">
      <w:pPr>
        <w:spacing w:before="120" w:line="276" w:lineRule="auto"/>
        <w:rPr>
          <w:b/>
        </w:rPr>
      </w:pPr>
      <w:r w:rsidRPr="002741A3">
        <w:rPr>
          <w:b/>
        </w:rPr>
        <w:t>Proposal 1</w:t>
      </w:r>
      <w:r w:rsidRPr="002741A3">
        <w:rPr>
          <w:rFonts w:hint="eastAsia"/>
          <w:b/>
        </w:rPr>
        <w:t>:</w:t>
      </w:r>
      <w:r>
        <w:rPr>
          <w:b/>
        </w:rPr>
        <w:t xml:space="preserve"> Indicate SCell directly in activated/deactivated state when a SCell is (re)configured. </w:t>
      </w:r>
    </w:p>
    <w:p w:rsidR="007A53CC" w:rsidRPr="00FE55D9" w:rsidRDefault="007A53CC" w:rsidP="007A53CC">
      <w:pPr>
        <w:spacing w:before="120" w:line="276" w:lineRule="auto"/>
        <w:rPr>
          <w:b/>
        </w:rPr>
      </w:pPr>
      <w:r w:rsidRPr="00FE55D9">
        <w:rPr>
          <w:b/>
        </w:rPr>
        <w:t xml:space="preserve">Proposal 2: Send LS to RAN4 to confirm that SCell activation delay by RRC configuration message is </w:t>
      </w:r>
      <w:r w:rsidRPr="00FE55D9">
        <w:rPr>
          <w:b/>
          <w:lang w:val="en-US"/>
        </w:rPr>
        <w:t>T</w:t>
      </w:r>
      <w:r w:rsidRPr="00FE55D9">
        <w:rPr>
          <w:b/>
          <w:vertAlign w:val="subscript"/>
          <w:lang w:val="en-US"/>
        </w:rPr>
        <w:t>RRCprocessingDelay</w:t>
      </w:r>
      <w:r w:rsidRPr="00FE55D9">
        <w:rPr>
          <w:b/>
        </w:rPr>
        <w:t>+ T</w:t>
      </w:r>
      <w:r w:rsidRPr="00FE55D9">
        <w:rPr>
          <w:b/>
          <w:vertAlign w:val="subscript"/>
        </w:rPr>
        <w:t>activation_time</w:t>
      </w:r>
      <w:r w:rsidRPr="00FE55D9">
        <w:rPr>
          <w:b/>
        </w:rPr>
        <w:t xml:space="preserve"> + T</w:t>
      </w:r>
      <w:r w:rsidRPr="00FE55D9">
        <w:rPr>
          <w:b/>
          <w:vertAlign w:val="subscript"/>
        </w:rPr>
        <w:t>CSI_Reporting.</w:t>
      </w:r>
    </w:p>
    <w:p w:rsidR="00D24CB9" w:rsidRPr="008C36E6" w:rsidRDefault="00D24CB9" w:rsidP="00D24CB9">
      <w:pPr>
        <w:spacing w:before="120" w:line="276" w:lineRule="auto"/>
        <w:rPr>
          <w:b/>
        </w:rPr>
      </w:pPr>
      <w:r w:rsidRPr="002741A3">
        <w:rPr>
          <w:b/>
        </w:rPr>
        <w:t xml:space="preserve">Proposal </w:t>
      </w:r>
      <w:r>
        <w:rPr>
          <w:b/>
        </w:rPr>
        <w:t>3</w:t>
      </w:r>
      <w:r w:rsidRPr="002741A3">
        <w:rPr>
          <w:rFonts w:hint="eastAsia"/>
          <w:b/>
        </w:rPr>
        <w:t>:</w:t>
      </w:r>
      <w:r>
        <w:rPr>
          <w:b/>
        </w:rPr>
        <w:t xml:space="preserve"> The ‘dormancy’ behaviour, that UE doesn’t monitor PDCCH and only performs CSI measurement and reporting, is supported in Rel-16 to reduce the SCell activation delay. </w:t>
      </w:r>
    </w:p>
    <w:p w:rsidR="007A53CC" w:rsidRPr="007A53CC" w:rsidRDefault="007A53CC" w:rsidP="007A53CC">
      <w:pPr>
        <w:spacing w:before="120" w:line="276" w:lineRule="auto"/>
        <w:rPr>
          <w:b/>
          <w:bCs/>
        </w:rPr>
      </w:pPr>
      <w:bookmarkStart w:id="4" w:name="_GoBack"/>
      <w:bookmarkEnd w:id="4"/>
      <w:r w:rsidRPr="007A53CC">
        <w:rPr>
          <w:b/>
          <w:bCs/>
        </w:rPr>
        <w:t xml:space="preserve">Proposal 4: A </w:t>
      </w:r>
      <w:r>
        <w:rPr>
          <w:b/>
          <w:bCs/>
        </w:rPr>
        <w:t xml:space="preserve">particular </w:t>
      </w:r>
      <w:r w:rsidRPr="007A53CC">
        <w:rPr>
          <w:b/>
          <w:bCs/>
        </w:rPr>
        <w:t xml:space="preserve">BWP without PDCCH/PDSCH can be configured. </w:t>
      </w:r>
    </w:p>
    <w:p w:rsidR="007A53CC" w:rsidRDefault="007A53CC" w:rsidP="007A53CC">
      <w:pPr>
        <w:spacing w:before="120" w:line="276" w:lineRule="auto"/>
        <w:rPr>
          <w:b/>
          <w:bCs/>
        </w:rPr>
      </w:pPr>
      <w:r w:rsidRPr="007A53CC">
        <w:rPr>
          <w:b/>
          <w:bCs/>
        </w:rPr>
        <w:t xml:space="preserve">Proposal 5: BWP switching to the </w:t>
      </w:r>
      <w:r>
        <w:rPr>
          <w:b/>
          <w:bCs/>
        </w:rPr>
        <w:t xml:space="preserve">particular </w:t>
      </w:r>
      <w:r w:rsidRPr="007A53CC">
        <w:rPr>
          <w:b/>
          <w:bCs/>
        </w:rPr>
        <w:t xml:space="preserve">BWP without PDCCH/PDSCH is used to realize </w:t>
      </w:r>
      <w:r>
        <w:rPr>
          <w:b/>
          <w:bCs/>
        </w:rPr>
        <w:t>‘dormancy’</w:t>
      </w:r>
      <w:r w:rsidRPr="007A53CC">
        <w:rPr>
          <w:b/>
          <w:bCs/>
        </w:rPr>
        <w:t xml:space="preserve">. </w:t>
      </w:r>
    </w:p>
    <w:p w:rsidR="00D857CC" w:rsidRDefault="00D857CC" w:rsidP="00D857CC">
      <w:pPr>
        <w:pStyle w:val="Heading1"/>
        <w:jc w:val="both"/>
      </w:pPr>
      <w:r>
        <w:t>Reference</w:t>
      </w:r>
    </w:p>
    <w:p w:rsidR="00D857CC" w:rsidRPr="00D857CC" w:rsidRDefault="00D857CC" w:rsidP="00D857CC">
      <w:pPr>
        <w:spacing w:before="120" w:line="276" w:lineRule="auto"/>
        <w:rPr>
          <w:sz w:val="18"/>
          <w:lang w:eastAsia="ko-KR"/>
        </w:rPr>
      </w:pPr>
      <w:r w:rsidRPr="00D857CC">
        <w:rPr>
          <w:sz w:val="18"/>
          <w:lang w:eastAsia="ko-KR"/>
        </w:rPr>
        <w:t xml:space="preserve">[1] </w:t>
      </w:r>
      <w:r w:rsidRPr="00D857CC">
        <w:rPr>
          <w:sz w:val="18"/>
          <w:lang w:eastAsia="ko-KR"/>
        </w:rPr>
        <w:t>R2-1900437</w:t>
      </w:r>
      <w:r w:rsidRPr="00D857CC">
        <w:rPr>
          <w:sz w:val="18"/>
          <w:lang w:eastAsia="ko-KR"/>
        </w:rPr>
        <w:t xml:space="preserve">, </w:t>
      </w:r>
      <w:r w:rsidRPr="00D857CC">
        <w:rPr>
          <w:sz w:val="18"/>
          <w:lang w:eastAsia="ko-KR"/>
        </w:rPr>
        <w:t>Early measurement reporting from IDLE/INACTIVE to CONNECTED</w:t>
      </w:r>
      <w:r w:rsidRPr="00D857CC">
        <w:rPr>
          <w:rFonts w:hint="eastAsia"/>
          <w:sz w:val="18"/>
          <w:lang w:eastAsia="ko-KR"/>
        </w:rPr>
        <w:t xml:space="preserve">, </w:t>
      </w:r>
      <w:r w:rsidRPr="00D857CC">
        <w:rPr>
          <w:sz w:val="18"/>
          <w:lang w:eastAsia="ko-KR"/>
        </w:rPr>
        <w:t xml:space="preserve">Mediatek Inc. </w:t>
      </w:r>
    </w:p>
    <w:p w:rsidR="00D857CC" w:rsidRPr="00D857CC" w:rsidRDefault="00D857CC" w:rsidP="00D857CC">
      <w:pPr>
        <w:spacing w:before="120" w:line="276" w:lineRule="auto"/>
        <w:rPr>
          <w:sz w:val="18"/>
          <w:lang w:eastAsia="ko-KR"/>
        </w:rPr>
      </w:pPr>
      <w:r w:rsidRPr="00D857CC">
        <w:rPr>
          <w:sz w:val="18"/>
          <w:lang w:eastAsia="ko-KR"/>
        </w:rPr>
        <w:t xml:space="preserve">[2] </w:t>
      </w:r>
      <w:r w:rsidRPr="00D857CC">
        <w:rPr>
          <w:sz w:val="18"/>
        </w:rPr>
        <w:t>TS38.133</w:t>
      </w:r>
      <w:r w:rsidRPr="00D857CC">
        <w:rPr>
          <w:sz w:val="18"/>
        </w:rPr>
        <w:t xml:space="preserve"> v15.4.0</w:t>
      </w:r>
    </w:p>
    <w:p w:rsidR="00D857CC" w:rsidRPr="00BA4D7F" w:rsidRDefault="00D857CC" w:rsidP="007A53CC">
      <w:pPr>
        <w:spacing w:before="120" w:line="276" w:lineRule="auto"/>
        <w:rPr>
          <w:lang w:eastAsia="ko-KR"/>
        </w:rPr>
      </w:pPr>
    </w:p>
    <w:sectPr w:rsidR="00D857CC" w:rsidRPr="00BA4D7F" w:rsidSect="000D07DC">
      <w:type w:val="continuous"/>
      <w:pgSz w:w="12240" w:h="15840"/>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032CE" w:rsidRDefault="00A032CE" w:rsidP="00753B12">
      <w:pPr>
        <w:spacing w:after="0"/>
      </w:pPr>
      <w:r>
        <w:separator/>
      </w:r>
    </w:p>
  </w:endnote>
  <w:endnote w:type="continuationSeparator" w:id="0">
    <w:p w:rsidR="00A032CE" w:rsidRDefault="00A032CE" w:rsidP="00753B1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032CE" w:rsidRDefault="00A032CE" w:rsidP="00753B12">
      <w:pPr>
        <w:spacing w:after="0"/>
      </w:pPr>
      <w:r>
        <w:separator/>
      </w:r>
    </w:p>
  </w:footnote>
  <w:footnote w:type="continuationSeparator" w:id="0">
    <w:p w:rsidR="00A032CE" w:rsidRDefault="00A032CE" w:rsidP="00753B12">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4B459F"/>
    <w:multiLevelType w:val="hybridMultilevel"/>
    <w:tmpl w:val="4E8CE900"/>
    <w:lvl w:ilvl="0" w:tplc="23CA55F6">
      <w:start w:val="1"/>
      <w:numFmt w:val="bullet"/>
      <w:lvlText w:val="•"/>
      <w:lvlJc w:val="left"/>
      <w:pPr>
        <w:tabs>
          <w:tab w:val="num" w:pos="720"/>
        </w:tabs>
        <w:ind w:left="720" w:hanging="360"/>
      </w:pPr>
      <w:rPr>
        <w:rFonts w:ascii="Arial" w:hAnsi="Arial" w:hint="default"/>
      </w:rPr>
    </w:lvl>
    <w:lvl w:ilvl="1" w:tplc="304C5820" w:tentative="1">
      <w:start w:val="1"/>
      <w:numFmt w:val="bullet"/>
      <w:lvlText w:val="•"/>
      <w:lvlJc w:val="left"/>
      <w:pPr>
        <w:tabs>
          <w:tab w:val="num" w:pos="1440"/>
        </w:tabs>
        <w:ind w:left="1440" w:hanging="360"/>
      </w:pPr>
      <w:rPr>
        <w:rFonts w:ascii="Arial" w:hAnsi="Arial" w:hint="default"/>
      </w:rPr>
    </w:lvl>
    <w:lvl w:ilvl="2" w:tplc="5D96B712" w:tentative="1">
      <w:start w:val="1"/>
      <w:numFmt w:val="bullet"/>
      <w:lvlText w:val="•"/>
      <w:lvlJc w:val="left"/>
      <w:pPr>
        <w:tabs>
          <w:tab w:val="num" w:pos="2160"/>
        </w:tabs>
        <w:ind w:left="2160" w:hanging="360"/>
      </w:pPr>
      <w:rPr>
        <w:rFonts w:ascii="Arial" w:hAnsi="Arial" w:hint="default"/>
      </w:rPr>
    </w:lvl>
    <w:lvl w:ilvl="3" w:tplc="D18C8068" w:tentative="1">
      <w:start w:val="1"/>
      <w:numFmt w:val="bullet"/>
      <w:lvlText w:val="•"/>
      <w:lvlJc w:val="left"/>
      <w:pPr>
        <w:tabs>
          <w:tab w:val="num" w:pos="2880"/>
        </w:tabs>
        <w:ind w:left="2880" w:hanging="360"/>
      </w:pPr>
      <w:rPr>
        <w:rFonts w:ascii="Arial" w:hAnsi="Arial" w:hint="default"/>
      </w:rPr>
    </w:lvl>
    <w:lvl w:ilvl="4" w:tplc="8334D94C" w:tentative="1">
      <w:start w:val="1"/>
      <w:numFmt w:val="bullet"/>
      <w:lvlText w:val="•"/>
      <w:lvlJc w:val="left"/>
      <w:pPr>
        <w:tabs>
          <w:tab w:val="num" w:pos="3600"/>
        </w:tabs>
        <w:ind w:left="3600" w:hanging="360"/>
      </w:pPr>
      <w:rPr>
        <w:rFonts w:ascii="Arial" w:hAnsi="Arial" w:hint="default"/>
      </w:rPr>
    </w:lvl>
    <w:lvl w:ilvl="5" w:tplc="F4A4E124" w:tentative="1">
      <w:start w:val="1"/>
      <w:numFmt w:val="bullet"/>
      <w:lvlText w:val="•"/>
      <w:lvlJc w:val="left"/>
      <w:pPr>
        <w:tabs>
          <w:tab w:val="num" w:pos="4320"/>
        </w:tabs>
        <w:ind w:left="4320" w:hanging="360"/>
      </w:pPr>
      <w:rPr>
        <w:rFonts w:ascii="Arial" w:hAnsi="Arial" w:hint="default"/>
      </w:rPr>
    </w:lvl>
    <w:lvl w:ilvl="6" w:tplc="C3D4550C" w:tentative="1">
      <w:start w:val="1"/>
      <w:numFmt w:val="bullet"/>
      <w:lvlText w:val="•"/>
      <w:lvlJc w:val="left"/>
      <w:pPr>
        <w:tabs>
          <w:tab w:val="num" w:pos="5040"/>
        </w:tabs>
        <w:ind w:left="5040" w:hanging="360"/>
      </w:pPr>
      <w:rPr>
        <w:rFonts w:ascii="Arial" w:hAnsi="Arial" w:hint="default"/>
      </w:rPr>
    </w:lvl>
    <w:lvl w:ilvl="7" w:tplc="1780E4EE" w:tentative="1">
      <w:start w:val="1"/>
      <w:numFmt w:val="bullet"/>
      <w:lvlText w:val="•"/>
      <w:lvlJc w:val="left"/>
      <w:pPr>
        <w:tabs>
          <w:tab w:val="num" w:pos="5760"/>
        </w:tabs>
        <w:ind w:left="5760" w:hanging="360"/>
      </w:pPr>
      <w:rPr>
        <w:rFonts w:ascii="Arial" w:hAnsi="Arial" w:hint="default"/>
      </w:rPr>
    </w:lvl>
    <w:lvl w:ilvl="8" w:tplc="2AF44D52"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17217971"/>
    <w:multiLevelType w:val="hybridMultilevel"/>
    <w:tmpl w:val="026A02E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E862CA4"/>
    <w:multiLevelType w:val="hybridMultilevel"/>
    <w:tmpl w:val="7DDE25DC"/>
    <w:lvl w:ilvl="0" w:tplc="452CFD72">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0E772C1"/>
    <w:multiLevelType w:val="hybridMultilevel"/>
    <w:tmpl w:val="47C80FAA"/>
    <w:lvl w:ilvl="0" w:tplc="33BAC64A">
      <w:start w:val="1"/>
      <w:numFmt w:val="bullet"/>
      <w:lvlText w:val="•"/>
      <w:lvlJc w:val="left"/>
      <w:pPr>
        <w:tabs>
          <w:tab w:val="num" w:pos="720"/>
        </w:tabs>
        <w:ind w:left="720" w:hanging="360"/>
      </w:pPr>
      <w:rPr>
        <w:rFonts w:ascii="Arial" w:hAnsi="Arial" w:hint="default"/>
      </w:rPr>
    </w:lvl>
    <w:lvl w:ilvl="1" w:tplc="7E506A06">
      <w:start w:val="54"/>
      <w:numFmt w:val="bullet"/>
      <w:lvlText w:val="–"/>
      <w:lvlJc w:val="left"/>
      <w:pPr>
        <w:tabs>
          <w:tab w:val="num" w:pos="1440"/>
        </w:tabs>
        <w:ind w:left="1440" w:hanging="360"/>
      </w:pPr>
      <w:rPr>
        <w:rFonts w:ascii="Calibri Light" w:hAnsi="Calibri Light" w:hint="default"/>
      </w:rPr>
    </w:lvl>
    <w:lvl w:ilvl="2" w:tplc="DD4AE02C" w:tentative="1">
      <w:start w:val="1"/>
      <w:numFmt w:val="bullet"/>
      <w:lvlText w:val="•"/>
      <w:lvlJc w:val="left"/>
      <w:pPr>
        <w:tabs>
          <w:tab w:val="num" w:pos="2160"/>
        </w:tabs>
        <w:ind w:left="2160" w:hanging="360"/>
      </w:pPr>
      <w:rPr>
        <w:rFonts w:ascii="Arial" w:hAnsi="Arial" w:hint="default"/>
      </w:rPr>
    </w:lvl>
    <w:lvl w:ilvl="3" w:tplc="74684E38" w:tentative="1">
      <w:start w:val="1"/>
      <w:numFmt w:val="bullet"/>
      <w:lvlText w:val="•"/>
      <w:lvlJc w:val="left"/>
      <w:pPr>
        <w:tabs>
          <w:tab w:val="num" w:pos="2880"/>
        </w:tabs>
        <w:ind w:left="2880" w:hanging="360"/>
      </w:pPr>
      <w:rPr>
        <w:rFonts w:ascii="Arial" w:hAnsi="Arial" w:hint="default"/>
      </w:rPr>
    </w:lvl>
    <w:lvl w:ilvl="4" w:tplc="1B305D80" w:tentative="1">
      <w:start w:val="1"/>
      <w:numFmt w:val="bullet"/>
      <w:lvlText w:val="•"/>
      <w:lvlJc w:val="left"/>
      <w:pPr>
        <w:tabs>
          <w:tab w:val="num" w:pos="3600"/>
        </w:tabs>
        <w:ind w:left="3600" w:hanging="360"/>
      </w:pPr>
      <w:rPr>
        <w:rFonts w:ascii="Arial" w:hAnsi="Arial" w:hint="default"/>
      </w:rPr>
    </w:lvl>
    <w:lvl w:ilvl="5" w:tplc="629C746A" w:tentative="1">
      <w:start w:val="1"/>
      <w:numFmt w:val="bullet"/>
      <w:lvlText w:val="•"/>
      <w:lvlJc w:val="left"/>
      <w:pPr>
        <w:tabs>
          <w:tab w:val="num" w:pos="4320"/>
        </w:tabs>
        <w:ind w:left="4320" w:hanging="360"/>
      </w:pPr>
      <w:rPr>
        <w:rFonts w:ascii="Arial" w:hAnsi="Arial" w:hint="default"/>
      </w:rPr>
    </w:lvl>
    <w:lvl w:ilvl="6" w:tplc="7CE4CCC4" w:tentative="1">
      <w:start w:val="1"/>
      <w:numFmt w:val="bullet"/>
      <w:lvlText w:val="•"/>
      <w:lvlJc w:val="left"/>
      <w:pPr>
        <w:tabs>
          <w:tab w:val="num" w:pos="5040"/>
        </w:tabs>
        <w:ind w:left="5040" w:hanging="360"/>
      </w:pPr>
      <w:rPr>
        <w:rFonts w:ascii="Arial" w:hAnsi="Arial" w:hint="default"/>
      </w:rPr>
    </w:lvl>
    <w:lvl w:ilvl="7" w:tplc="184A5296" w:tentative="1">
      <w:start w:val="1"/>
      <w:numFmt w:val="bullet"/>
      <w:lvlText w:val="•"/>
      <w:lvlJc w:val="left"/>
      <w:pPr>
        <w:tabs>
          <w:tab w:val="num" w:pos="5760"/>
        </w:tabs>
        <w:ind w:left="5760" w:hanging="360"/>
      </w:pPr>
      <w:rPr>
        <w:rFonts w:ascii="Arial" w:hAnsi="Arial" w:hint="default"/>
      </w:rPr>
    </w:lvl>
    <w:lvl w:ilvl="8" w:tplc="C15099D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34EC074C"/>
    <w:multiLevelType w:val="hybridMultilevel"/>
    <w:tmpl w:val="1D7EBDCA"/>
    <w:lvl w:ilvl="0" w:tplc="8B6408D4">
      <w:start w:val="1"/>
      <w:numFmt w:val="bullet"/>
      <w:lvlText w:val="•"/>
      <w:lvlJc w:val="left"/>
      <w:pPr>
        <w:tabs>
          <w:tab w:val="num" w:pos="360"/>
        </w:tabs>
        <w:ind w:left="360" w:hanging="360"/>
      </w:pPr>
      <w:rPr>
        <w:rFonts w:ascii="Arial" w:hAnsi="Arial" w:hint="default"/>
      </w:rPr>
    </w:lvl>
    <w:lvl w:ilvl="1" w:tplc="F356B000" w:tentative="1">
      <w:start w:val="1"/>
      <w:numFmt w:val="bullet"/>
      <w:lvlText w:val="•"/>
      <w:lvlJc w:val="left"/>
      <w:pPr>
        <w:tabs>
          <w:tab w:val="num" w:pos="1080"/>
        </w:tabs>
        <w:ind w:left="1080" w:hanging="360"/>
      </w:pPr>
      <w:rPr>
        <w:rFonts w:ascii="Arial" w:hAnsi="Arial" w:hint="default"/>
      </w:rPr>
    </w:lvl>
    <w:lvl w:ilvl="2" w:tplc="61E898C6" w:tentative="1">
      <w:start w:val="1"/>
      <w:numFmt w:val="bullet"/>
      <w:lvlText w:val="•"/>
      <w:lvlJc w:val="left"/>
      <w:pPr>
        <w:tabs>
          <w:tab w:val="num" w:pos="1800"/>
        </w:tabs>
        <w:ind w:left="1800" w:hanging="360"/>
      </w:pPr>
      <w:rPr>
        <w:rFonts w:ascii="Arial" w:hAnsi="Arial" w:hint="default"/>
      </w:rPr>
    </w:lvl>
    <w:lvl w:ilvl="3" w:tplc="4E08EA00" w:tentative="1">
      <w:start w:val="1"/>
      <w:numFmt w:val="bullet"/>
      <w:lvlText w:val="•"/>
      <w:lvlJc w:val="left"/>
      <w:pPr>
        <w:tabs>
          <w:tab w:val="num" w:pos="2520"/>
        </w:tabs>
        <w:ind w:left="2520" w:hanging="360"/>
      </w:pPr>
      <w:rPr>
        <w:rFonts w:ascii="Arial" w:hAnsi="Arial" w:hint="default"/>
      </w:rPr>
    </w:lvl>
    <w:lvl w:ilvl="4" w:tplc="7EBEC190" w:tentative="1">
      <w:start w:val="1"/>
      <w:numFmt w:val="bullet"/>
      <w:lvlText w:val="•"/>
      <w:lvlJc w:val="left"/>
      <w:pPr>
        <w:tabs>
          <w:tab w:val="num" w:pos="3240"/>
        </w:tabs>
        <w:ind w:left="3240" w:hanging="360"/>
      </w:pPr>
      <w:rPr>
        <w:rFonts w:ascii="Arial" w:hAnsi="Arial" w:hint="default"/>
      </w:rPr>
    </w:lvl>
    <w:lvl w:ilvl="5" w:tplc="695C885C" w:tentative="1">
      <w:start w:val="1"/>
      <w:numFmt w:val="bullet"/>
      <w:lvlText w:val="•"/>
      <w:lvlJc w:val="left"/>
      <w:pPr>
        <w:tabs>
          <w:tab w:val="num" w:pos="3960"/>
        </w:tabs>
        <w:ind w:left="3960" w:hanging="360"/>
      </w:pPr>
      <w:rPr>
        <w:rFonts w:ascii="Arial" w:hAnsi="Arial" w:hint="default"/>
      </w:rPr>
    </w:lvl>
    <w:lvl w:ilvl="6" w:tplc="C8529672" w:tentative="1">
      <w:start w:val="1"/>
      <w:numFmt w:val="bullet"/>
      <w:lvlText w:val="•"/>
      <w:lvlJc w:val="left"/>
      <w:pPr>
        <w:tabs>
          <w:tab w:val="num" w:pos="4680"/>
        </w:tabs>
        <w:ind w:left="4680" w:hanging="360"/>
      </w:pPr>
      <w:rPr>
        <w:rFonts w:ascii="Arial" w:hAnsi="Arial" w:hint="default"/>
      </w:rPr>
    </w:lvl>
    <w:lvl w:ilvl="7" w:tplc="23303478" w:tentative="1">
      <w:start w:val="1"/>
      <w:numFmt w:val="bullet"/>
      <w:lvlText w:val="•"/>
      <w:lvlJc w:val="left"/>
      <w:pPr>
        <w:tabs>
          <w:tab w:val="num" w:pos="5400"/>
        </w:tabs>
        <w:ind w:left="5400" w:hanging="360"/>
      </w:pPr>
      <w:rPr>
        <w:rFonts w:ascii="Arial" w:hAnsi="Arial" w:hint="default"/>
      </w:rPr>
    </w:lvl>
    <w:lvl w:ilvl="8" w:tplc="63F655E8" w:tentative="1">
      <w:start w:val="1"/>
      <w:numFmt w:val="bullet"/>
      <w:lvlText w:val="•"/>
      <w:lvlJc w:val="left"/>
      <w:pPr>
        <w:tabs>
          <w:tab w:val="num" w:pos="6120"/>
        </w:tabs>
        <w:ind w:left="6120" w:hanging="360"/>
      </w:pPr>
      <w:rPr>
        <w:rFonts w:ascii="Arial" w:hAnsi="Arial" w:hint="default"/>
      </w:rPr>
    </w:lvl>
  </w:abstractNum>
  <w:abstractNum w:abstractNumId="6" w15:restartNumberingAfterBreak="0">
    <w:nsid w:val="39B45EF6"/>
    <w:multiLevelType w:val="hybridMultilevel"/>
    <w:tmpl w:val="8C10D3C4"/>
    <w:lvl w:ilvl="0" w:tplc="9A821D70">
      <w:start w:val="1"/>
      <w:numFmt w:val="bullet"/>
      <w:lvlText w:val="–"/>
      <w:lvlJc w:val="left"/>
      <w:pPr>
        <w:tabs>
          <w:tab w:val="num" w:pos="720"/>
        </w:tabs>
        <w:ind w:left="720" w:hanging="360"/>
      </w:pPr>
      <w:rPr>
        <w:rFonts w:ascii="Calibri Light" w:hAnsi="Calibri Light" w:hint="default"/>
      </w:rPr>
    </w:lvl>
    <w:lvl w:ilvl="1" w:tplc="B316BF54">
      <w:start w:val="1"/>
      <w:numFmt w:val="bullet"/>
      <w:lvlText w:val="–"/>
      <w:lvlJc w:val="left"/>
      <w:pPr>
        <w:tabs>
          <w:tab w:val="num" w:pos="1440"/>
        </w:tabs>
        <w:ind w:left="1440" w:hanging="360"/>
      </w:pPr>
      <w:rPr>
        <w:rFonts w:ascii="Calibri Light" w:hAnsi="Calibri Light" w:hint="default"/>
      </w:rPr>
    </w:lvl>
    <w:lvl w:ilvl="2" w:tplc="9D101190" w:tentative="1">
      <w:start w:val="1"/>
      <w:numFmt w:val="bullet"/>
      <w:lvlText w:val="–"/>
      <w:lvlJc w:val="left"/>
      <w:pPr>
        <w:tabs>
          <w:tab w:val="num" w:pos="2160"/>
        </w:tabs>
        <w:ind w:left="2160" w:hanging="360"/>
      </w:pPr>
      <w:rPr>
        <w:rFonts w:ascii="Calibri Light" w:hAnsi="Calibri Light" w:hint="default"/>
      </w:rPr>
    </w:lvl>
    <w:lvl w:ilvl="3" w:tplc="4052E0F2" w:tentative="1">
      <w:start w:val="1"/>
      <w:numFmt w:val="bullet"/>
      <w:lvlText w:val="–"/>
      <w:lvlJc w:val="left"/>
      <w:pPr>
        <w:tabs>
          <w:tab w:val="num" w:pos="2880"/>
        </w:tabs>
        <w:ind w:left="2880" w:hanging="360"/>
      </w:pPr>
      <w:rPr>
        <w:rFonts w:ascii="Calibri Light" w:hAnsi="Calibri Light" w:hint="default"/>
      </w:rPr>
    </w:lvl>
    <w:lvl w:ilvl="4" w:tplc="1D98D570" w:tentative="1">
      <w:start w:val="1"/>
      <w:numFmt w:val="bullet"/>
      <w:lvlText w:val="–"/>
      <w:lvlJc w:val="left"/>
      <w:pPr>
        <w:tabs>
          <w:tab w:val="num" w:pos="3600"/>
        </w:tabs>
        <w:ind w:left="3600" w:hanging="360"/>
      </w:pPr>
      <w:rPr>
        <w:rFonts w:ascii="Calibri Light" w:hAnsi="Calibri Light" w:hint="default"/>
      </w:rPr>
    </w:lvl>
    <w:lvl w:ilvl="5" w:tplc="E4067544" w:tentative="1">
      <w:start w:val="1"/>
      <w:numFmt w:val="bullet"/>
      <w:lvlText w:val="–"/>
      <w:lvlJc w:val="left"/>
      <w:pPr>
        <w:tabs>
          <w:tab w:val="num" w:pos="4320"/>
        </w:tabs>
        <w:ind w:left="4320" w:hanging="360"/>
      </w:pPr>
      <w:rPr>
        <w:rFonts w:ascii="Calibri Light" w:hAnsi="Calibri Light" w:hint="default"/>
      </w:rPr>
    </w:lvl>
    <w:lvl w:ilvl="6" w:tplc="4B80C848" w:tentative="1">
      <w:start w:val="1"/>
      <w:numFmt w:val="bullet"/>
      <w:lvlText w:val="–"/>
      <w:lvlJc w:val="left"/>
      <w:pPr>
        <w:tabs>
          <w:tab w:val="num" w:pos="5040"/>
        </w:tabs>
        <w:ind w:left="5040" w:hanging="360"/>
      </w:pPr>
      <w:rPr>
        <w:rFonts w:ascii="Calibri Light" w:hAnsi="Calibri Light" w:hint="default"/>
      </w:rPr>
    </w:lvl>
    <w:lvl w:ilvl="7" w:tplc="EA569E02" w:tentative="1">
      <w:start w:val="1"/>
      <w:numFmt w:val="bullet"/>
      <w:lvlText w:val="–"/>
      <w:lvlJc w:val="left"/>
      <w:pPr>
        <w:tabs>
          <w:tab w:val="num" w:pos="5760"/>
        </w:tabs>
        <w:ind w:left="5760" w:hanging="360"/>
      </w:pPr>
      <w:rPr>
        <w:rFonts w:ascii="Calibri Light" w:hAnsi="Calibri Light" w:hint="default"/>
      </w:rPr>
    </w:lvl>
    <w:lvl w:ilvl="8" w:tplc="5874C654" w:tentative="1">
      <w:start w:val="1"/>
      <w:numFmt w:val="bullet"/>
      <w:lvlText w:val="–"/>
      <w:lvlJc w:val="left"/>
      <w:pPr>
        <w:tabs>
          <w:tab w:val="num" w:pos="6480"/>
        </w:tabs>
        <w:ind w:left="6480" w:hanging="360"/>
      </w:pPr>
      <w:rPr>
        <w:rFonts w:ascii="Calibri Light" w:hAnsi="Calibri Light" w:hint="default"/>
      </w:rPr>
    </w:lvl>
  </w:abstractNum>
  <w:abstractNum w:abstractNumId="7" w15:restartNumberingAfterBreak="0">
    <w:nsid w:val="39B80C54"/>
    <w:multiLevelType w:val="hybridMultilevel"/>
    <w:tmpl w:val="59B6FD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AD421D"/>
    <w:multiLevelType w:val="hybridMultilevel"/>
    <w:tmpl w:val="231AE5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D6A2B68"/>
    <w:multiLevelType w:val="hybridMultilevel"/>
    <w:tmpl w:val="D2E41668"/>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5265417"/>
    <w:multiLevelType w:val="hybridMultilevel"/>
    <w:tmpl w:val="393AD4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C9344A8"/>
    <w:multiLevelType w:val="hybridMultilevel"/>
    <w:tmpl w:val="266C4194"/>
    <w:lvl w:ilvl="0" w:tplc="690EAAAC">
      <w:start w:val="2"/>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15:restartNumberingAfterBreak="0">
    <w:nsid w:val="62466001"/>
    <w:multiLevelType w:val="hybridMultilevel"/>
    <w:tmpl w:val="7AA4461E"/>
    <w:lvl w:ilvl="0" w:tplc="0410001B">
      <w:start w:val="1"/>
      <w:numFmt w:val="lowerRoman"/>
      <w:lvlText w:val="%1."/>
      <w:lvlJc w:val="righ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15:restartNumberingAfterBreak="0">
    <w:nsid w:val="72EB5F04"/>
    <w:multiLevelType w:val="multilevel"/>
    <w:tmpl w:val="B86E00BC"/>
    <w:lvl w:ilvl="0">
      <w:start w:val="2"/>
      <w:numFmt w:val="decimal"/>
      <w:lvlText w:val="%1"/>
      <w:lvlJc w:val="left"/>
      <w:pPr>
        <w:ind w:left="384" w:hanging="384"/>
      </w:pPr>
      <w:rPr>
        <w:rFonts w:hint="default"/>
      </w:rPr>
    </w:lvl>
    <w:lvl w:ilvl="1">
      <w:start w:val="2"/>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7C8127F5"/>
    <w:multiLevelType w:val="hybridMultilevel"/>
    <w:tmpl w:val="58B81FB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2"/>
  </w:num>
  <w:num w:numId="4">
    <w:abstractNumId w:val="12"/>
  </w:num>
  <w:num w:numId="5">
    <w:abstractNumId w:val="5"/>
  </w:num>
  <w:num w:numId="6">
    <w:abstractNumId w:val="0"/>
  </w:num>
  <w:num w:numId="7">
    <w:abstractNumId w:val="14"/>
  </w:num>
  <w:num w:numId="8">
    <w:abstractNumId w:val="10"/>
  </w:num>
  <w:num w:numId="9">
    <w:abstractNumId w:val="9"/>
  </w:num>
  <w:num w:numId="10">
    <w:abstractNumId w:val="11"/>
  </w:num>
  <w:num w:numId="11">
    <w:abstractNumId w:val="13"/>
  </w:num>
  <w:num w:numId="12">
    <w:abstractNumId w:val="7"/>
  </w:num>
  <w:num w:numId="13">
    <w:abstractNumId w:val="4"/>
  </w:num>
  <w:num w:numId="14">
    <w:abstractNumId w:val="6"/>
  </w:num>
  <w:num w:numId="1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21DC"/>
    <w:rsid w:val="0001458D"/>
    <w:rsid w:val="000308D8"/>
    <w:rsid w:val="00064CF9"/>
    <w:rsid w:val="00066121"/>
    <w:rsid w:val="000B6A7F"/>
    <w:rsid w:val="000D07DC"/>
    <w:rsid w:val="000F7C30"/>
    <w:rsid w:val="001510DF"/>
    <w:rsid w:val="00184442"/>
    <w:rsid w:val="00186E80"/>
    <w:rsid w:val="001C56A6"/>
    <w:rsid w:val="001D0E73"/>
    <w:rsid w:val="001D20D7"/>
    <w:rsid w:val="001F6C01"/>
    <w:rsid w:val="002220B2"/>
    <w:rsid w:val="0026095B"/>
    <w:rsid w:val="002721DC"/>
    <w:rsid w:val="002741A3"/>
    <w:rsid w:val="0028040A"/>
    <w:rsid w:val="002908F3"/>
    <w:rsid w:val="002A068D"/>
    <w:rsid w:val="002A2599"/>
    <w:rsid w:val="0031407A"/>
    <w:rsid w:val="00334F12"/>
    <w:rsid w:val="00367A18"/>
    <w:rsid w:val="00372A7D"/>
    <w:rsid w:val="00381E91"/>
    <w:rsid w:val="0038467E"/>
    <w:rsid w:val="003E258F"/>
    <w:rsid w:val="003F7B73"/>
    <w:rsid w:val="00447185"/>
    <w:rsid w:val="00491E96"/>
    <w:rsid w:val="004B339C"/>
    <w:rsid w:val="004B6402"/>
    <w:rsid w:val="004D3CDB"/>
    <w:rsid w:val="004D72C2"/>
    <w:rsid w:val="005025CA"/>
    <w:rsid w:val="0051010F"/>
    <w:rsid w:val="00520920"/>
    <w:rsid w:val="00546F2F"/>
    <w:rsid w:val="00561B79"/>
    <w:rsid w:val="00570057"/>
    <w:rsid w:val="0057590A"/>
    <w:rsid w:val="005A0988"/>
    <w:rsid w:val="005B6DEC"/>
    <w:rsid w:val="00611A93"/>
    <w:rsid w:val="00677ED6"/>
    <w:rsid w:val="006B45D5"/>
    <w:rsid w:val="00750B6D"/>
    <w:rsid w:val="00753B12"/>
    <w:rsid w:val="00756EB1"/>
    <w:rsid w:val="007715BD"/>
    <w:rsid w:val="007903E3"/>
    <w:rsid w:val="007A53CC"/>
    <w:rsid w:val="007B02E7"/>
    <w:rsid w:val="007D29FB"/>
    <w:rsid w:val="007F7D52"/>
    <w:rsid w:val="00803C49"/>
    <w:rsid w:val="00807A5E"/>
    <w:rsid w:val="00835D57"/>
    <w:rsid w:val="0084369E"/>
    <w:rsid w:val="00893243"/>
    <w:rsid w:val="008A1E0B"/>
    <w:rsid w:val="008C36E6"/>
    <w:rsid w:val="008C3991"/>
    <w:rsid w:val="008D2D23"/>
    <w:rsid w:val="008F298B"/>
    <w:rsid w:val="009259C9"/>
    <w:rsid w:val="009421A1"/>
    <w:rsid w:val="00957D2E"/>
    <w:rsid w:val="00985C5B"/>
    <w:rsid w:val="00A032CE"/>
    <w:rsid w:val="00A06694"/>
    <w:rsid w:val="00A7264B"/>
    <w:rsid w:val="00A801AE"/>
    <w:rsid w:val="00AC0013"/>
    <w:rsid w:val="00AC7E3A"/>
    <w:rsid w:val="00AD0AD6"/>
    <w:rsid w:val="00AD374C"/>
    <w:rsid w:val="00AF1A5D"/>
    <w:rsid w:val="00AF4572"/>
    <w:rsid w:val="00B11C4B"/>
    <w:rsid w:val="00B2151C"/>
    <w:rsid w:val="00B23BBD"/>
    <w:rsid w:val="00B23BDE"/>
    <w:rsid w:val="00B3297B"/>
    <w:rsid w:val="00B50BBF"/>
    <w:rsid w:val="00BA4D7F"/>
    <w:rsid w:val="00BA78D8"/>
    <w:rsid w:val="00BD6557"/>
    <w:rsid w:val="00C35FD6"/>
    <w:rsid w:val="00C36DFA"/>
    <w:rsid w:val="00C6373E"/>
    <w:rsid w:val="00CA1C74"/>
    <w:rsid w:val="00CC58F1"/>
    <w:rsid w:val="00CD0026"/>
    <w:rsid w:val="00CE5808"/>
    <w:rsid w:val="00D104CE"/>
    <w:rsid w:val="00D116AA"/>
    <w:rsid w:val="00D1318D"/>
    <w:rsid w:val="00D236B3"/>
    <w:rsid w:val="00D24CB9"/>
    <w:rsid w:val="00D26B25"/>
    <w:rsid w:val="00D26B31"/>
    <w:rsid w:val="00D3619B"/>
    <w:rsid w:val="00D857CC"/>
    <w:rsid w:val="00D92E3C"/>
    <w:rsid w:val="00DB6ECC"/>
    <w:rsid w:val="00DC709A"/>
    <w:rsid w:val="00DE238E"/>
    <w:rsid w:val="00DE3867"/>
    <w:rsid w:val="00E333AF"/>
    <w:rsid w:val="00E342A5"/>
    <w:rsid w:val="00E46A62"/>
    <w:rsid w:val="00E54F12"/>
    <w:rsid w:val="00E70E3F"/>
    <w:rsid w:val="00EB5D6F"/>
    <w:rsid w:val="00EB7414"/>
    <w:rsid w:val="00EC1A08"/>
    <w:rsid w:val="00EE74A2"/>
    <w:rsid w:val="00EF5FB9"/>
    <w:rsid w:val="00F03717"/>
    <w:rsid w:val="00F051E2"/>
    <w:rsid w:val="00F34E87"/>
    <w:rsid w:val="00F4113A"/>
    <w:rsid w:val="00F41E65"/>
    <w:rsid w:val="00F5496B"/>
    <w:rsid w:val="00FE55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8B0D1E55-33C8-4252-9106-9AEF12C369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721DC"/>
    <w:pPr>
      <w:overflowPunct w:val="0"/>
      <w:autoSpaceDE w:val="0"/>
      <w:autoSpaceDN w:val="0"/>
      <w:adjustRightInd w:val="0"/>
      <w:spacing w:after="120" w:line="240" w:lineRule="auto"/>
      <w:jc w:val="both"/>
      <w:textAlignment w:val="baseline"/>
    </w:pPr>
    <w:rPr>
      <w:rFonts w:ascii="Arial" w:eastAsia="宋体" w:hAnsi="Arial" w:cs="Times New Roman"/>
      <w:sz w:val="20"/>
      <w:szCs w:val="20"/>
      <w:lang w:val="en-GB"/>
    </w:rPr>
  </w:style>
  <w:style w:type="paragraph" w:styleId="Heading1">
    <w:name w:val="heading 1"/>
    <w:aliases w:val="H1,h1,app heading 1,l1,Memo Heading 1,h11,h12,h13,h14,h15,h16,Heading 1_a,heading 1,h17,h111,h121,h131,h141,h151,h161,h18,h112,h122,h132,h142,h152,h162,h19,h113,h123,h133,h143,h153,h163,NMP Heading 1,Alt+1,Alt+11,Alt+12,Alt+13"/>
    <w:next w:val="Normal"/>
    <w:link w:val="Heading1Char"/>
    <w:qFormat/>
    <w:rsid w:val="002721DC"/>
    <w:pPr>
      <w:keepNext/>
      <w:keepLines/>
      <w:pBdr>
        <w:top w:val="single" w:sz="12" w:space="3" w:color="auto"/>
      </w:pBdr>
      <w:overflowPunct w:val="0"/>
      <w:autoSpaceDE w:val="0"/>
      <w:autoSpaceDN w:val="0"/>
      <w:adjustRightInd w:val="0"/>
      <w:spacing w:before="240" w:after="180" w:line="240" w:lineRule="auto"/>
      <w:textAlignment w:val="baseline"/>
      <w:outlineLvl w:val="0"/>
    </w:pPr>
    <w:rPr>
      <w:rFonts w:ascii="Arial" w:eastAsia="宋体" w:hAnsi="Arial" w:cs="Times New Roman"/>
      <w:sz w:val="36"/>
      <w:szCs w:val="36"/>
      <w:lang w:val="en-GB" w:eastAsia="ko-KR"/>
    </w:rPr>
  </w:style>
  <w:style w:type="paragraph" w:styleId="Heading2">
    <w:name w:val="heading 2"/>
    <w:aliases w:val="Head2A,2,H2,UNDERRUBRIK 1-2,DO NOT USE_h2,h2,h21,H2 Char,h2 Char"/>
    <w:basedOn w:val="Heading1"/>
    <w:next w:val="Normal"/>
    <w:link w:val="Heading2Char"/>
    <w:qFormat/>
    <w:rsid w:val="002721DC"/>
    <w:p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2721DC"/>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qFormat/>
    <w:rsid w:val="002721DC"/>
    <w:pPr>
      <w:numPr>
        <w:ilvl w:val="3"/>
      </w:numPr>
      <w:outlineLvl w:val="3"/>
    </w:pPr>
    <w:rPr>
      <w:sz w:val="24"/>
      <w:szCs w:val="24"/>
    </w:rPr>
  </w:style>
  <w:style w:type="paragraph" w:styleId="Heading5">
    <w:name w:val="heading 5"/>
    <w:basedOn w:val="Heading4"/>
    <w:next w:val="Normal"/>
    <w:link w:val="Heading5Char"/>
    <w:qFormat/>
    <w:rsid w:val="002721DC"/>
    <w:pPr>
      <w:numPr>
        <w:ilvl w:val="4"/>
      </w:numPr>
      <w:outlineLvl w:val="4"/>
    </w:pPr>
    <w:rPr>
      <w:sz w:val="22"/>
      <w:szCs w:val="22"/>
    </w:rPr>
  </w:style>
  <w:style w:type="paragraph" w:styleId="Heading6">
    <w:name w:val="heading 6"/>
    <w:basedOn w:val="Normal"/>
    <w:next w:val="Normal"/>
    <w:link w:val="Heading6Char"/>
    <w:qFormat/>
    <w:rsid w:val="002721DC"/>
    <w:pPr>
      <w:keepNext/>
      <w:keepLines/>
      <w:spacing w:before="120"/>
      <w:outlineLvl w:val="5"/>
    </w:pPr>
    <w:rPr>
      <w:rFonts w:cs="Arial"/>
    </w:rPr>
  </w:style>
  <w:style w:type="paragraph" w:styleId="Heading7">
    <w:name w:val="heading 7"/>
    <w:basedOn w:val="Normal"/>
    <w:next w:val="Normal"/>
    <w:link w:val="Heading7Char"/>
    <w:qFormat/>
    <w:rsid w:val="002721DC"/>
    <w:pPr>
      <w:keepNext/>
      <w:keepLines/>
      <w:spacing w:before="120"/>
      <w:outlineLvl w:val="6"/>
    </w:pPr>
    <w:rPr>
      <w:rFonts w:cs="Arial"/>
    </w:rPr>
  </w:style>
  <w:style w:type="paragraph" w:styleId="Heading8">
    <w:name w:val="heading 8"/>
    <w:basedOn w:val="Heading7"/>
    <w:next w:val="Normal"/>
    <w:link w:val="Heading8Char"/>
    <w:qFormat/>
    <w:rsid w:val="002721DC"/>
    <w:pPr>
      <w:numPr>
        <w:ilvl w:val="7"/>
      </w:numPr>
      <w:outlineLvl w:val="7"/>
    </w:pPr>
  </w:style>
  <w:style w:type="paragraph" w:styleId="Heading9">
    <w:name w:val="heading 9"/>
    <w:basedOn w:val="Heading8"/>
    <w:next w:val="Normal"/>
    <w:link w:val="Heading9Char"/>
    <w:qFormat/>
    <w:rsid w:val="002721DC"/>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2721DC"/>
    <w:rPr>
      <w:rFonts w:ascii="Arial" w:eastAsia="宋体" w:hAnsi="Arial" w:cs="Times New Roman"/>
      <w:sz w:val="36"/>
      <w:szCs w:val="36"/>
      <w:lang w:val="en-GB" w:eastAsia="ko-KR"/>
    </w:rPr>
  </w:style>
  <w:style w:type="character" w:customStyle="1" w:styleId="Heading2Char">
    <w:name w:val="Heading 2 Char"/>
    <w:aliases w:val="Head2A Char,2 Char,H2 Char1,UNDERRUBRIK 1-2 Char,DO NOT USE_h2 Char,h2 Char1,h21 Char,H2 Char Char,h2 Char Char"/>
    <w:basedOn w:val="DefaultParagraphFont"/>
    <w:link w:val="Heading2"/>
    <w:rsid w:val="002721DC"/>
    <w:rPr>
      <w:rFonts w:ascii="Arial" w:eastAsia="宋体" w:hAnsi="Arial" w:cs="Times New Roman"/>
      <w:sz w:val="32"/>
      <w:szCs w:val="32"/>
      <w:lang w:val="en-GB" w:eastAsia="ko-KR"/>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2721DC"/>
    <w:rPr>
      <w:rFonts w:ascii="Arial" w:eastAsia="宋体" w:hAnsi="Arial" w:cs="Times New Roman"/>
      <w:sz w:val="28"/>
      <w:szCs w:val="28"/>
      <w:lang w:val="en-GB" w:eastAsia="ko-KR"/>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721DC"/>
    <w:rPr>
      <w:rFonts w:ascii="Arial" w:eastAsia="宋体" w:hAnsi="Arial" w:cs="Times New Roman"/>
      <w:sz w:val="24"/>
      <w:szCs w:val="24"/>
      <w:lang w:val="en-GB" w:eastAsia="ko-KR"/>
    </w:rPr>
  </w:style>
  <w:style w:type="character" w:customStyle="1" w:styleId="Heading5Char">
    <w:name w:val="Heading 5 Char"/>
    <w:basedOn w:val="DefaultParagraphFont"/>
    <w:link w:val="Heading5"/>
    <w:rsid w:val="002721DC"/>
    <w:rPr>
      <w:rFonts w:ascii="Arial" w:eastAsia="宋体" w:hAnsi="Arial" w:cs="Times New Roman"/>
      <w:lang w:val="en-GB" w:eastAsia="ko-KR"/>
    </w:rPr>
  </w:style>
  <w:style w:type="character" w:customStyle="1" w:styleId="Heading6Char">
    <w:name w:val="Heading 6 Char"/>
    <w:basedOn w:val="DefaultParagraphFont"/>
    <w:link w:val="Heading6"/>
    <w:rsid w:val="002721DC"/>
    <w:rPr>
      <w:rFonts w:ascii="Arial" w:eastAsia="宋体" w:hAnsi="Arial" w:cs="Arial"/>
      <w:sz w:val="20"/>
      <w:szCs w:val="20"/>
      <w:lang w:val="en-GB"/>
    </w:rPr>
  </w:style>
  <w:style w:type="character" w:customStyle="1" w:styleId="Heading7Char">
    <w:name w:val="Heading 7 Char"/>
    <w:basedOn w:val="DefaultParagraphFont"/>
    <w:link w:val="Heading7"/>
    <w:rsid w:val="002721DC"/>
    <w:rPr>
      <w:rFonts w:ascii="Arial" w:eastAsia="宋体" w:hAnsi="Arial" w:cs="Arial"/>
      <w:sz w:val="20"/>
      <w:szCs w:val="20"/>
      <w:lang w:val="en-GB"/>
    </w:rPr>
  </w:style>
  <w:style w:type="character" w:customStyle="1" w:styleId="Heading8Char">
    <w:name w:val="Heading 8 Char"/>
    <w:basedOn w:val="DefaultParagraphFont"/>
    <w:link w:val="Heading8"/>
    <w:rsid w:val="002721DC"/>
    <w:rPr>
      <w:rFonts w:ascii="Arial" w:eastAsia="宋体" w:hAnsi="Arial" w:cs="Arial"/>
      <w:sz w:val="20"/>
      <w:szCs w:val="20"/>
      <w:lang w:val="en-GB"/>
    </w:rPr>
  </w:style>
  <w:style w:type="character" w:customStyle="1" w:styleId="Heading9Char">
    <w:name w:val="Heading 9 Char"/>
    <w:basedOn w:val="DefaultParagraphFont"/>
    <w:link w:val="Heading9"/>
    <w:rsid w:val="002721DC"/>
    <w:rPr>
      <w:rFonts w:ascii="Arial" w:eastAsia="宋体" w:hAnsi="Arial" w:cs="Arial"/>
      <w:sz w:val="20"/>
      <w:szCs w:val="20"/>
      <w:lang w:val="en-GB"/>
    </w:rPr>
  </w:style>
  <w:style w:type="paragraph" w:customStyle="1" w:styleId="3GPPHeader">
    <w:name w:val="3GPP_Header"/>
    <w:basedOn w:val="Normal"/>
    <w:rsid w:val="002721DC"/>
    <w:pPr>
      <w:tabs>
        <w:tab w:val="left" w:pos="1701"/>
        <w:tab w:val="right" w:pos="9639"/>
      </w:tabs>
      <w:spacing w:after="240"/>
    </w:pPr>
    <w:rPr>
      <w:b/>
      <w:sz w:val="24"/>
    </w:rPr>
  </w:style>
  <w:style w:type="paragraph" w:styleId="BodyText">
    <w:name w:val="Body Text"/>
    <w:basedOn w:val="Normal"/>
    <w:link w:val="BodyTextChar"/>
    <w:rsid w:val="002721DC"/>
    <w:rPr>
      <w:lang w:eastAsia="x-none"/>
    </w:rPr>
  </w:style>
  <w:style w:type="character" w:customStyle="1" w:styleId="BodyTextChar">
    <w:name w:val="Body Text Char"/>
    <w:basedOn w:val="DefaultParagraphFont"/>
    <w:link w:val="BodyText"/>
    <w:rsid w:val="002721DC"/>
    <w:rPr>
      <w:rFonts w:ascii="Arial" w:eastAsia="宋体" w:hAnsi="Arial" w:cs="Times New Roman"/>
      <w:sz w:val="20"/>
      <w:szCs w:val="20"/>
      <w:lang w:val="en-GB" w:eastAsia="x-none"/>
    </w:rPr>
  </w:style>
  <w:style w:type="character" w:customStyle="1" w:styleId="Doc-titleChar">
    <w:name w:val="Doc-title Char"/>
    <w:link w:val="Doc-title"/>
    <w:locked/>
    <w:rsid w:val="002721DC"/>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2721DC"/>
    <w:pPr>
      <w:overflowPunct/>
      <w:autoSpaceDE/>
      <w:autoSpaceDN/>
      <w:adjustRightInd/>
      <w:spacing w:before="60" w:after="0"/>
      <w:ind w:left="1259" w:hanging="1259"/>
      <w:jc w:val="left"/>
      <w:textAlignment w:val="auto"/>
    </w:pPr>
    <w:rPr>
      <w:rFonts w:eastAsia="MS Mincho" w:cs="Arial"/>
      <w:noProof/>
      <w:sz w:val="22"/>
      <w:szCs w:val="24"/>
      <w:lang w:eastAsia="en-GB"/>
    </w:rPr>
  </w:style>
  <w:style w:type="table" w:styleId="TableGrid">
    <w:name w:val="Table Grid"/>
    <w:basedOn w:val="TableNormal"/>
    <w:uiPriority w:val="39"/>
    <w:rsid w:val="008932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List"/>
    <w:link w:val="B10"/>
    <w:qFormat/>
    <w:rsid w:val="00893243"/>
    <w:pPr>
      <w:spacing w:after="180"/>
      <w:ind w:left="568" w:hanging="284"/>
      <w:contextualSpacing w:val="0"/>
      <w:jc w:val="left"/>
    </w:pPr>
    <w:rPr>
      <w:rFonts w:ascii="Times New Roman" w:eastAsia="MS Mincho" w:hAnsi="Times New Roman"/>
      <w:lang w:eastAsia="en-US"/>
    </w:rPr>
  </w:style>
  <w:style w:type="paragraph" w:styleId="List">
    <w:name w:val="List"/>
    <w:basedOn w:val="Normal"/>
    <w:uiPriority w:val="99"/>
    <w:semiHidden/>
    <w:unhideWhenUsed/>
    <w:rsid w:val="00893243"/>
    <w:pPr>
      <w:ind w:left="283" w:hanging="283"/>
      <w:contextualSpacing/>
    </w:pPr>
  </w:style>
  <w:style w:type="paragraph" w:customStyle="1" w:styleId="00BodyText">
    <w:name w:val="00 BodyText"/>
    <w:basedOn w:val="Normal"/>
    <w:qFormat/>
    <w:rsid w:val="00B50BBF"/>
    <w:pPr>
      <w:overflowPunct/>
      <w:autoSpaceDE/>
      <w:autoSpaceDN/>
      <w:adjustRightInd/>
      <w:spacing w:after="220" w:line="259" w:lineRule="auto"/>
      <w:jc w:val="left"/>
      <w:textAlignment w:val="auto"/>
    </w:pPr>
    <w:rPr>
      <w:rFonts w:eastAsia="Times New Roman"/>
      <w:sz w:val="22"/>
      <w:lang w:val="en-US" w:eastAsia="en-US"/>
    </w:rPr>
  </w:style>
  <w:style w:type="paragraph" w:customStyle="1" w:styleId="Doc-text2">
    <w:name w:val="Doc-text2"/>
    <w:basedOn w:val="Normal"/>
    <w:link w:val="Doc-text2Char"/>
    <w:qFormat/>
    <w:rsid w:val="00756EB1"/>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756EB1"/>
    <w:rPr>
      <w:rFonts w:ascii="Arial" w:eastAsia="MS Mincho" w:hAnsi="Arial" w:cs="Times New Roman"/>
      <w:sz w:val="20"/>
      <w:szCs w:val="24"/>
      <w:lang w:val="en-GB" w:eastAsia="en-GB"/>
    </w:rPr>
  </w:style>
  <w:style w:type="paragraph" w:styleId="Header">
    <w:name w:val="header"/>
    <w:basedOn w:val="Normal"/>
    <w:link w:val="HeaderChar"/>
    <w:uiPriority w:val="99"/>
    <w:unhideWhenUsed/>
    <w:rsid w:val="00753B12"/>
    <w:pPr>
      <w:tabs>
        <w:tab w:val="center" w:pos="4320"/>
        <w:tab w:val="right" w:pos="8640"/>
      </w:tabs>
      <w:spacing w:after="0"/>
    </w:pPr>
  </w:style>
  <w:style w:type="character" w:customStyle="1" w:styleId="HeaderChar">
    <w:name w:val="Header Char"/>
    <w:basedOn w:val="DefaultParagraphFont"/>
    <w:link w:val="Header"/>
    <w:uiPriority w:val="99"/>
    <w:rsid w:val="00753B12"/>
    <w:rPr>
      <w:rFonts w:ascii="Arial" w:eastAsia="宋体" w:hAnsi="Arial" w:cs="Times New Roman"/>
      <w:sz w:val="20"/>
      <w:szCs w:val="20"/>
      <w:lang w:val="en-GB"/>
    </w:rPr>
  </w:style>
  <w:style w:type="paragraph" w:styleId="Footer">
    <w:name w:val="footer"/>
    <w:basedOn w:val="Normal"/>
    <w:link w:val="FooterChar"/>
    <w:uiPriority w:val="99"/>
    <w:unhideWhenUsed/>
    <w:rsid w:val="00753B12"/>
    <w:pPr>
      <w:tabs>
        <w:tab w:val="center" w:pos="4320"/>
        <w:tab w:val="right" w:pos="8640"/>
      </w:tabs>
      <w:spacing w:after="0"/>
    </w:pPr>
  </w:style>
  <w:style w:type="character" w:customStyle="1" w:styleId="FooterChar">
    <w:name w:val="Footer Char"/>
    <w:basedOn w:val="DefaultParagraphFont"/>
    <w:link w:val="Footer"/>
    <w:uiPriority w:val="99"/>
    <w:rsid w:val="00753B12"/>
    <w:rPr>
      <w:rFonts w:ascii="Arial" w:eastAsia="宋体" w:hAnsi="Arial" w:cs="Times New Roman"/>
      <w:sz w:val="20"/>
      <w:szCs w:val="20"/>
      <w:lang w:val="en-GB"/>
    </w:rPr>
  </w:style>
  <w:style w:type="paragraph" w:styleId="ListParagraph">
    <w:name w:val="List Paragraph"/>
    <w:basedOn w:val="Normal"/>
    <w:uiPriority w:val="34"/>
    <w:qFormat/>
    <w:rsid w:val="00F34E87"/>
    <w:pPr>
      <w:ind w:left="720"/>
      <w:contextualSpacing/>
    </w:pPr>
  </w:style>
  <w:style w:type="character" w:styleId="Strong">
    <w:name w:val="Strong"/>
    <w:basedOn w:val="DefaultParagraphFont"/>
    <w:qFormat/>
    <w:rsid w:val="008C36E6"/>
    <w:rPr>
      <w:b/>
      <w:bCs/>
    </w:rPr>
  </w:style>
  <w:style w:type="paragraph" w:styleId="Caption">
    <w:name w:val="caption"/>
    <w:aliases w:val="cap"/>
    <w:basedOn w:val="Normal"/>
    <w:next w:val="Normal"/>
    <w:link w:val="CaptionChar"/>
    <w:qFormat/>
    <w:rsid w:val="00CC58F1"/>
    <w:pPr>
      <w:overflowPunct/>
      <w:autoSpaceDE/>
      <w:autoSpaceDN/>
      <w:adjustRightInd/>
      <w:spacing w:before="120"/>
      <w:jc w:val="left"/>
      <w:textAlignment w:val="auto"/>
    </w:pPr>
    <w:rPr>
      <w:rFonts w:ascii="Times New Roman" w:eastAsia="Times New Roman" w:hAnsi="Times New Roman"/>
      <w:b/>
      <w:sz w:val="24"/>
      <w:szCs w:val="24"/>
      <w:lang w:eastAsia="en-GB"/>
    </w:rPr>
  </w:style>
  <w:style w:type="character" w:customStyle="1" w:styleId="B10">
    <w:name w:val="B1 (文字)"/>
    <w:link w:val="B1"/>
    <w:locked/>
    <w:rsid w:val="00CC58F1"/>
    <w:rPr>
      <w:rFonts w:ascii="Times New Roman" w:eastAsia="MS Mincho" w:hAnsi="Times New Roman" w:cs="Times New Roman"/>
      <w:sz w:val="20"/>
      <w:szCs w:val="20"/>
      <w:lang w:val="en-GB" w:eastAsia="en-US"/>
    </w:rPr>
  </w:style>
  <w:style w:type="character" w:customStyle="1" w:styleId="CaptionChar">
    <w:name w:val="Caption Char"/>
    <w:aliases w:val="cap Char"/>
    <w:link w:val="Caption"/>
    <w:rsid w:val="00CC58F1"/>
    <w:rPr>
      <w:rFonts w:ascii="Times New Roman" w:eastAsia="Times New Roman" w:hAnsi="Times New Roman" w:cs="Times New Roman"/>
      <w:b/>
      <w:sz w:val="24"/>
      <w:szCs w:val="24"/>
      <w:lang w:val="en-GB" w:eastAsia="en-GB"/>
    </w:rPr>
  </w:style>
  <w:style w:type="character" w:styleId="Emphasis">
    <w:name w:val="Emphasis"/>
    <w:basedOn w:val="DefaultParagraphFont"/>
    <w:qFormat/>
    <w:rsid w:val="00CC58F1"/>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4135035">
      <w:bodyDiv w:val="1"/>
      <w:marLeft w:val="0"/>
      <w:marRight w:val="0"/>
      <w:marTop w:val="0"/>
      <w:marBottom w:val="0"/>
      <w:divBdr>
        <w:top w:val="none" w:sz="0" w:space="0" w:color="auto"/>
        <w:left w:val="none" w:sz="0" w:space="0" w:color="auto"/>
        <w:bottom w:val="none" w:sz="0" w:space="0" w:color="auto"/>
        <w:right w:val="none" w:sz="0" w:space="0" w:color="auto"/>
      </w:divBdr>
      <w:divsChild>
        <w:div w:id="2083867633">
          <w:marLeft w:val="432"/>
          <w:marRight w:val="0"/>
          <w:marTop w:val="240"/>
          <w:marBottom w:val="0"/>
          <w:divBdr>
            <w:top w:val="none" w:sz="0" w:space="0" w:color="auto"/>
            <w:left w:val="none" w:sz="0" w:space="0" w:color="auto"/>
            <w:bottom w:val="none" w:sz="0" w:space="0" w:color="auto"/>
            <w:right w:val="none" w:sz="0" w:space="0" w:color="auto"/>
          </w:divBdr>
        </w:div>
      </w:divsChild>
    </w:div>
    <w:div w:id="345059194">
      <w:bodyDiv w:val="1"/>
      <w:marLeft w:val="0"/>
      <w:marRight w:val="0"/>
      <w:marTop w:val="0"/>
      <w:marBottom w:val="0"/>
      <w:divBdr>
        <w:top w:val="none" w:sz="0" w:space="0" w:color="auto"/>
        <w:left w:val="none" w:sz="0" w:space="0" w:color="auto"/>
        <w:bottom w:val="none" w:sz="0" w:space="0" w:color="auto"/>
        <w:right w:val="none" w:sz="0" w:space="0" w:color="auto"/>
      </w:divBdr>
      <w:divsChild>
        <w:div w:id="1610969373">
          <w:marLeft w:val="1267"/>
          <w:marRight w:val="0"/>
          <w:marTop w:val="180"/>
          <w:marBottom w:val="0"/>
          <w:divBdr>
            <w:top w:val="none" w:sz="0" w:space="0" w:color="auto"/>
            <w:left w:val="none" w:sz="0" w:space="0" w:color="auto"/>
            <w:bottom w:val="none" w:sz="0" w:space="0" w:color="auto"/>
            <w:right w:val="none" w:sz="0" w:space="0" w:color="auto"/>
          </w:divBdr>
        </w:div>
      </w:divsChild>
    </w:div>
    <w:div w:id="823862718">
      <w:bodyDiv w:val="1"/>
      <w:marLeft w:val="0"/>
      <w:marRight w:val="0"/>
      <w:marTop w:val="0"/>
      <w:marBottom w:val="0"/>
      <w:divBdr>
        <w:top w:val="none" w:sz="0" w:space="0" w:color="auto"/>
        <w:left w:val="none" w:sz="0" w:space="0" w:color="auto"/>
        <w:bottom w:val="none" w:sz="0" w:space="0" w:color="auto"/>
        <w:right w:val="none" w:sz="0" w:space="0" w:color="auto"/>
      </w:divBdr>
      <w:divsChild>
        <w:div w:id="112138438">
          <w:marLeft w:val="432"/>
          <w:marRight w:val="0"/>
          <w:marTop w:val="240"/>
          <w:marBottom w:val="0"/>
          <w:divBdr>
            <w:top w:val="none" w:sz="0" w:space="0" w:color="auto"/>
            <w:left w:val="none" w:sz="0" w:space="0" w:color="auto"/>
            <w:bottom w:val="none" w:sz="0" w:space="0" w:color="auto"/>
            <w:right w:val="none" w:sz="0" w:space="0" w:color="auto"/>
          </w:divBdr>
        </w:div>
        <w:div w:id="920212070">
          <w:marLeft w:val="1267"/>
          <w:marRight w:val="0"/>
          <w:marTop w:val="180"/>
          <w:marBottom w:val="0"/>
          <w:divBdr>
            <w:top w:val="none" w:sz="0" w:space="0" w:color="auto"/>
            <w:left w:val="none" w:sz="0" w:space="0" w:color="auto"/>
            <w:bottom w:val="none" w:sz="0" w:space="0" w:color="auto"/>
            <w:right w:val="none" w:sz="0" w:space="0" w:color="auto"/>
          </w:divBdr>
        </w:div>
      </w:divsChild>
    </w:div>
    <w:div w:id="1591549812">
      <w:bodyDiv w:val="1"/>
      <w:marLeft w:val="0"/>
      <w:marRight w:val="0"/>
      <w:marTop w:val="0"/>
      <w:marBottom w:val="0"/>
      <w:divBdr>
        <w:top w:val="none" w:sz="0" w:space="0" w:color="auto"/>
        <w:left w:val="none" w:sz="0" w:space="0" w:color="auto"/>
        <w:bottom w:val="none" w:sz="0" w:space="0" w:color="auto"/>
        <w:right w:val="none" w:sz="0" w:space="0" w:color="auto"/>
      </w:divBdr>
      <w:divsChild>
        <w:div w:id="4988205">
          <w:marLeft w:val="432"/>
          <w:marRight w:val="0"/>
          <w:marTop w:val="240"/>
          <w:marBottom w:val="0"/>
          <w:divBdr>
            <w:top w:val="none" w:sz="0" w:space="0" w:color="auto"/>
            <w:left w:val="none" w:sz="0" w:space="0" w:color="auto"/>
            <w:bottom w:val="none" w:sz="0" w:space="0" w:color="auto"/>
            <w:right w:val="none" w:sz="0" w:space="0" w:color="auto"/>
          </w:divBdr>
        </w:div>
      </w:divsChild>
    </w:div>
    <w:div w:id="1651784559">
      <w:bodyDiv w:val="1"/>
      <w:marLeft w:val="0"/>
      <w:marRight w:val="0"/>
      <w:marTop w:val="0"/>
      <w:marBottom w:val="0"/>
      <w:divBdr>
        <w:top w:val="none" w:sz="0" w:space="0" w:color="auto"/>
        <w:left w:val="none" w:sz="0" w:space="0" w:color="auto"/>
        <w:bottom w:val="none" w:sz="0" w:space="0" w:color="auto"/>
        <w:right w:val="none" w:sz="0" w:space="0" w:color="auto"/>
      </w:divBdr>
      <w:divsChild>
        <w:div w:id="672342104">
          <w:marLeft w:val="1267"/>
          <w:marRight w:val="0"/>
          <w:marTop w:val="180"/>
          <w:marBottom w:val="0"/>
          <w:divBdr>
            <w:top w:val="none" w:sz="0" w:space="0" w:color="auto"/>
            <w:left w:val="none" w:sz="0" w:space="0" w:color="auto"/>
            <w:bottom w:val="none" w:sz="0" w:space="0" w:color="auto"/>
            <w:right w:val="none" w:sz="0" w:space="0" w:color="auto"/>
          </w:divBdr>
        </w:div>
        <w:div w:id="456917231">
          <w:marLeft w:val="1267"/>
          <w:marRight w:val="0"/>
          <w:marTop w:val="18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1.vsdx"/><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5</Pages>
  <Words>1820</Words>
  <Characters>10378</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12174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Mediatek (Yuanyuan)</dc:creator>
  <cp:keywords/>
  <dc:description/>
  <cp:lastModifiedBy>Mediatek (Yuanyuan)</cp:lastModifiedBy>
  <cp:revision>4</cp:revision>
  <dcterms:created xsi:type="dcterms:W3CDTF">2019-02-14T09:59:00Z</dcterms:created>
  <dcterms:modified xsi:type="dcterms:W3CDTF">2019-02-14T10:31:00Z</dcterms:modified>
</cp:coreProperties>
</file>