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1DC" w:rsidRPr="0078591D" w:rsidRDefault="002721DC" w:rsidP="002721DC">
      <w:pPr>
        <w:pStyle w:val="3GPPHeader"/>
        <w:spacing w:after="0"/>
        <w:rPr>
          <w:rFonts w:cs="Arial"/>
          <w:color w:val="000000"/>
          <w:kern w:val="2"/>
          <w:lang w:val="en-US"/>
        </w:rPr>
      </w:pPr>
      <w:bookmarkStart w:id="0" w:name="OLE_LINK10"/>
      <w:bookmarkStart w:id="1" w:name="OLE_LINK11"/>
      <w:r w:rsidRPr="0078591D">
        <w:rPr>
          <w:noProof/>
          <w:lang w:val="en-US"/>
        </w:rPr>
        <w:t>3GPP TSG-RAN WG2</w:t>
      </w:r>
      <w:r w:rsidRPr="0078591D">
        <w:rPr>
          <w:rFonts w:hint="eastAsia"/>
          <w:noProof/>
          <w:lang w:val="en-US"/>
        </w:rPr>
        <w:t xml:space="preserve"> Meeting #10</w:t>
      </w:r>
      <w:r w:rsidRPr="0078591D">
        <w:rPr>
          <w:noProof/>
          <w:lang w:val="en-US"/>
        </w:rPr>
        <w:t>5</w:t>
      </w:r>
      <w:r w:rsidRPr="0078591D">
        <w:rPr>
          <w:rFonts w:cs="Arial"/>
          <w:color w:val="000000"/>
          <w:kern w:val="2"/>
          <w:lang w:val="en-US"/>
        </w:rPr>
        <w:tab/>
        <w:t xml:space="preserve"> </w:t>
      </w:r>
      <w:r w:rsidR="00AC1714" w:rsidRPr="00AC1714">
        <w:rPr>
          <w:noProof/>
          <w:lang w:val="en-US"/>
        </w:rPr>
        <w:t>R2-1900435</w:t>
      </w:r>
    </w:p>
    <w:bookmarkEnd w:id="0"/>
    <w:bookmarkEnd w:id="1"/>
    <w:p w:rsidR="002721DC" w:rsidRPr="0078591D" w:rsidRDefault="002721DC" w:rsidP="002721DC">
      <w:pPr>
        <w:pStyle w:val="3GPPHeader"/>
      </w:pPr>
      <w:r w:rsidRPr="0078591D">
        <w:rPr>
          <w:noProof/>
        </w:rPr>
        <w:t>Athens</w:t>
      </w:r>
      <w:r w:rsidRPr="0078591D">
        <w:rPr>
          <w:rFonts w:cs="Arial"/>
          <w:color w:val="000000"/>
          <w:kern w:val="2"/>
          <w:lang w:val="en-US"/>
        </w:rPr>
        <w:t>, Greece, 25 Feb - 1 Mar 2019</w:t>
      </w:r>
    </w:p>
    <w:p w:rsidR="002721DC" w:rsidRPr="0078591D" w:rsidRDefault="002721DC" w:rsidP="002721DC">
      <w:pPr>
        <w:tabs>
          <w:tab w:val="left" w:pos="1701"/>
          <w:tab w:val="right" w:pos="9639"/>
        </w:tabs>
        <w:spacing w:after="0"/>
        <w:rPr>
          <w:rFonts w:cs="Arial"/>
          <w:b/>
          <w:color w:val="000000"/>
          <w:kern w:val="2"/>
          <w:sz w:val="24"/>
        </w:rPr>
      </w:pPr>
    </w:p>
    <w:p w:rsidR="002721DC" w:rsidRPr="0078591D" w:rsidRDefault="002721DC" w:rsidP="002721DC">
      <w:pPr>
        <w:pStyle w:val="3GPPHeader"/>
        <w:rPr>
          <w:sz w:val="22"/>
          <w:szCs w:val="22"/>
        </w:rPr>
      </w:pPr>
      <w:r w:rsidRPr="0078591D">
        <w:rPr>
          <w:sz w:val="22"/>
          <w:szCs w:val="22"/>
        </w:rPr>
        <w:t>Agenda Item:</w:t>
      </w:r>
      <w:r w:rsidRPr="0078591D">
        <w:rPr>
          <w:sz w:val="22"/>
          <w:szCs w:val="22"/>
        </w:rPr>
        <w:tab/>
      </w:r>
      <w:r w:rsidR="00AC1714">
        <w:rPr>
          <w:sz w:val="22"/>
          <w:szCs w:val="22"/>
        </w:rPr>
        <w:t>11.9.2</w:t>
      </w:r>
    </w:p>
    <w:p w:rsidR="002721DC" w:rsidRPr="0078591D" w:rsidRDefault="002721DC" w:rsidP="002721DC">
      <w:pPr>
        <w:pStyle w:val="3GPPHeader"/>
        <w:rPr>
          <w:sz w:val="22"/>
          <w:szCs w:val="22"/>
        </w:rPr>
      </w:pPr>
      <w:r w:rsidRPr="0078591D">
        <w:rPr>
          <w:sz w:val="22"/>
          <w:szCs w:val="22"/>
        </w:rPr>
        <w:t>Source:</w:t>
      </w:r>
      <w:r w:rsidRPr="0078591D">
        <w:rPr>
          <w:sz w:val="22"/>
          <w:szCs w:val="22"/>
        </w:rPr>
        <w:tab/>
      </w:r>
      <w:r w:rsidR="00AC1714">
        <w:rPr>
          <w:sz w:val="22"/>
          <w:szCs w:val="22"/>
        </w:rPr>
        <w:t>Mediatek Inc, Vivo</w:t>
      </w:r>
    </w:p>
    <w:p w:rsidR="002721DC" w:rsidRPr="0078591D" w:rsidRDefault="002721DC" w:rsidP="002721DC">
      <w:pPr>
        <w:pStyle w:val="3GPPHeader"/>
        <w:rPr>
          <w:sz w:val="22"/>
          <w:szCs w:val="22"/>
        </w:rPr>
      </w:pPr>
      <w:r w:rsidRPr="0078591D">
        <w:rPr>
          <w:sz w:val="22"/>
          <w:szCs w:val="22"/>
        </w:rPr>
        <w:t>Title:</w:t>
      </w:r>
      <w:r w:rsidRPr="0078591D">
        <w:rPr>
          <w:sz w:val="22"/>
          <w:szCs w:val="22"/>
        </w:rPr>
        <w:tab/>
      </w:r>
      <w:r>
        <w:rPr>
          <w:sz w:val="22"/>
          <w:szCs w:val="22"/>
        </w:rPr>
        <w:t>0ms Interruption HO</w:t>
      </w:r>
      <w:r w:rsidR="00750B6D">
        <w:rPr>
          <w:sz w:val="22"/>
          <w:szCs w:val="22"/>
        </w:rPr>
        <w:t>/SCG change</w:t>
      </w:r>
      <w:r>
        <w:rPr>
          <w:sz w:val="22"/>
          <w:szCs w:val="22"/>
        </w:rPr>
        <w:t xml:space="preserve"> </w:t>
      </w:r>
      <w:r w:rsidR="00750B6D">
        <w:rPr>
          <w:sz w:val="22"/>
          <w:szCs w:val="22"/>
        </w:rPr>
        <w:t>with</w:t>
      </w:r>
      <w:r>
        <w:rPr>
          <w:sz w:val="22"/>
          <w:szCs w:val="22"/>
        </w:rPr>
        <w:t xml:space="preserve"> MR-</w:t>
      </w:r>
      <w:r w:rsidR="00750B6D">
        <w:rPr>
          <w:sz w:val="22"/>
          <w:szCs w:val="22"/>
        </w:rPr>
        <w:t>DC</w:t>
      </w:r>
      <w:r>
        <w:rPr>
          <w:sz w:val="22"/>
          <w:szCs w:val="22"/>
        </w:rPr>
        <w:t xml:space="preserve"> </w:t>
      </w:r>
      <w:r w:rsidR="00750B6D">
        <w:rPr>
          <w:sz w:val="22"/>
          <w:szCs w:val="22"/>
        </w:rPr>
        <w:t>Operations</w:t>
      </w:r>
    </w:p>
    <w:p w:rsidR="002721DC" w:rsidRPr="00CE0424" w:rsidRDefault="002721DC" w:rsidP="002721DC">
      <w:pPr>
        <w:pStyle w:val="3GPPHeader"/>
        <w:rPr>
          <w:sz w:val="22"/>
          <w:szCs w:val="22"/>
        </w:rPr>
      </w:pPr>
      <w:r w:rsidRPr="0078591D">
        <w:rPr>
          <w:sz w:val="22"/>
          <w:szCs w:val="22"/>
        </w:rPr>
        <w:t>Document for:</w:t>
      </w:r>
      <w:r w:rsidRPr="0078591D">
        <w:rPr>
          <w:sz w:val="22"/>
          <w:szCs w:val="22"/>
        </w:rPr>
        <w:tab/>
        <w:t>Discussion, Decision</w:t>
      </w:r>
    </w:p>
    <w:p w:rsidR="002721DC" w:rsidRPr="00CE0424" w:rsidRDefault="002721DC" w:rsidP="002721DC"/>
    <w:p w:rsidR="002721DC" w:rsidRDefault="002721DC" w:rsidP="002721DC">
      <w:pPr>
        <w:pStyle w:val="Heading1"/>
      </w:pPr>
      <w:bookmarkStart w:id="2" w:name="_Ref488331639"/>
      <w:r w:rsidRPr="00CE0424">
        <w:t>Introduction</w:t>
      </w:r>
      <w:bookmarkEnd w:id="2"/>
    </w:p>
    <w:p w:rsidR="00893243" w:rsidRDefault="00893243" w:rsidP="006F5D39">
      <w:pPr>
        <w:spacing w:before="120"/>
        <w:rPr>
          <w:lang w:eastAsia="ko-KR"/>
        </w:rPr>
      </w:pPr>
      <w:r>
        <w:rPr>
          <w:lang w:eastAsia="ko-KR"/>
        </w:rPr>
        <w:t>In RAN#80 meeting, the Rel-16 work item of ‘NR mobility enhancement’ was approved with following objectives:</w:t>
      </w:r>
    </w:p>
    <w:tbl>
      <w:tblPr>
        <w:tblStyle w:val="TableGrid"/>
        <w:tblW w:w="0" w:type="auto"/>
        <w:tblLook w:val="04A0" w:firstRow="1" w:lastRow="0" w:firstColumn="1" w:lastColumn="0" w:noHBand="0" w:noVBand="1"/>
      </w:tblPr>
      <w:tblGrid>
        <w:gridCol w:w="8630"/>
      </w:tblGrid>
      <w:tr w:rsidR="00893243" w:rsidTr="00893243">
        <w:tc>
          <w:tcPr>
            <w:tcW w:w="8630" w:type="dxa"/>
          </w:tcPr>
          <w:p w:rsidR="00893243" w:rsidRPr="00752959" w:rsidRDefault="00893243" w:rsidP="00893243">
            <w:pPr>
              <w:pStyle w:val="B1"/>
              <w:numPr>
                <w:ilvl w:val="0"/>
                <w:numId w:val="3"/>
              </w:numPr>
              <w:rPr>
                <w:lang w:val="en-US" w:eastAsia="ja-JP"/>
              </w:rPr>
            </w:pPr>
            <w:r w:rsidRPr="00893243">
              <w:rPr>
                <w:highlight w:val="yellow"/>
                <w:lang w:val="en-US" w:eastAsia="ja-JP"/>
              </w:rPr>
              <w:t>To study solution(s) to reduce interruption time during HO/SCG change</w:t>
            </w:r>
            <w:r>
              <w:rPr>
                <w:lang w:val="en-US" w:eastAsia="ja-JP"/>
              </w:rPr>
              <w:t xml:space="preserve"> focusing on the following identified solutions but not limited. </w:t>
            </w:r>
          </w:p>
          <w:p w:rsidR="00893243" w:rsidRPr="00752959" w:rsidRDefault="00893243" w:rsidP="00893243">
            <w:pPr>
              <w:pStyle w:val="B1"/>
              <w:numPr>
                <w:ilvl w:val="1"/>
                <w:numId w:val="3"/>
              </w:numPr>
              <w:rPr>
                <w:lang w:val="en-US" w:eastAsia="ja-JP"/>
              </w:rPr>
            </w:pPr>
            <w:r w:rsidRPr="00893243">
              <w:rPr>
                <w:lang w:val="en-US" w:eastAsia="ja-JP"/>
              </w:rPr>
              <w:t xml:space="preserve">Handover/SCG change with simultaneous connectivity with source cell and target cell. </w:t>
            </w:r>
          </w:p>
          <w:p w:rsidR="00893243" w:rsidRPr="00893243" w:rsidRDefault="00893243" w:rsidP="00893243">
            <w:pPr>
              <w:pStyle w:val="B1"/>
              <w:numPr>
                <w:ilvl w:val="1"/>
                <w:numId w:val="3"/>
              </w:numPr>
              <w:rPr>
                <w:lang w:val="en-US" w:eastAsia="ja-JP"/>
              </w:rPr>
            </w:pPr>
            <w:r w:rsidRPr="00893243">
              <w:rPr>
                <w:lang w:val="en-US" w:eastAsia="ja-JP"/>
              </w:rPr>
              <w:t xml:space="preserve">Make-before-break </w:t>
            </w:r>
          </w:p>
          <w:p w:rsidR="00893243" w:rsidRPr="00893243" w:rsidRDefault="00893243" w:rsidP="00893243">
            <w:pPr>
              <w:pStyle w:val="B1"/>
              <w:numPr>
                <w:ilvl w:val="1"/>
                <w:numId w:val="3"/>
              </w:numPr>
              <w:rPr>
                <w:lang w:val="en-US" w:eastAsia="ja-JP"/>
              </w:rPr>
            </w:pPr>
            <w:r w:rsidRPr="00893243">
              <w:rPr>
                <w:lang w:val="en-US" w:eastAsia="ja-JP"/>
              </w:rPr>
              <w:t xml:space="preserve">RACH-less handover </w:t>
            </w:r>
          </w:p>
          <w:p w:rsidR="00893243" w:rsidRPr="00ED00C5" w:rsidRDefault="00893243" w:rsidP="00893243">
            <w:pPr>
              <w:pStyle w:val="B1"/>
              <w:numPr>
                <w:ilvl w:val="0"/>
                <w:numId w:val="3"/>
              </w:numPr>
              <w:rPr>
                <w:lang w:val="en-US" w:eastAsia="ja-JP"/>
              </w:rPr>
            </w:pPr>
            <w:r>
              <w:rPr>
                <w:lang w:val="en-US" w:eastAsia="ja-JP"/>
              </w:rPr>
              <w:t>To study solution(s) to improve HO/SCG change reliability and robustness especially considering challenges in high/med frequency focusi</w:t>
            </w:r>
            <w:r w:rsidR="00E33609">
              <w:rPr>
                <w:lang w:val="en-US" w:eastAsia="ja-JP"/>
              </w:rPr>
              <w:t>ww</w:t>
            </w:r>
            <w:r>
              <w:rPr>
                <w:lang w:val="en-US" w:eastAsia="ja-JP"/>
              </w:rPr>
              <w:t xml:space="preserve">ng on the following identified solutions but not limited. </w:t>
            </w:r>
          </w:p>
          <w:p w:rsidR="00893243" w:rsidRPr="00893243" w:rsidRDefault="00893243" w:rsidP="00893243">
            <w:pPr>
              <w:pStyle w:val="B1"/>
              <w:numPr>
                <w:ilvl w:val="1"/>
                <w:numId w:val="3"/>
              </w:numPr>
              <w:rPr>
                <w:lang w:val="en-US" w:eastAsia="ja-JP"/>
              </w:rPr>
            </w:pPr>
            <w:r w:rsidRPr="00893243">
              <w:rPr>
                <w:lang w:val="en-US" w:eastAsia="ja-JP"/>
              </w:rPr>
              <w:t xml:space="preserve">Conditional handover </w:t>
            </w:r>
          </w:p>
          <w:p w:rsidR="00893243" w:rsidRPr="00893243" w:rsidRDefault="00893243" w:rsidP="00893243">
            <w:pPr>
              <w:pStyle w:val="B1"/>
              <w:numPr>
                <w:ilvl w:val="1"/>
                <w:numId w:val="3"/>
              </w:numPr>
              <w:rPr>
                <w:lang w:val="en-US" w:eastAsia="ja-JP"/>
              </w:rPr>
            </w:pPr>
            <w:r w:rsidRPr="00893243">
              <w:rPr>
                <w:lang w:val="en-US" w:eastAsia="ja-JP"/>
              </w:rPr>
              <w:t xml:space="preserve">Fast handover failure recovery </w:t>
            </w:r>
          </w:p>
          <w:p w:rsidR="00893243" w:rsidRPr="00893243" w:rsidRDefault="00893243" w:rsidP="00893243">
            <w:pPr>
              <w:pStyle w:val="B1"/>
              <w:rPr>
                <w:lang w:val="en-US" w:eastAsia="ja-JP"/>
              </w:rPr>
            </w:pPr>
            <w:r w:rsidRPr="00893243">
              <w:rPr>
                <w:lang w:val="en-US" w:eastAsia="ja-JP"/>
              </w:rPr>
              <w:t xml:space="preserve">RAN2 should avoid increasing signalling overhead. </w:t>
            </w:r>
          </w:p>
          <w:p w:rsidR="00893243" w:rsidRPr="00893243" w:rsidRDefault="00893243" w:rsidP="00893243">
            <w:pPr>
              <w:pStyle w:val="B1"/>
              <w:numPr>
                <w:ilvl w:val="0"/>
                <w:numId w:val="3"/>
              </w:numPr>
              <w:rPr>
                <w:lang w:val="en-US" w:eastAsia="ja-JP"/>
              </w:rPr>
            </w:pPr>
            <w:r w:rsidRPr="00E33609">
              <w:rPr>
                <w:lang w:val="en-US" w:eastAsia="ja-JP"/>
              </w:rPr>
              <w:t>To specify the solutions and agreements agreed during the above study phase.</w:t>
            </w:r>
            <w:r>
              <w:rPr>
                <w:lang w:val="en-US" w:eastAsia="ja-JP"/>
              </w:rPr>
              <w:t xml:space="preserve"> [RAN2/RAN1/RAN3/RAN4]</w:t>
            </w:r>
          </w:p>
        </w:tc>
      </w:tr>
    </w:tbl>
    <w:p w:rsidR="00C35FD6" w:rsidRDefault="00893243" w:rsidP="006F5D39">
      <w:pPr>
        <w:spacing w:before="120"/>
      </w:pPr>
      <w:r>
        <w:rPr>
          <w:lang w:eastAsia="ko-KR"/>
        </w:rPr>
        <w:t xml:space="preserve">In </w:t>
      </w:r>
      <w:r w:rsidR="00372A7D">
        <w:rPr>
          <w:lang w:eastAsia="ko-KR"/>
        </w:rPr>
        <w:t xml:space="preserve">Rel-15, </w:t>
      </w:r>
      <w:r w:rsidR="00372A7D">
        <w:t>MR-DC</w:t>
      </w:r>
      <w:r w:rsidR="00372A7D" w:rsidRPr="00933AAF">
        <w:t xml:space="preserve"> operation</w:t>
      </w:r>
      <w:r w:rsidR="00372A7D">
        <w:t>s</w:t>
      </w:r>
      <w:r w:rsidR="00372A7D" w:rsidRPr="00933AAF">
        <w:t xml:space="preserve"> </w:t>
      </w:r>
      <w:r w:rsidR="00372A7D">
        <w:t xml:space="preserve">with various deployment scenarios and use cases are specified, </w:t>
      </w:r>
      <w:r w:rsidR="00372A7D" w:rsidRPr="00933AAF">
        <w:t>where a multiple Rx/Tx UE may be configured to utilise resources provided by two different nodes connected via non-ideal backhaul</w:t>
      </w:r>
      <w:r w:rsidR="00E33609">
        <w:t xml:space="preserve">. </w:t>
      </w:r>
      <w:r w:rsidR="00372A7D">
        <w:t xml:space="preserve">In this contribution, we </w:t>
      </w:r>
      <w:r w:rsidR="008D01F7">
        <w:t>considers</w:t>
      </w:r>
      <w:r w:rsidR="00372A7D">
        <w:t xml:space="preserve"> </w:t>
      </w:r>
      <w:r w:rsidR="008D01F7">
        <w:t>different types of HO and MR-DC operations and discuss th</w:t>
      </w:r>
      <w:r w:rsidR="00372A7D">
        <w:t>e feasibility t</w:t>
      </w:r>
      <w:r w:rsidR="008D01F7">
        <w:t xml:space="preserve">o reduce mobility interruption in those cases. </w:t>
      </w:r>
    </w:p>
    <w:p w:rsidR="00B2151C" w:rsidRDefault="00B2151C" w:rsidP="00B2151C">
      <w:pPr>
        <w:pStyle w:val="Heading1"/>
        <w:jc w:val="both"/>
      </w:pPr>
      <w:bookmarkStart w:id="3" w:name="_Ref178064866"/>
      <w:r w:rsidRPr="00CE0424">
        <w:t>Discussion</w:t>
      </w:r>
      <w:bookmarkEnd w:id="3"/>
    </w:p>
    <w:p w:rsidR="00EE74A2" w:rsidRDefault="00EE74A2" w:rsidP="006F5D39">
      <w:pPr>
        <w:pStyle w:val="00BodyText"/>
        <w:spacing w:before="120" w:after="120"/>
        <w:jc w:val="both"/>
        <w:rPr>
          <w:b/>
          <w:sz w:val="20"/>
        </w:rPr>
      </w:pPr>
      <w:r w:rsidRPr="00520920">
        <w:rPr>
          <w:sz w:val="20"/>
        </w:rPr>
        <w:t xml:space="preserve">In Rel-15, MR-DC is supported and the UE can be configured to </w:t>
      </w:r>
      <w:r w:rsidR="00E33609" w:rsidRPr="00520920">
        <w:rPr>
          <w:sz w:val="20"/>
        </w:rPr>
        <w:t>utilize</w:t>
      </w:r>
      <w:r w:rsidR="00E33609">
        <w:rPr>
          <w:sz w:val="20"/>
        </w:rPr>
        <w:t xml:space="preserve"> radio</w:t>
      </w:r>
      <w:r w:rsidRPr="00520920">
        <w:rPr>
          <w:sz w:val="20"/>
        </w:rPr>
        <w:t xml:space="preserve"> resources provided by two different nodes, i.e. MN and SN. One provides NR access and the other provides either E-UTRA or NR access. It requires that the UE is capable of supporting dual Rx/Tx</w:t>
      </w:r>
      <w:r w:rsidR="005B6DEC" w:rsidRPr="00520920">
        <w:rPr>
          <w:sz w:val="20"/>
        </w:rPr>
        <w:t xml:space="preserve">, which is </w:t>
      </w:r>
      <w:r w:rsidR="00E33609">
        <w:rPr>
          <w:sz w:val="20"/>
        </w:rPr>
        <w:t xml:space="preserve">a </w:t>
      </w:r>
      <w:r w:rsidR="005B6DEC" w:rsidRPr="00520920">
        <w:rPr>
          <w:rFonts w:hint="eastAsia"/>
          <w:sz w:val="20"/>
          <w:lang w:eastAsia="ko-KR"/>
        </w:rPr>
        <w:t>prerequisite for inter-frequency DC</w:t>
      </w:r>
      <w:r w:rsidR="005B6DEC" w:rsidRPr="00520920">
        <w:rPr>
          <w:sz w:val="20"/>
          <w:lang w:eastAsia="ko-KR"/>
        </w:rPr>
        <w:t xml:space="preserve">. </w:t>
      </w:r>
      <w:r w:rsidRPr="00520920">
        <w:rPr>
          <w:b/>
          <w:sz w:val="20"/>
        </w:rPr>
        <w:t xml:space="preserve"> </w:t>
      </w:r>
    </w:p>
    <w:p w:rsidR="00520920" w:rsidRDefault="00EE74A2" w:rsidP="006F5D39">
      <w:pPr>
        <w:pStyle w:val="00BodyText"/>
        <w:spacing w:before="120" w:after="120"/>
        <w:jc w:val="both"/>
        <w:rPr>
          <w:sz w:val="20"/>
        </w:rPr>
      </w:pPr>
      <w:r w:rsidRPr="00520920">
        <w:rPr>
          <w:sz w:val="20"/>
        </w:rPr>
        <w:lastRenderedPageBreak/>
        <w:t xml:space="preserve">In NR mobility enhancement, HO/ SCG change interruption time should be reduced. </w:t>
      </w:r>
      <w:r w:rsidR="00520920" w:rsidRPr="00520920">
        <w:rPr>
          <w:sz w:val="20"/>
        </w:rPr>
        <w:t xml:space="preserve">0ms interruption HO requires UE has the capability to support simultaneous Tx/Rx with the source cell and target cell during HO. It’s a general requirement no matter whether UE is performing HO or SCG change. </w:t>
      </w:r>
    </w:p>
    <w:p w:rsidR="000B6A7F" w:rsidRPr="00520920" w:rsidRDefault="005B6DEC" w:rsidP="006F5D39">
      <w:pPr>
        <w:pStyle w:val="00BodyText"/>
        <w:spacing w:before="120" w:after="120"/>
        <w:jc w:val="both"/>
        <w:rPr>
          <w:sz w:val="20"/>
        </w:rPr>
      </w:pPr>
      <w:r w:rsidRPr="00520920">
        <w:rPr>
          <w:sz w:val="20"/>
        </w:rPr>
        <w:t xml:space="preserve">Considering the complexity at UE implementation to support multiple Tx/Rx, </w:t>
      </w:r>
      <w:r w:rsidR="00EE74A2" w:rsidRPr="00520920">
        <w:rPr>
          <w:sz w:val="20"/>
        </w:rPr>
        <w:t xml:space="preserve">UE capability in Rel-15 of supporting single Tx/Rx or dual Tx/Rx should be assumed. </w:t>
      </w:r>
      <w:r w:rsidR="000B6A7F" w:rsidRPr="00520920">
        <w:rPr>
          <w:sz w:val="20"/>
        </w:rPr>
        <w:t xml:space="preserve">UE is not required to perform simultaneous Tx/Rx with more than two nodes to achieved 0ms interruption during HO and SCG change, especially when various MR-DC operations are considered. </w:t>
      </w:r>
    </w:p>
    <w:p w:rsidR="000B6A7F" w:rsidRDefault="000B6A7F" w:rsidP="006F5D39">
      <w:pPr>
        <w:pStyle w:val="00BodyText"/>
        <w:spacing w:before="120" w:after="120"/>
        <w:jc w:val="both"/>
        <w:rPr>
          <w:sz w:val="20"/>
          <w:szCs w:val="22"/>
        </w:rPr>
      </w:pPr>
      <w:r w:rsidRPr="00EF5FB9">
        <w:rPr>
          <w:b/>
          <w:sz w:val="20"/>
          <w:szCs w:val="22"/>
        </w:rPr>
        <w:t xml:space="preserve">Proposal </w:t>
      </w:r>
      <w:r w:rsidR="00520920">
        <w:rPr>
          <w:b/>
          <w:sz w:val="20"/>
          <w:szCs w:val="22"/>
        </w:rPr>
        <w:t>1</w:t>
      </w:r>
      <w:r w:rsidRPr="00EF5FB9">
        <w:rPr>
          <w:b/>
          <w:sz w:val="20"/>
          <w:szCs w:val="22"/>
        </w:rPr>
        <w:t xml:space="preserve">: </w:t>
      </w:r>
      <w:r w:rsidRPr="005B6DEC">
        <w:rPr>
          <w:b/>
          <w:sz w:val="20"/>
          <w:szCs w:val="22"/>
        </w:rPr>
        <w:t xml:space="preserve">UE capability </w:t>
      </w:r>
      <w:r w:rsidR="003E6140">
        <w:rPr>
          <w:b/>
          <w:sz w:val="20"/>
          <w:szCs w:val="22"/>
        </w:rPr>
        <w:t>same as</w:t>
      </w:r>
      <w:r w:rsidRPr="005B6DEC">
        <w:rPr>
          <w:b/>
          <w:sz w:val="20"/>
          <w:szCs w:val="22"/>
        </w:rPr>
        <w:t xml:space="preserve"> Rel-15 of supporting </w:t>
      </w:r>
      <w:r w:rsidR="003E6140">
        <w:rPr>
          <w:b/>
          <w:sz w:val="20"/>
          <w:szCs w:val="22"/>
        </w:rPr>
        <w:t>simultaneous Tx/Rx with at most two nodes is assumed</w:t>
      </w:r>
      <w:r w:rsidRPr="005B6DEC">
        <w:rPr>
          <w:b/>
          <w:sz w:val="20"/>
          <w:szCs w:val="22"/>
        </w:rPr>
        <w:t xml:space="preserve">. UE is not required to </w:t>
      </w:r>
      <w:r>
        <w:rPr>
          <w:b/>
          <w:sz w:val="20"/>
          <w:szCs w:val="22"/>
        </w:rPr>
        <w:t>perform simultaneous Tx/Rx</w:t>
      </w:r>
      <w:r w:rsidRPr="005B6DEC">
        <w:rPr>
          <w:b/>
          <w:sz w:val="20"/>
          <w:szCs w:val="22"/>
        </w:rPr>
        <w:t xml:space="preserve"> </w:t>
      </w:r>
      <w:r>
        <w:rPr>
          <w:b/>
          <w:sz w:val="20"/>
          <w:szCs w:val="22"/>
        </w:rPr>
        <w:t xml:space="preserve">with </w:t>
      </w:r>
      <w:r w:rsidRPr="005B6DEC">
        <w:rPr>
          <w:b/>
          <w:sz w:val="20"/>
          <w:szCs w:val="22"/>
        </w:rPr>
        <w:t xml:space="preserve">more than </w:t>
      </w:r>
      <w:r>
        <w:rPr>
          <w:b/>
          <w:sz w:val="20"/>
          <w:szCs w:val="22"/>
        </w:rPr>
        <w:t xml:space="preserve">two nodes to achieve 0ms interruption HO/SCG change. </w:t>
      </w:r>
    </w:p>
    <w:p w:rsidR="005025CA" w:rsidRDefault="005025CA" w:rsidP="005025CA">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w:t>
      </w:r>
      <w:r w:rsidR="008F2B1A">
        <w:rPr>
          <w:rFonts w:eastAsia="Malgun Gothic" w:cs="Arial"/>
          <w:bCs/>
          <w:iCs/>
          <w:sz w:val="28"/>
          <w:szCs w:val="28"/>
          <w:lang w:val="en-US"/>
        </w:rPr>
        <w:t>1</w:t>
      </w:r>
      <w:r w:rsidRPr="00B50BBF">
        <w:rPr>
          <w:rFonts w:eastAsia="Malgun Gothic" w:cs="Arial"/>
          <w:bCs/>
          <w:iCs/>
          <w:sz w:val="28"/>
          <w:szCs w:val="28"/>
          <w:lang w:val="en-US"/>
        </w:rPr>
        <w:t xml:space="preserve"> </w:t>
      </w:r>
      <w:r w:rsidR="008F2B1A">
        <w:rPr>
          <w:rFonts w:eastAsia="Malgun Gothic" w:cs="Arial"/>
          <w:bCs/>
          <w:iCs/>
          <w:sz w:val="28"/>
          <w:szCs w:val="28"/>
          <w:lang w:val="en-US"/>
        </w:rPr>
        <w:t>Inter-system HO and Inter-RAT HO</w:t>
      </w:r>
    </w:p>
    <w:p w:rsidR="00ED36AE" w:rsidRPr="0020530E" w:rsidRDefault="008F2B1A" w:rsidP="006F5D39">
      <w:pPr>
        <w:pStyle w:val="00BodyText"/>
        <w:spacing w:before="120" w:after="120"/>
        <w:jc w:val="both"/>
        <w:rPr>
          <w:sz w:val="20"/>
        </w:rPr>
      </w:pPr>
      <w:r w:rsidRPr="0020530E">
        <w:rPr>
          <w:sz w:val="20"/>
        </w:rPr>
        <w:t xml:space="preserve">In Rel-15, inter-system HO is supported by AMF, i.e. HO involving CN change between EPC and 5GC. </w:t>
      </w:r>
      <w:r w:rsidR="00ED36AE" w:rsidRPr="0020530E">
        <w:rPr>
          <w:sz w:val="20"/>
        </w:rPr>
        <w:t xml:space="preserve">For inter-system HO, data forwarding not only involves the RAN nodes, but also the CN. For HO from EPC to 5GC, the source eNB forwards data to the SGW and then the SGW forwards the received data to the UPF. For HO from 5GC to EPC, NG-RAN node initiates data forwarding to the UPF, and then the UPF forwards the received data to SGW. Mobility enhancement in Rel-16 is not intended to reduce the interruption for inter-system HO. </w:t>
      </w:r>
    </w:p>
    <w:p w:rsidR="00ED36AE" w:rsidRPr="0020530E" w:rsidRDefault="00ED36AE" w:rsidP="006F5D39">
      <w:pPr>
        <w:spacing w:before="120"/>
        <w:rPr>
          <w:b/>
        </w:rPr>
      </w:pPr>
      <w:r w:rsidRPr="0020530E">
        <w:rPr>
          <w:b/>
        </w:rPr>
        <w:t>Observation 1: Inter-system HO involves data forwarding between UPF and 5GC</w:t>
      </w:r>
      <w:r w:rsidR="005C7505" w:rsidRPr="0020530E">
        <w:rPr>
          <w:b/>
        </w:rPr>
        <w:t xml:space="preserve"> in CN. The HO interruption can’t be reduced by RAN. </w:t>
      </w:r>
    </w:p>
    <w:p w:rsidR="005C7505" w:rsidRPr="0020530E" w:rsidRDefault="005C7505" w:rsidP="006F5D39">
      <w:pPr>
        <w:spacing w:before="120"/>
        <w:rPr>
          <w:b/>
        </w:rPr>
      </w:pPr>
      <w:r w:rsidRPr="0020530E">
        <w:rPr>
          <w:b/>
        </w:rPr>
        <w:t>Proposal 2</w:t>
      </w:r>
      <w:r w:rsidRPr="0020530E">
        <w:rPr>
          <w:rFonts w:hint="eastAsia"/>
          <w:b/>
        </w:rPr>
        <w:t xml:space="preserve">: </w:t>
      </w:r>
      <w:r w:rsidRPr="0020530E">
        <w:rPr>
          <w:b/>
        </w:rPr>
        <w:t>Inter-system HO is not considered in the WI for NR mobility enhancement.</w:t>
      </w:r>
    </w:p>
    <w:p w:rsidR="005C7505" w:rsidRPr="0020530E" w:rsidRDefault="005C7505" w:rsidP="006F5D39">
      <w:pPr>
        <w:pStyle w:val="00BodyText"/>
        <w:spacing w:before="120" w:after="120"/>
        <w:jc w:val="both"/>
        <w:rPr>
          <w:sz w:val="20"/>
        </w:rPr>
      </w:pPr>
      <w:r w:rsidRPr="0020530E">
        <w:rPr>
          <w:sz w:val="20"/>
        </w:rPr>
        <w:t>If inter-system HO is excluded from the WI, the next question is whether to optimize the interruption for inter-RAT HO. In Rel-15, inter-RAT HO between LTE and NR in 5GC is supported</w:t>
      </w:r>
      <w:r w:rsidR="007A4879" w:rsidRPr="0020530E">
        <w:rPr>
          <w:sz w:val="20"/>
        </w:rPr>
        <w:t>, and the procedure is similar as basic intra-RAT HO</w:t>
      </w:r>
      <w:r w:rsidRPr="0020530E">
        <w:rPr>
          <w:sz w:val="20"/>
        </w:rPr>
        <w:t xml:space="preserve">. </w:t>
      </w:r>
      <w:r w:rsidR="007A4879" w:rsidRPr="0020530E">
        <w:rPr>
          <w:sz w:val="20"/>
        </w:rPr>
        <w:t xml:space="preserve"> The source RAT can configure target RAT measurement and reporting and provides necessary information to the target RAT for HO preparation. </w:t>
      </w:r>
      <w:r w:rsidR="00A534AD" w:rsidRPr="0020530E">
        <w:rPr>
          <w:sz w:val="20"/>
        </w:rPr>
        <w:t xml:space="preserve">Furthermore, </w:t>
      </w:r>
      <w:r w:rsidR="007A4879" w:rsidRPr="0020530E">
        <w:rPr>
          <w:sz w:val="20"/>
        </w:rPr>
        <w:t>the</w:t>
      </w:r>
      <w:r w:rsidR="00A534AD" w:rsidRPr="0020530E">
        <w:rPr>
          <w:sz w:val="20"/>
        </w:rPr>
        <w:t xml:space="preserve"> in-sequence and lossless handover is </w:t>
      </w:r>
      <w:r w:rsidR="007A4879" w:rsidRPr="0020530E">
        <w:rPr>
          <w:sz w:val="20"/>
        </w:rPr>
        <w:t xml:space="preserve">also </w:t>
      </w:r>
      <w:r w:rsidR="00A534AD" w:rsidRPr="0020530E">
        <w:rPr>
          <w:sz w:val="20"/>
        </w:rPr>
        <w:t xml:space="preserve">supported </w:t>
      </w:r>
      <w:r w:rsidR="007A4879" w:rsidRPr="0020530E">
        <w:rPr>
          <w:sz w:val="20"/>
        </w:rPr>
        <w:t xml:space="preserve">in inter-RAT HO, where the SDAP and PDCP configurations are kept. </w:t>
      </w:r>
    </w:p>
    <w:p w:rsidR="007A4879" w:rsidRPr="0020530E" w:rsidRDefault="007A4879" w:rsidP="006F5D39">
      <w:pPr>
        <w:pStyle w:val="00BodyText"/>
        <w:spacing w:before="120" w:after="120"/>
        <w:jc w:val="both"/>
        <w:rPr>
          <w:b/>
          <w:sz w:val="20"/>
        </w:rPr>
      </w:pPr>
      <w:r w:rsidRPr="0020530E">
        <w:rPr>
          <w:b/>
          <w:sz w:val="20"/>
        </w:rPr>
        <w:t xml:space="preserve">Observation 2: The procedure of </w:t>
      </w:r>
      <w:r w:rsidR="00C82125" w:rsidRPr="0020530E">
        <w:rPr>
          <w:b/>
          <w:sz w:val="20"/>
        </w:rPr>
        <w:t>i</w:t>
      </w:r>
      <w:r w:rsidRPr="0020530E">
        <w:rPr>
          <w:b/>
          <w:sz w:val="20"/>
        </w:rPr>
        <w:t>nter-RAT HO is si</w:t>
      </w:r>
      <w:r w:rsidR="00C82125" w:rsidRPr="0020530E">
        <w:rPr>
          <w:b/>
          <w:sz w:val="20"/>
        </w:rPr>
        <w:t xml:space="preserve">milar as the basic intra-RAT HO. The </w:t>
      </w:r>
      <w:r w:rsidRPr="0020530E">
        <w:rPr>
          <w:b/>
          <w:sz w:val="20"/>
        </w:rPr>
        <w:t>in-sequence and lossless handover is also supported</w:t>
      </w:r>
      <w:r w:rsidR="00C82125" w:rsidRPr="0020530E">
        <w:rPr>
          <w:b/>
          <w:sz w:val="20"/>
        </w:rPr>
        <w:t xml:space="preserve"> for inter-RAT HO</w:t>
      </w:r>
      <w:r w:rsidRPr="0020530E">
        <w:rPr>
          <w:b/>
          <w:sz w:val="20"/>
        </w:rPr>
        <w:t xml:space="preserve"> in Rel-15. </w:t>
      </w:r>
    </w:p>
    <w:p w:rsidR="007A4879" w:rsidRPr="0020530E" w:rsidRDefault="007A4879" w:rsidP="006F5D39">
      <w:pPr>
        <w:pStyle w:val="00BodyText"/>
        <w:spacing w:before="120" w:after="120"/>
        <w:jc w:val="both"/>
        <w:rPr>
          <w:rFonts w:eastAsiaTheme="minorEastAsia"/>
          <w:sz w:val="20"/>
          <w:lang w:eastAsia="zh-CN"/>
        </w:rPr>
      </w:pPr>
      <w:r w:rsidRPr="0020530E">
        <w:rPr>
          <w:sz w:val="20"/>
        </w:rPr>
        <w:t xml:space="preserve">In the </w:t>
      </w:r>
      <w:r w:rsidR="00C82125" w:rsidRPr="0020530E">
        <w:rPr>
          <w:sz w:val="20"/>
        </w:rPr>
        <w:t>WI</w:t>
      </w:r>
      <w:r w:rsidRPr="0020530E">
        <w:rPr>
          <w:sz w:val="20"/>
        </w:rPr>
        <w:t xml:space="preserve"> of LTE mobility enhancement, it was agreed that solutions for LTE/EPC is prioritized and support of LTE/5GC can be discussed based on stage-3 details. </w:t>
      </w:r>
      <w:r w:rsidR="00DB728E" w:rsidRPr="0020530E">
        <w:rPr>
          <w:sz w:val="20"/>
        </w:rPr>
        <w:t xml:space="preserve">HO interruption reduction for </w:t>
      </w:r>
      <w:r w:rsidRPr="0020530E">
        <w:rPr>
          <w:sz w:val="20"/>
        </w:rPr>
        <w:t>Inter-RAT HO will have impact on bot</w:t>
      </w:r>
      <w:r w:rsidRPr="0020530E">
        <w:rPr>
          <w:rFonts w:eastAsiaTheme="minorEastAsia" w:hint="eastAsia"/>
          <w:sz w:val="20"/>
          <w:lang w:eastAsia="zh-CN"/>
        </w:rPr>
        <w:t>h LTE and NR side</w:t>
      </w:r>
      <w:r w:rsidR="00DB728E" w:rsidRPr="0020530E">
        <w:rPr>
          <w:rFonts w:eastAsiaTheme="minorEastAsia"/>
          <w:sz w:val="20"/>
          <w:lang w:eastAsia="zh-CN"/>
        </w:rPr>
        <w:t>, which</w:t>
      </w:r>
      <w:r w:rsidRPr="0020530E">
        <w:rPr>
          <w:rFonts w:eastAsiaTheme="minorEastAsia"/>
          <w:sz w:val="20"/>
          <w:lang w:eastAsia="zh-CN"/>
        </w:rPr>
        <w:t xml:space="preserve"> can </w:t>
      </w:r>
      <w:r w:rsidR="00DB728E" w:rsidRPr="0020530E">
        <w:rPr>
          <w:rFonts w:eastAsiaTheme="minorEastAsia"/>
          <w:sz w:val="20"/>
          <w:lang w:eastAsia="zh-CN"/>
        </w:rPr>
        <w:t xml:space="preserve">also </w:t>
      </w:r>
      <w:r w:rsidRPr="0020530E">
        <w:rPr>
          <w:rFonts w:eastAsiaTheme="minorEastAsia"/>
          <w:sz w:val="20"/>
          <w:lang w:eastAsia="zh-CN"/>
        </w:rPr>
        <w:t xml:space="preserve">be </w:t>
      </w:r>
      <w:r w:rsidR="00DB728E" w:rsidRPr="0020530E">
        <w:rPr>
          <w:rFonts w:eastAsiaTheme="minorEastAsia"/>
          <w:sz w:val="20"/>
          <w:lang w:eastAsia="zh-CN"/>
        </w:rPr>
        <w:t xml:space="preserve">discussed based on stage-3 details </w:t>
      </w:r>
      <w:r w:rsidRPr="0020530E">
        <w:rPr>
          <w:rFonts w:eastAsiaTheme="minorEastAsia"/>
          <w:sz w:val="20"/>
          <w:lang w:eastAsia="zh-CN"/>
        </w:rPr>
        <w:t xml:space="preserve">when </w:t>
      </w:r>
      <w:r w:rsidR="00DB728E" w:rsidRPr="0020530E">
        <w:rPr>
          <w:rFonts w:eastAsiaTheme="minorEastAsia"/>
          <w:sz w:val="20"/>
          <w:lang w:eastAsia="zh-CN"/>
        </w:rPr>
        <w:t xml:space="preserve">the studies on intra-RAT HO in both LTE and NR are completed. </w:t>
      </w:r>
    </w:p>
    <w:p w:rsidR="00DB728E" w:rsidRPr="0020530E" w:rsidRDefault="00DB728E" w:rsidP="006F5D39">
      <w:pPr>
        <w:pStyle w:val="00BodyText"/>
        <w:spacing w:before="120" w:after="120"/>
        <w:jc w:val="both"/>
        <w:rPr>
          <w:b/>
          <w:sz w:val="20"/>
        </w:rPr>
      </w:pPr>
      <w:r w:rsidRPr="0020530E">
        <w:rPr>
          <w:b/>
          <w:sz w:val="20"/>
        </w:rPr>
        <w:t>Proposal 3: Prioritize solutions for intra-RAT HO. Consider to support</w:t>
      </w:r>
      <w:r w:rsidR="00C82125" w:rsidRPr="0020530E">
        <w:rPr>
          <w:b/>
          <w:sz w:val="20"/>
        </w:rPr>
        <w:t xml:space="preserve"> intra-5GC</w:t>
      </w:r>
      <w:r w:rsidRPr="0020530E">
        <w:rPr>
          <w:b/>
          <w:sz w:val="20"/>
        </w:rPr>
        <w:t xml:space="preserve"> inter-RAT HO </w:t>
      </w:r>
      <w:r w:rsidR="00C82125" w:rsidRPr="0020530E">
        <w:rPr>
          <w:b/>
          <w:sz w:val="20"/>
        </w:rPr>
        <w:t>later</w:t>
      </w:r>
      <w:r w:rsidRPr="0020530E">
        <w:rPr>
          <w:b/>
          <w:sz w:val="20"/>
        </w:rPr>
        <w:t xml:space="preserve"> when the studies on interruption reduction for intra-RAT HO in both LTE and NR are completed. </w:t>
      </w:r>
    </w:p>
    <w:p w:rsidR="008F2B1A" w:rsidRDefault="00ED36AE" w:rsidP="00C82125">
      <w:pPr>
        <w:pStyle w:val="Heading2"/>
        <w:keepLines w:val="0"/>
        <w:numPr>
          <w:ilvl w:val="0"/>
          <w:numId w:val="0"/>
        </w:numPr>
        <w:spacing w:before="240" w:after="60"/>
        <w:ind w:left="432" w:hanging="432"/>
        <w:rPr>
          <w:rFonts w:eastAsia="Malgun Gothic" w:cs="Arial"/>
          <w:bCs/>
          <w:iCs/>
          <w:sz w:val="28"/>
          <w:szCs w:val="28"/>
          <w:lang w:val="en-US"/>
        </w:rPr>
      </w:pPr>
      <w:r w:rsidRPr="00C82125">
        <w:rPr>
          <w:rFonts w:eastAsia="Malgun Gothic" w:cs="Arial"/>
          <w:bCs/>
          <w:iCs/>
          <w:sz w:val="28"/>
          <w:szCs w:val="28"/>
          <w:lang w:val="en-US"/>
        </w:rPr>
        <w:t xml:space="preserve"> </w:t>
      </w:r>
      <w:r w:rsidR="008F2B1A">
        <w:rPr>
          <w:rFonts w:eastAsia="Malgun Gothic" w:cs="Arial"/>
          <w:bCs/>
          <w:iCs/>
          <w:sz w:val="28"/>
          <w:szCs w:val="28"/>
          <w:lang w:val="en-US"/>
        </w:rPr>
        <w:t>2.2</w:t>
      </w:r>
      <w:r w:rsidR="008F2B1A" w:rsidRPr="00B50BBF">
        <w:rPr>
          <w:rFonts w:eastAsia="Malgun Gothic" w:cs="Arial"/>
          <w:bCs/>
          <w:iCs/>
          <w:sz w:val="28"/>
          <w:szCs w:val="28"/>
          <w:lang w:val="en-US"/>
        </w:rPr>
        <w:t xml:space="preserve"> </w:t>
      </w:r>
      <w:r w:rsidR="008F2B1A">
        <w:rPr>
          <w:rFonts w:eastAsia="Malgun Gothic" w:cs="Arial"/>
          <w:bCs/>
          <w:iCs/>
          <w:sz w:val="28"/>
          <w:szCs w:val="28"/>
          <w:lang w:val="en-US"/>
        </w:rPr>
        <w:t>HO in MR-DC</w:t>
      </w:r>
    </w:p>
    <w:p w:rsidR="00B2151C" w:rsidRDefault="005025CA" w:rsidP="006F5D39">
      <w:pPr>
        <w:pStyle w:val="00BodyText"/>
        <w:spacing w:before="120" w:after="120"/>
        <w:jc w:val="both"/>
        <w:rPr>
          <w:sz w:val="20"/>
          <w:szCs w:val="22"/>
        </w:rPr>
      </w:pPr>
      <w:r w:rsidRPr="00DB6ECC">
        <w:rPr>
          <w:sz w:val="20"/>
          <w:szCs w:val="22"/>
        </w:rPr>
        <w:t xml:space="preserve">In Rel-15, following MR-DC operations are specified in response of UE mobility. Besides the basic HO procedure from one eNB/gNB to another eNB/gNB, inter MN change with/without SN change, MN to eNB/gNB change and eNB/gNB to MN change are supported. Those procedures combine HO procedure together with DC operation to reduce the signaling overhead and latency to setup or remove the SN. </w:t>
      </w:r>
      <w:r w:rsidR="00DC709A">
        <w:rPr>
          <w:sz w:val="20"/>
          <w:szCs w:val="22"/>
        </w:rPr>
        <w:t xml:space="preserve">In MR-DC, where the DRB is terminated is transparent to UE (MN terminated bearer or SN terminated bearer). Only the configuration of MCG and SCG is visible to UE, requiring single or dual Tx/Rx respectively. </w:t>
      </w:r>
    </w:p>
    <w:p w:rsidR="00B2151C" w:rsidRPr="00B2151C" w:rsidRDefault="00B2151C" w:rsidP="006F5D39">
      <w:pPr>
        <w:pStyle w:val="00BodyText"/>
        <w:spacing w:before="120" w:after="120"/>
        <w:jc w:val="both"/>
        <w:rPr>
          <w:b/>
          <w:sz w:val="20"/>
          <w:szCs w:val="22"/>
        </w:rPr>
      </w:pPr>
      <w:r w:rsidRPr="00B2151C">
        <w:rPr>
          <w:b/>
          <w:sz w:val="20"/>
          <w:szCs w:val="22"/>
        </w:rPr>
        <w:lastRenderedPageBreak/>
        <w:t xml:space="preserve">Observation </w:t>
      </w:r>
      <w:r w:rsidR="008D01F7">
        <w:rPr>
          <w:b/>
          <w:sz w:val="20"/>
          <w:szCs w:val="22"/>
        </w:rPr>
        <w:t>3</w:t>
      </w:r>
      <w:r w:rsidRPr="00B2151C">
        <w:rPr>
          <w:b/>
          <w:sz w:val="20"/>
          <w:szCs w:val="22"/>
        </w:rPr>
        <w:t xml:space="preserve">: In MR-DC, where the DRB </w:t>
      </w:r>
      <w:r w:rsidR="003E6140">
        <w:rPr>
          <w:b/>
          <w:sz w:val="20"/>
          <w:szCs w:val="22"/>
        </w:rPr>
        <w:t xml:space="preserve">terminated is transparent to UE. </w:t>
      </w:r>
      <w:r w:rsidR="00995304">
        <w:rPr>
          <w:b/>
          <w:sz w:val="20"/>
          <w:szCs w:val="22"/>
        </w:rPr>
        <w:t>The</w:t>
      </w:r>
      <w:r w:rsidRPr="00B2151C">
        <w:rPr>
          <w:b/>
          <w:sz w:val="20"/>
          <w:szCs w:val="22"/>
        </w:rPr>
        <w:t xml:space="preserve"> MCG and/or SCG configuration</w:t>
      </w:r>
      <w:r w:rsidR="00995304">
        <w:rPr>
          <w:b/>
          <w:sz w:val="20"/>
          <w:szCs w:val="22"/>
        </w:rPr>
        <w:t xml:space="preserve"> needs to be considered during HO/SCG change</w:t>
      </w:r>
      <w:r w:rsidRPr="00B2151C">
        <w:rPr>
          <w:b/>
          <w:sz w:val="20"/>
          <w:szCs w:val="22"/>
        </w:rPr>
        <w:t xml:space="preserve">. </w:t>
      </w:r>
    </w:p>
    <w:p w:rsidR="003F7B73" w:rsidRDefault="00B2151C" w:rsidP="006F5D39">
      <w:pPr>
        <w:pStyle w:val="00BodyText"/>
        <w:spacing w:before="120" w:after="120"/>
        <w:jc w:val="both"/>
        <w:rPr>
          <w:sz w:val="20"/>
          <w:szCs w:val="22"/>
        </w:rPr>
      </w:pPr>
      <w:r>
        <w:rPr>
          <w:sz w:val="20"/>
          <w:szCs w:val="22"/>
        </w:rPr>
        <w:t xml:space="preserve">If 0ms interruption HO is targeted during UE mobility for certain services, the simplest way is to remove the SCG </w:t>
      </w:r>
      <w:r w:rsidR="00447185">
        <w:rPr>
          <w:sz w:val="20"/>
          <w:szCs w:val="22"/>
        </w:rPr>
        <w:t xml:space="preserve">bearer and SCG </w:t>
      </w:r>
      <w:r>
        <w:rPr>
          <w:sz w:val="20"/>
          <w:szCs w:val="22"/>
        </w:rPr>
        <w:t xml:space="preserve">configuration first, perform HO and add SCG </w:t>
      </w:r>
      <w:r w:rsidR="00447185">
        <w:rPr>
          <w:sz w:val="20"/>
          <w:szCs w:val="22"/>
        </w:rPr>
        <w:t xml:space="preserve">bear and SCG configuration </w:t>
      </w:r>
      <w:r>
        <w:rPr>
          <w:sz w:val="20"/>
          <w:szCs w:val="22"/>
        </w:rPr>
        <w:t xml:space="preserve">after HO. In this way, </w:t>
      </w:r>
      <w:r w:rsidR="00803C49">
        <w:rPr>
          <w:sz w:val="20"/>
          <w:szCs w:val="22"/>
        </w:rPr>
        <w:t>UE can performs simultaneous Tx/Rx with the source cell and t</w:t>
      </w:r>
      <w:r w:rsidR="00561B79">
        <w:rPr>
          <w:sz w:val="20"/>
          <w:szCs w:val="22"/>
        </w:rPr>
        <w:t xml:space="preserve">arget cell without concerning the data transmission/reception with the SN. </w:t>
      </w:r>
      <w:r w:rsidR="003F7B73">
        <w:rPr>
          <w:sz w:val="20"/>
          <w:szCs w:val="22"/>
        </w:rPr>
        <w:t>The drawback is the additional signaling overhead and latency to setup SN after each HO procedure. Considering 0ms interruption HO together with MR-DC operation is a further enhancement, HO operation without SCG configurati</w:t>
      </w:r>
      <w:r w:rsidR="00803C49">
        <w:rPr>
          <w:sz w:val="20"/>
          <w:szCs w:val="22"/>
        </w:rPr>
        <w:t xml:space="preserve">on can be considered as basic scenario to reduce mobility interruption. </w:t>
      </w:r>
    </w:p>
    <w:p w:rsidR="00803C49" w:rsidRPr="00803C49" w:rsidRDefault="00803C49" w:rsidP="006F5D39">
      <w:pPr>
        <w:pStyle w:val="00BodyText"/>
        <w:spacing w:before="120" w:after="120"/>
        <w:jc w:val="both"/>
        <w:rPr>
          <w:b/>
          <w:sz w:val="20"/>
          <w:szCs w:val="22"/>
        </w:rPr>
      </w:pPr>
      <w:r w:rsidRPr="00803C49">
        <w:rPr>
          <w:b/>
          <w:sz w:val="20"/>
          <w:szCs w:val="22"/>
        </w:rPr>
        <w:t xml:space="preserve">Proposal </w:t>
      </w:r>
      <w:r w:rsidR="008D01F7">
        <w:rPr>
          <w:b/>
          <w:sz w:val="20"/>
          <w:szCs w:val="22"/>
        </w:rPr>
        <w:t>4</w:t>
      </w:r>
      <w:r w:rsidRPr="00803C49">
        <w:rPr>
          <w:b/>
          <w:sz w:val="20"/>
          <w:szCs w:val="22"/>
        </w:rPr>
        <w:t xml:space="preserve">: HO without SCG is considered as the basic scenario to </w:t>
      </w:r>
      <w:r w:rsidR="00561B79">
        <w:rPr>
          <w:b/>
          <w:sz w:val="20"/>
          <w:szCs w:val="22"/>
        </w:rPr>
        <w:t xml:space="preserve">achieve 0ms interruption HO. </w:t>
      </w:r>
    </w:p>
    <w:p w:rsidR="00985C5B" w:rsidRDefault="00C82125" w:rsidP="006F5D39">
      <w:pPr>
        <w:pStyle w:val="00BodyText"/>
        <w:spacing w:before="120" w:after="120"/>
        <w:jc w:val="both"/>
        <w:rPr>
          <w:sz w:val="20"/>
          <w:szCs w:val="22"/>
        </w:rPr>
      </w:pPr>
      <w:r>
        <w:rPr>
          <w:sz w:val="20"/>
          <w:szCs w:val="22"/>
        </w:rPr>
        <w:t xml:space="preserve">If only intra-RAT HO is considered, </w:t>
      </w:r>
      <w:r w:rsidR="00561B79">
        <w:rPr>
          <w:sz w:val="20"/>
          <w:szCs w:val="22"/>
        </w:rPr>
        <w:t>RAN2 should clarify</w:t>
      </w:r>
      <w:r w:rsidR="005025CA" w:rsidRPr="00DB6ECC">
        <w:rPr>
          <w:sz w:val="20"/>
          <w:szCs w:val="22"/>
        </w:rPr>
        <w:t xml:space="preserve"> whether 0ms interruption</w:t>
      </w:r>
      <w:r w:rsidR="00DC709A">
        <w:rPr>
          <w:sz w:val="20"/>
          <w:szCs w:val="22"/>
        </w:rPr>
        <w:t xml:space="preserve"> HO</w:t>
      </w:r>
      <w:r w:rsidR="005025CA" w:rsidRPr="00DB6ECC">
        <w:rPr>
          <w:sz w:val="20"/>
          <w:szCs w:val="22"/>
        </w:rPr>
        <w:t xml:space="preserve"> should be supported</w:t>
      </w:r>
      <w:r w:rsidR="00DB6ECC" w:rsidRPr="00DB6ECC">
        <w:rPr>
          <w:sz w:val="20"/>
          <w:szCs w:val="22"/>
        </w:rPr>
        <w:t xml:space="preserve"> for</w:t>
      </w:r>
      <w:r>
        <w:rPr>
          <w:sz w:val="20"/>
          <w:szCs w:val="22"/>
        </w:rPr>
        <w:t xml:space="preserve"> the following MR-DC operations (e.g. in NR-NR DC): I</w:t>
      </w:r>
      <w:r w:rsidR="00DB6ECC" w:rsidRPr="00DB6ECC">
        <w:rPr>
          <w:sz w:val="20"/>
          <w:szCs w:val="22"/>
        </w:rPr>
        <w:t>nter MN change with/without SN change, MN to gNB change and gNB to MN change</w:t>
      </w:r>
      <w:r w:rsidR="005025CA" w:rsidRPr="00DB6ECC">
        <w:rPr>
          <w:sz w:val="20"/>
          <w:szCs w:val="22"/>
        </w:rPr>
        <w:t xml:space="preserve"> in </w:t>
      </w:r>
      <w:r w:rsidR="00561B79">
        <w:rPr>
          <w:sz w:val="20"/>
          <w:szCs w:val="22"/>
        </w:rPr>
        <w:t xml:space="preserve">the WI of </w:t>
      </w:r>
      <w:r w:rsidR="005025CA" w:rsidRPr="00DB6ECC">
        <w:rPr>
          <w:sz w:val="20"/>
          <w:szCs w:val="22"/>
        </w:rPr>
        <w:t>NR mobility enhancement</w:t>
      </w:r>
      <w:r w:rsidR="00985C5B">
        <w:rPr>
          <w:sz w:val="20"/>
          <w:szCs w:val="22"/>
        </w:rPr>
        <w:t xml:space="preserve">, just as illustrated in Fig. 1. </w:t>
      </w:r>
    </w:p>
    <w:p w:rsidR="00985C5B" w:rsidRDefault="00EB7414" w:rsidP="00DB6ECC">
      <w:pPr>
        <w:pStyle w:val="00BodyText"/>
        <w:spacing w:before="120" w:after="120"/>
        <w:jc w:val="both"/>
      </w:pPr>
      <w:r>
        <w:object w:dxaOrig="5712" w:dyaOrig="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45pt;height:83.55pt" o:ole="">
            <v:imagedata r:id="rId7" o:title=""/>
          </v:shape>
          <o:OLEObject Type="Embed" ProgID="Visio.Drawing.15" ShapeID="_x0000_i1025" DrawAspect="Content" ObjectID="_1611737640" r:id="rId8"/>
        </w:object>
      </w:r>
      <w:r w:rsidR="00985C5B" w:rsidRPr="00DB6ECC">
        <w:rPr>
          <w:noProof/>
          <w:lang w:eastAsia="zh-CN"/>
        </w:rPr>
        <w:drawing>
          <wp:inline distT="0" distB="0" distL="0" distR="0" wp14:anchorId="10D3C475" wp14:editId="27247214">
            <wp:extent cx="2655277" cy="1189312"/>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stretch>
                      <a:fillRect/>
                    </a:stretch>
                  </pic:blipFill>
                  <pic:spPr>
                    <a:xfrm>
                      <a:off x="0" y="0"/>
                      <a:ext cx="2666691" cy="1194425"/>
                    </a:xfrm>
                    <a:prstGeom prst="rect">
                      <a:avLst/>
                    </a:prstGeom>
                  </pic:spPr>
                </pic:pic>
              </a:graphicData>
            </a:graphic>
          </wp:inline>
        </w:drawing>
      </w:r>
    </w:p>
    <w:p w:rsidR="00367A18" w:rsidRDefault="00367A18" w:rsidP="00DB6ECC">
      <w:pPr>
        <w:pStyle w:val="00BodyText"/>
        <w:spacing w:before="120" w:after="120"/>
        <w:jc w:val="both"/>
        <w:rPr>
          <w:sz w:val="20"/>
          <w:szCs w:val="22"/>
        </w:rPr>
      </w:pPr>
      <w:r>
        <w:t xml:space="preserve">                                 Case 1                                                Case 2</w:t>
      </w:r>
    </w:p>
    <w:p w:rsidR="00985C5B" w:rsidRDefault="00985C5B" w:rsidP="00DB6ECC">
      <w:pPr>
        <w:pStyle w:val="00BodyText"/>
        <w:spacing w:before="120" w:after="120"/>
        <w:jc w:val="both"/>
        <w:rPr>
          <w:sz w:val="20"/>
          <w:szCs w:val="22"/>
        </w:rPr>
      </w:pPr>
      <w:r w:rsidRPr="00DB6ECC">
        <w:rPr>
          <w:noProof/>
          <w:lang w:eastAsia="zh-CN"/>
        </w:rPr>
        <w:drawing>
          <wp:inline distT="0" distB="0" distL="0" distR="0" wp14:anchorId="22FC059B" wp14:editId="396FD5B7">
            <wp:extent cx="2741453" cy="1271954"/>
            <wp:effectExtent l="0" t="0" r="190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2766980" cy="1283798"/>
                    </a:xfrm>
                    <a:prstGeom prst="rect">
                      <a:avLst/>
                    </a:prstGeom>
                  </pic:spPr>
                </pic:pic>
              </a:graphicData>
            </a:graphic>
          </wp:inline>
        </w:drawing>
      </w:r>
      <w:r w:rsidRPr="00DB6ECC">
        <w:rPr>
          <w:noProof/>
          <w:lang w:eastAsia="zh-CN"/>
        </w:rPr>
        <w:drawing>
          <wp:inline distT="0" distB="0" distL="0" distR="0" wp14:anchorId="5F4BDB92" wp14:editId="7C335EB4">
            <wp:extent cx="2631831" cy="124997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2659552" cy="1263137"/>
                    </a:xfrm>
                    <a:prstGeom prst="rect">
                      <a:avLst/>
                    </a:prstGeom>
                  </pic:spPr>
                </pic:pic>
              </a:graphicData>
            </a:graphic>
          </wp:inline>
        </w:drawing>
      </w:r>
    </w:p>
    <w:p w:rsidR="00367A18" w:rsidRDefault="00367A18" w:rsidP="00367A18">
      <w:pPr>
        <w:pStyle w:val="00BodyText"/>
        <w:spacing w:before="120" w:after="120"/>
        <w:jc w:val="both"/>
        <w:rPr>
          <w:sz w:val="20"/>
          <w:szCs w:val="22"/>
        </w:rPr>
      </w:pPr>
      <w:r>
        <w:t xml:space="preserve">                                 Case 3                                                Case 4</w:t>
      </w:r>
    </w:p>
    <w:p w:rsidR="00367A18" w:rsidRPr="00367A18" w:rsidRDefault="00367A18" w:rsidP="00367A18">
      <w:pPr>
        <w:pStyle w:val="00BodyText"/>
        <w:spacing w:before="120" w:after="120"/>
        <w:jc w:val="center"/>
        <w:rPr>
          <w:b/>
          <w:sz w:val="20"/>
          <w:szCs w:val="22"/>
        </w:rPr>
      </w:pPr>
      <w:r w:rsidRPr="00367A18">
        <w:rPr>
          <w:b/>
          <w:sz w:val="20"/>
          <w:szCs w:val="22"/>
        </w:rPr>
        <w:t>Figure 1 HO procedures with MR-DC operations</w:t>
      </w:r>
    </w:p>
    <w:p w:rsidR="00EB7414" w:rsidRDefault="00EB7414" w:rsidP="006F5D39">
      <w:pPr>
        <w:pStyle w:val="00BodyText"/>
        <w:spacing w:before="120" w:after="120"/>
        <w:jc w:val="both"/>
        <w:rPr>
          <w:b/>
          <w:sz w:val="20"/>
          <w:szCs w:val="22"/>
          <w:u w:val="single"/>
        </w:rPr>
      </w:pPr>
      <w:r w:rsidRPr="004B339C">
        <w:rPr>
          <w:b/>
          <w:sz w:val="20"/>
          <w:szCs w:val="22"/>
          <w:u w:val="single"/>
        </w:rPr>
        <w:t xml:space="preserve">Case </w:t>
      </w:r>
      <w:r>
        <w:rPr>
          <w:b/>
          <w:sz w:val="20"/>
          <w:szCs w:val="22"/>
          <w:u w:val="single"/>
        </w:rPr>
        <w:t>1</w:t>
      </w:r>
      <w:r w:rsidRPr="004B339C">
        <w:rPr>
          <w:b/>
          <w:sz w:val="20"/>
          <w:szCs w:val="22"/>
          <w:u w:val="single"/>
        </w:rPr>
        <w:t xml:space="preserve">: </w:t>
      </w:r>
      <w:r>
        <w:rPr>
          <w:b/>
          <w:sz w:val="20"/>
          <w:szCs w:val="22"/>
          <w:u w:val="single"/>
        </w:rPr>
        <w:t xml:space="preserve">MN to </w:t>
      </w:r>
      <w:r w:rsidRPr="004B339C">
        <w:rPr>
          <w:b/>
          <w:sz w:val="20"/>
          <w:szCs w:val="22"/>
          <w:u w:val="single"/>
        </w:rPr>
        <w:t>gNB change</w:t>
      </w:r>
    </w:p>
    <w:p w:rsidR="00EB7414" w:rsidRDefault="00EB7414" w:rsidP="006F5D39">
      <w:pPr>
        <w:pStyle w:val="00BodyText"/>
        <w:spacing w:before="120" w:after="120"/>
        <w:jc w:val="both"/>
        <w:rPr>
          <w:sz w:val="20"/>
          <w:szCs w:val="22"/>
        </w:rPr>
      </w:pPr>
      <w:r w:rsidRPr="00EB7414">
        <w:rPr>
          <w:sz w:val="20"/>
          <w:szCs w:val="22"/>
        </w:rPr>
        <w:t xml:space="preserve">Since the SN is released when UE performs HO, 0ms interruption HO can be achieved if UE performs </w:t>
      </w:r>
      <w:r>
        <w:rPr>
          <w:sz w:val="20"/>
          <w:szCs w:val="22"/>
        </w:rPr>
        <w:t xml:space="preserve">simultaneous Tx/Rx with the source cell and the target cell. </w:t>
      </w:r>
    </w:p>
    <w:p w:rsidR="00EB7414" w:rsidRPr="00EB7414" w:rsidRDefault="00EB7414" w:rsidP="006F5D39">
      <w:pPr>
        <w:pStyle w:val="00BodyText"/>
        <w:spacing w:before="120" w:after="120"/>
        <w:jc w:val="both"/>
        <w:rPr>
          <w:sz w:val="20"/>
          <w:szCs w:val="22"/>
        </w:rPr>
      </w:pPr>
      <w:r w:rsidRPr="004D3CDB">
        <w:rPr>
          <w:b/>
          <w:sz w:val="20"/>
          <w:szCs w:val="22"/>
        </w:rPr>
        <w:t xml:space="preserve">Observation </w:t>
      </w:r>
      <w:r w:rsidR="008D01F7">
        <w:rPr>
          <w:b/>
          <w:sz w:val="20"/>
          <w:szCs w:val="22"/>
        </w:rPr>
        <w:t>4</w:t>
      </w:r>
      <w:r w:rsidRPr="004D3CDB">
        <w:rPr>
          <w:b/>
          <w:sz w:val="20"/>
          <w:szCs w:val="22"/>
        </w:rPr>
        <w:t xml:space="preserve">: For the case of </w:t>
      </w:r>
      <w:r>
        <w:rPr>
          <w:b/>
          <w:sz w:val="20"/>
          <w:szCs w:val="22"/>
        </w:rPr>
        <w:t>MN to gNB</w:t>
      </w:r>
      <w:r w:rsidRPr="004D3CDB">
        <w:rPr>
          <w:b/>
          <w:sz w:val="20"/>
          <w:szCs w:val="22"/>
        </w:rPr>
        <w:t xml:space="preserve"> MN change,</w:t>
      </w:r>
      <w:r>
        <w:rPr>
          <w:b/>
          <w:sz w:val="20"/>
          <w:szCs w:val="22"/>
        </w:rPr>
        <w:t xml:space="preserve"> SCG is released first and</w:t>
      </w:r>
      <w:r w:rsidRPr="004D3CDB">
        <w:rPr>
          <w:b/>
          <w:sz w:val="20"/>
          <w:szCs w:val="22"/>
        </w:rPr>
        <w:t xml:space="preserve"> 0ms interruption HO can be achieved</w:t>
      </w:r>
      <w:r>
        <w:rPr>
          <w:b/>
          <w:sz w:val="20"/>
          <w:szCs w:val="22"/>
        </w:rPr>
        <w:t xml:space="preserve"> </w:t>
      </w:r>
      <w:r w:rsidRPr="004D3CDB">
        <w:rPr>
          <w:b/>
          <w:sz w:val="20"/>
          <w:szCs w:val="22"/>
        </w:rPr>
        <w:t>by simultaneous Tx/Rx with the source cell and the target cell</w:t>
      </w:r>
      <w:r>
        <w:rPr>
          <w:b/>
          <w:sz w:val="20"/>
          <w:szCs w:val="22"/>
        </w:rPr>
        <w:t xml:space="preserve">. </w:t>
      </w:r>
    </w:p>
    <w:p w:rsidR="00985C5B" w:rsidRDefault="00985C5B" w:rsidP="006F5D39">
      <w:pPr>
        <w:pStyle w:val="00BodyText"/>
        <w:spacing w:before="120" w:after="120"/>
        <w:jc w:val="both"/>
        <w:rPr>
          <w:b/>
          <w:sz w:val="20"/>
          <w:szCs w:val="22"/>
          <w:u w:val="single"/>
        </w:rPr>
      </w:pPr>
      <w:r w:rsidRPr="004B339C">
        <w:rPr>
          <w:b/>
          <w:sz w:val="20"/>
          <w:szCs w:val="22"/>
          <w:u w:val="single"/>
        </w:rPr>
        <w:t xml:space="preserve">Case </w:t>
      </w:r>
      <w:r w:rsidR="00EB7414">
        <w:rPr>
          <w:b/>
          <w:sz w:val="20"/>
          <w:szCs w:val="22"/>
          <w:u w:val="single"/>
        </w:rPr>
        <w:t>2</w:t>
      </w:r>
      <w:r w:rsidRPr="004B339C">
        <w:rPr>
          <w:b/>
          <w:sz w:val="20"/>
          <w:szCs w:val="22"/>
          <w:u w:val="single"/>
        </w:rPr>
        <w:t>: gNB to MN change</w:t>
      </w:r>
    </w:p>
    <w:p w:rsidR="00DC709A" w:rsidRDefault="00DC709A" w:rsidP="006F5D39">
      <w:pPr>
        <w:pStyle w:val="00BodyText"/>
        <w:spacing w:before="120" w:after="120"/>
        <w:jc w:val="both"/>
        <w:rPr>
          <w:sz w:val="20"/>
          <w:szCs w:val="22"/>
        </w:rPr>
      </w:pPr>
      <w:r>
        <w:rPr>
          <w:sz w:val="20"/>
          <w:szCs w:val="22"/>
        </w:rPr>
        <w:t xml:space="preserve">In the source cell, only MCG is configured. 0ms interruption HO can be supported when UE performs simultaneous Tx/Rx with the source gNB and the target gNB. If SCG is required to be configured, UE needs to perform RA towards the SN after connection with the target MN is established, i.e. upon transmission of </w:t>
      </w:r>
      <w:r w:rsidRPr="00DC709A">
        <w:rPr>
          <w:i/>
          <w:sz w:val="20"/>
          <w:szCs w:val="22"/>
        </w:rPr>
        <w:t>RRCReconfigurationComplete</w:t>
      </w:r>
      <w:r>
        <w:rPr>
          <w:sz w:val="20"/>
          <w:szCs w:val="22"/>
        </w:rPr>
        <w:t xml:space="preserve"> message. </w:t>
      </w:r>
      <w:r w:rsidR="000B6A7F">
        <w:rPr>
          <w:sz w:val="20"/>
          <w:szCs w:val="22"/>
        </w:rPr>
        <w:t>So UE needs to release the connection</w:t>
      </w:r>
      <w:r w:rsidR="004D3CDB">
        <w:rPr>
          <w:sz w:val="20"/>
          <w:szCs w:val="22"/>
        </w:rPr>
        <w:t xml:space="preserve"> with the source gNB first and then perform RA towards the SN. </w:t>
      </w:r>
    </w:p>
    <w:p w:rsidR="004D3CDB" w:rsidRPr="004D3CDB" w:rsidRDefault="004D3CDB" w:rsidP="006F5D39">
      <w:pPr>
        <w:pStyle w:val="00BodyText"/>
        <w:spacing w:before="120" w:after="120"/>
        <w:jc w:val="both"/>
        <w:rPr>
          <w:b/>
          <w:sz w:val="20"/>
          <w:szCs w:val="22"/>
        </w:rPr>
      </w:pPr>
      <w:r w:rsidRPr="004D3CDB">
        <w:rPr>
          <w:b/>
          <w:sz w:val="20"/>
          <w:szCs w:val="22"/>
        </w:rPr>
        <w:lastRenderedPageBreak/>
        <w:t xml:space="preserve">Observation </w:t>
      </w:r>
      <w:r w:rsidR="008D01F7">
        <w:rPr>
          <w:b/>
          <w:sz w:val="20"/>
          <w:szCs w:val="22"/>
        </w:rPr>
        <w:t>5</w:t>
      </w:r>
      <w:r w:rsidRPr="004D3CDB">
        <w:rPr>
          <w:b/>
          <w:sz w:val="20"/>
          <w:szCs w:val="22"/>
        </w:rPr>
        <w:t xml:space="preserve">: For the case of gNB to MN change, 0ms interruption HO can be achieved by simultaneous Tx/Rx with the source cell and the target cell. After connection with the target cell is established, UE release the connection with the source cell first and then perform RA towards the SN. </w:t>
      </w:r>
    </w:p>
    <w:p w:rsidR="00EB7414" w:rsidRDefault="00EB7414" w:rsidP="006F5D39">
      <w:pPr>
        <w:pStyle w:val="00BodyText"/>
        <w:spacing w:before="120" w:after="120"/>
        <w:jc w:val="both"/>
        <w:rPr>
          <w:b/>
          <w:sz w:val="20"/>
          <w:szCs w:val="22"/>
          <w:u w:val="single"/>
        </w:rPr>
      </w:pPr>
      <w:r w:rsidRPr="004B339C">
        <w:rPr>
          <w:b/>
          <w:sz w:val="20"/>
          <w:szCs w:val="22"/>
          <w:u w:val="single"/>
        </w:rPr>
        <w:t xml:space="preserve">Case </w:t>
      </w:r>
      <w:r>
        <w:rPr>
          <w:b/>
          <w:sz w:val="20"/>
          <w:szCs w:val="22"/>
          <w:u w:val="single"/>
        </w:rPr>
        <w:t>3</w:t>
      </w:r>
      <w:r w:rsidRPr="004B339C">
        <w:rPr>
          <w:b/>
          <w:sz w:val="20"/>
          <w:szCs w:val="22"/>
          <w:u w:val="single"/>
        </w:rPr>
        <w:t>: MN change</w:t>
      </w:r>
      <w:r>
        <w:rPr>
          <w:b/>
          <w:sz w:val="20"/>
          <w:szCs w:val="22"/>
          <w:u w:val="single"/>
        </w:rPr>
        <w:t xml:space="preserve"> without SN change</w:t>
      </w:r>
    </w:p>
    <w:p w:rsidR="00447185" w:rsidRDefault="00447185" w:rsidP="006F5D39">
      <w:pPr>
        <w:pStyle w:val="00BodyText"/>
        <w:spacing w:before="120" w:after="120"/>
        <w:jc w:val="both"/>
        <w:rPr>
          <w:sz w:val="20"/>
          <w:szCs w:val="22"/>
        </w:rPr>
      </w:pPr>
      <w:r w:rsidRPr="00447185">
        <w:rPr>
          <w:sz w:val="20"/>
          <w:szCs w:val="22"/>
        </w:rPr>
        <w:t xml:space="preserve">If only MCG bearer is configured without SCG, </w:t>
      </w:r>
      <w:r w:rsidRPr="00EB7414">
        <w:rPr>
          <w:sz w:val="20"/>
          <w:szCs w:val="22"/>
        </w:rPr>
        <w:t xml:space="preserve">0ms interruption HO can be achieved if UE performs </w:t>
      </w:r>
      <w:r>
        <w:rPr>
          <w:sz w:val="20"/>
          <w:szCs w:val="22"/>
        </w:rPr>
        <w:t>simultaneous Tx/Rx with the source cell and the target cell. Since SN is kept, data transmission/reception for the SN terminated MCG bearer can continue</w:t>
      </w:r>
      <w:r w:rsidR="002220B2">
        <w:rPr>
          <w:sz w:val="20"/>
          <w:szCs w:val="22"/>
        </w:rPr>
        <w:t xml:space="preserve"> during HO. </w:t>
      </w:r>
    </w:p>
    <w:p w:rsidR="002220B2" w:rsidRDefault="002220B2" w:rsidP="006F5D39">
      <w:pPr>
        <w:pStyle w:val="00BodyText"/>
        <w:spacing w:before="120" w:after="120"/>
        <w:jc w:val="both"/>
        <w:rPr>
          <w:sz w:val="20"/>
          <w:szCs w:val="22"/>
        </w:rPr>
      </w:pPr>
      <w:r>
        <w:rPr>
          <w:sz w:val="20"/>
          <w:szCs w:val="22"/>
        </w:rPr>
        <w:t xml:space="preserve">If only SCG bearer is configured without MCG DRB, UE is not required to perform simultaneous Tx/Rx with the source cell and target cell during HO. Normal HO procedure can be performed. Meanwhile, data transmission/reception for the SCG bearer can continue without interruption during HO. </w:t>
      </w:r>
    </w:p>
    <w:p w:rsidR="002220B2" w:rsidRDefault="002220B2" w:rsidP="006F5D39">
      <w:pPr>
        <w:pStyle w:val="00BodyText"/>
        <w:spacing w:before="120" w:after="120"/>
        <w:jc w:val="both"/>
        <w:rPr>
          <w:sz w:val="20"/>
          <w:szCs w:val="22"/>
        </w:rPr>
      </w:pPr>
      <w:r>
        <w:rPr>
          <w:sz w:val="20"/>
          <w:szCs w:val="22"/>
        </w:rPr>
        <w:t xml:space="preserve">If both MCG DRB and SCG DRB are configured, 0ms interruptions can’t be guaranteed for both of those DRBs. Network can decide whether to suspend the data transmission/reception for MCG DRB or SCG DRB when UE performs RA procedure towards the target cell. After connection with the target cell is established, </w:t>
      </w:r>
      <w:r w:rsidR="001F6C01">
        <w:rPr>
          <w:sz w:val="20"/>
          <w:szCs w:val="22"/>
        </w:rPr>
        <w:t xml:space="preserve">the suspended DRB can be resumed. </w:t>
      </w:r>
    </w:p>
    <w:p w:rsidR="00A06694" w:rsidRDefault="00A06694" w:rsidP="006F5D39">
      <w:pPr>
        <w:pStyle w:val="00BodyText"/>
        <w:spacing w:before="120" w:after="120"/>
        <w:jc w:val="both"/>
        <w:rPr>
          <w:b/>
          <w:sz w:val="20"/>
          <w:szCs w:val="22"/>
          <w:u w:val="single"/>
        </w:rPr>
      </w:pPr>
      <w:r w:rsidRPr="004B339C">
        <w:rPr>
          <w:b/>
          <w:sz w:val="20"/>
          <w:szCs w:val="22"/>
          <w:u w:val="single"/>
        </w:rPr>
        <w:t xml:space="preserve">Case </w:t>
      </w:r>
      <w:r>
        <w:rPr>
          <w:b/>
          <w:sz w:val="20"/>
          <w:szCs w:val="22"/>
          <w:u w:val="single"/>
        </w:rPr>
        <w:t>4</w:t>
      </w:r>
      <w:r w:rsidRPr="004B339C">
        <w:rPr>
          <w:b/>
          <w:sz w:val="20"/>
          <w:szCs w:val="22"/>
          <w:u w:val="single"/>
        </w:rPr>
        <w:t>: MN change</w:t>
      </w:r>
      <w:r>
        <w:rPr>
          <w:b/>
          <w:sz w:val="20"/>
          <w:szCs w:val="22"/>
          <w:u w:val="single"/>
        </w:rPr>
        <w:t xml:space="preserve"> with SN change</w:t>
      </w:r>
    </w:p>
    <w:p w:rsidR="00A06694" w:rsidRDefault="00A06694" w:rsidP="006F5D39">
      <w:pPr>
        <w:pStyle w:val="00BodyText"/>
        <w:spacing w:before="120" w:after="120"/>
        <w:jc w:val="both"/>
        <w:rPr>
          <w:sz w:val="20"/>
          <w:szCs w:val="22"/>
        </w:rPr>
      </w:pPr>
      <w:r w:rsidRPr="00447185">
        <w:rPr>
          <w:sz w:val="20"/>
          <w:szCs w:val="22"/>
        </w:rPr>
        <w:t xml:space="preserve">If only MCG bearer is configured without SCG, </w:t>
      </w:r>
      <w:r w:rsidRPr="00EB7414">
        <w:rPr>
          <w:sz w:val="20"/>
          <w:szCs w:val="22"/>
        </w:rPr>
        <w:t xml:space="preserve">0ms interruption HO can be achieved if UE performs </w:t>
      </w:r>
      <w:r>
        <w:rPr>
          <w:sz w:val="20"/>
          <w:szCs w:val="22"/>
        </w:rPr>
        <w:t xml:space="preserve">simultaneous Tx/Rx with the source cell and the target cell. </w:t>
      </w:r>
    </w:p>
    <w:p w:rsidR="00A06694" w:rsidRDefault="00A06694" w:rsidP="006F5D39">
      <w:pPr>
        <w:pStyle w:val="00BodyText"/>
        <w:spacing w:before="120" w:after="120"/>
        <w:jc w:val="both"/>
        <w:rPr>
          <w:sz w:val="20"/>
          <w:szCs w:val="22"/>
        </w:rPr>
      </w:pPr>
      <w:r>
        <w:rPr>
          <w:sz w:val="20"/>
          <w:szCs w:val="22"/>
        </w:rPr>
        <w:t xml:space="preserve">If only SCG bearer is configured without MCG DRB, UE is not required to perform simultaneous Tx/Rx with the source MN and target MN during HO. However, UE is required to perform simultaneous Tx/Rx with the source SN and the target SN during HO. </w:t>
      </w:r>
    </w:p>
    <w:p w:rsidR="00A06694" w:rsidRDefault="00A06694" w:rsidP="006F5D39">
      <w:pPr>
        <w:pStyle w:val="00BodyText"/>
        <w:spacing w:before="120" w:after="120"/>
        <w:jc w:val="both"/>
        <w:rPr>
          <w:sz w:val="20"/>
          <w:szCs w:val="22"/>
        </w:rPr>
      </w:pPr>
      <w:r>
        <w:rPr>
          <w:sz w:val="20"/>
          <w:szCs w:val="22"/>
        </w:rPr>
        <w:t xml:space="preserve">If both MCG DRB and SCG DRB are configured, 0ms interruptions can’t be guaranteed for both of those DRBs. Network can decide whether to suspend the data transmission/reception for MCG DRB or SCG DRB when UE performs RA procedure towards the target cell. After connection with the target cell is established, the suspended DRB can be resumed. </w:t>
      </w:r>
    </w:p>
    <w:p w:rsidR="00A06694" w:rsidRDefault="00A06694" w:rsidP="006F5D39">
      <w:pPr>
        <w:pStyle w:val="00BodyText"/>
        <w:spacing w:before="120" w:after="120"/>
        <w:jc w:val="both"/>
        <w:rPr>
          <w:b/>
          <w:sz w:val="20"/>
          <w:szCs w:val="22"/>
        </w:rPr>
      </w:pPr>
      <w:r w:rsidRPr="004D3CDB">
        <w:rPr>
          <w:b/>
          <w:sz w:val="20"/>
          <w:szCs w:val="22"/>
        </w:rPr>
        <w:t xml:space="preserve">Observation </w:t>
      </w:r>
      <w:r w:rsidR="008D01F7">
        <w:rPr>
          <w:b/>
          <w:sz w:val="20"/>
          <w:szCs w:val="22"/>
        </w:rPr>
        <w:t>6</w:t>
      </w:r>
      <w:r w:rsidRPr="004D3CDB">
        <w:rPr>
          <w:b/>
          <w:sz w:val="20"/>
          <w:szCs w:val="22"/>
        </w:rPr>
        <w:t xml:space="preserve">: For the case of </w:t>
      </w:r>
      <w:r>
        <w:rPr>
          <w:b/>
          <w:sz w:val="20"/>
          <w:szCs w:val="22"/>
        </w:rPr>
        <w:t xml:space="preserve">MN change with/without SN change, how to achieve 0ms interruption HO depending on whether MCG DRB or SCG DRB or both of them are configured. </w:t>
      </w:r>
    </w:p>
    <w:p w:rsidR="00A06694" w:rsidRDefault="00A06694" w:rsidP="006F5D39">
      <w:pPr>
        <w:pStyle w:val="00BodyText"/>
        <w:spacing w:before="120" w:after="120"/>
        <w:jc w:val="both"/>
        <w:rPr>
          <w:b/>
          <w:sz w:val="20"/>
          <w:szCs w:val="22"/>
        </w:rPr>
      </w:pPr>
      <w:r>
        <w:rPr>
          <w:b/>
          <w:sz w:val="20"/>
          <w:szCs w:val="22"/>
        </w:rPr>
        <w:t xml:space="preserve">Observation </w:t>
      </w:r>
      <w:r w:rsidR="008D01F7">
        <w:rPr>
          <w:b/>
          <w:sz w:val="20"/>
          <w:szCs w:val="22"/>
        </w:rPr>
        <w:t>7</w:t>
      </w:r>
      <w:r>
        <w:rPr>
          <w:b/>
          <w:sz w:val="20"/>
          <w:szCs w:val="22"/>
        </w:rPr>
        <w:t xml:space="preserve">: </w:t>
      </w:r>
      <w:r w:rsidRPr="004D3CDB">
        <w:rPr>
          <w:b/>
          <w:sz w:val="20"/>
          <w:szCs w:val="22"/>
        </w:rPr>
        <w:t xml:space="preserve">For the case of </w:t>
      </w:r>
      <w:r>
        <w:rPr>
          <w:b/>
          <w:sz w:val="20"/>
          <w:szCs w:val="22"/>
        </w:rPr>
        <w:t xml:space="preserve">MN change with/without SN change, if both MCG DRB and SCG DRB are configured, 0ms interruption HO can’t be </w:t>
      </w:r>
      <w:r w:rsidR="00064CF9">
        <w:rPr>
          <w:b/>
          <w:sz w:val="20"/>
          <w:szCs w:val="22"/>
        </w:rPr>
        <w:t xml:space="preserve">guaranteed for both of them. </w:t>
      </w:r>
      <w:r>
        <w:rPr>
          <w:b/>
          <w:sz w:val="20"/>
          <w:szCs w:val="22"/>
        </w:rPr>
        <w:t>Network can decide whether to suspend MCG DRB or SCG DRB during HO</w:t>
      </w:r>
      <w:r w:rsidR="00064CF9">
        <w:rPr>
          <w:b/>
          <w:sz w:val="20"/>
          <w:szCs w:val="22"/>
        </w:rPr>
        <w:t xml:space="preserve">. </w:t>
      </w:r>
    </w:p>
    <w:p w:rsidR="00064CF9" w:rsidRPr="00064CF9" w:rsidRDefault="00064CF9" w:rsidP="006F5D39">
      <w:pPr>
        <w:pStyle w:val="00BodyText"/>
        <w:spacing w:before="120" w:after="120"/>
        <w:jc w:val="both"/>
        <w:rPr>
          <w:sz w:val="20"/>
          <w:szCs w:val="22"/>
        </w:rPr>
      </w:pPr>
      <w:r w:rsidRPr="00064CF9">
        <w:rPr>
          <w:sz w:val="20"/>
          <w:szCs w:val="22"/>
        </w:rPr>
        <w:t xml:space="preserve">The solutions and procedure for the above different cases to achieve 0ms interruption HO may be different. However, a single solution is still preferred if different MR-DC operations are considered. </w:t>
      </w:r>
    </w:p>
    <w:p w:rsidR="00064CF9" w:rsidRPr="00064CF9" w:rsidRDefault="00064CF9" w:rsidP="006F5D39">
      <w:pPr>
        <w:pStyle w:val="00BodyText"/>
        <w:spacing w:before="120" w:after="120"/>
        <w:jc w:val="both"/>
        <w:rPr>
          <w:b/>
          <w:sz w:val="20"/>
          <w:szCs w:val="22"/>
        </w:rPr>
      </w:pPr>
      <w:r w:rsidRPr="00803C49">
        <w:rPr>
          <w:b/>
          <w:sz w:val="20"/>
          <w:szCs w:val="22"/>
        </w:rPr>
        <w:t xml:space="preserve">Proposal </w:t>
      </w:r>
      <w:r w:rsidR="008D01F7">
        <w:rPr>
          <w:b/>
          <w:sz w:val="20"/>
          <w:szCs w:val="22"/>
        </w:rPr>
        <w:t>5</w:t>
      </w:r>
      <w:r w:rsidRPr="00803C49">
        <w:rPr>
          <w:b/>
          <w:sz w:val="20"/>
          <w:szCs w:val="22"/>
        </w:rPr>
        <w:t xml:space="preserve">: </w:t>
      </w:r>
      <w:r>
        <w:rPr>
          <w:b/>
          <w:sz w:val="20"/>
          <w:szCs w:val="22"/>
        </w:rPr>
        <w:t xml:space="preserve">RAN2 discuss whether 0ms interruption HO should be supported in the following MR-DC operations: </w:t>
      </w:r>
      <w:r w:rsidRPr="00064CF9">
        <w:rPr>
          <w:b/>
          <w:sz w:val="20"/>
          <w:szCs w:val="22"/>
        </w:rPr>
        <w:t xml:space="preserve">MN to gNB change, gNB to MN change, MN change without SN change and MN change with SN change. </w:t>
      </w:r>
    </w:p>
    <w:p w:rsidR="00064CF9" w:rsidRDefault="00064CF9" w:rsidP="00064CF9">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w:t>
      </w:r>
      <w:r w:rsidR="00C35FD6">
        <w:rPr>
          <w:rFonts w:eastAsia="Malgun Gothic" w:cs="Arial"/>
          <w:bCs/>
          <w:iCs/>
          <w:sz w:val="28"/>
          <w:szCs w:val="28"/>
          <w:lang w:val="en-US"/>
        </w:rPr>
        <w:t>3</w:t>
      </w:r>
      <w:r w:rsidRPr="00B50BBF">
        <w:rPr>
          <w:rFonts w:eastAsia="Malgun Gothic" w:cs="Arial"/>
          <w:bCs/>
          <w:iCs/>
          <w:sz w:val="28"/>
          <w:szCs w:val="28"/>
          <w:lang w:val="en-US"/>
        </w:rPr>
        <w:t xml:space="preserve"> </w:t>
      </w:r>
      <w:r>
        <w:rPr>
          <w:rFonts w:eastAsia="Malgun Gothic" w:cs="Arial"/>
          <w:bCs/>
          <w:iCs/>
          <w:sz w:val="28"/>
          <w:szCs w:val="28"/>
          <w:lang w:val="en-US"/>
        </w:rPr>
        <w:t>SCG change</w:t>
      </w:r>
    </w:p>
    <w:p w:rsidR="00064CF9" w:rsidRDefault="00064CF9" w:rsidP="00C35FD6">
      <w:pPr>
        <w:rPr>
          <w:lang w:val="en-US" w:eastAsia="ja-JP"/>
        </w:rPr>
      </w:pPr>
      <w:r>
        <w:rPr>
          <w:lang w:val="en-US" w:eastAsia="ja-JP"/>
        </w:rPr>
        <w:t xml:space="preserve">In the WI of NR mobility enhancement, the interruption in </w:t>
      </w:r>
      <w:r w:rsidRPr="00893243">
        <w:rPr>
          <w:lang w:val="en-US" w:eastAsia="ja-JP"/>
        </w:rPr>
        <w:t>SCG change</w:t>
      </w:r>
      <w:r>
        <w:rPr>
          <w:lang w:val="en-US" w:eastAsia="ja-JP"/>
        </w:rPr>
        <w:t xml:space="preserve"> should also be reduced through</w:t>
      </w:r>
      <w:r w:rsidRPr="00893243">
        <w:rPr>
          <w:lang w:val="en-US" w:eastAsia="ja-JP"/>
        </w:rPr>
        <w:t xml:space="preserve"> simultaneous connectivity with</w:t>
      </w:r>
      <w:r>
        <w:rPr>
          <w:lang w:val="en-US" w:eastAsia="ja-JP"/>
        </w:rPr>
        <w:t xml:space="preserve"> the</w:t>
      </w:r>
      <w:r w:rsidRPr="00893243">
        <w:rPr>
          <w:lang w:val="en-US" w:eastAsia="ja-JP"/>
        </w:rPr>
        <w:t xml:space="preserve"> source </w:t>
      </w:r>
      <w:r>
        <w:rPr>
          <w:lang w:val="en-US" w:eastAsia="ja-JP"/>
        </w:rPr>
        <w:t>SN</w:t>
      </w:r>
      <w:r w:rsidRPr="00893243">
        <w:rPr>
          <w:lang w:val="en-US" w:eastAsia="ja-JP"/>
        </w:rPr>
        <w:t xml:space="preserve"> and</w:t>
      </w:r>
      <w:r>
        <w:rPr>
          <w:lang w:val="en-US" w:eastAsia="ja-JP"/>
        </w:rPr>
        <w:t xml:space="preserve"> the</w:t>
      </w:r>
      <w:r w:rsidRPr="00893243">
        <w:rPr>
          <w:lang w:val="en-US" w:eastAsia="ja-JP"/>
        </w:rPr>
        <w:t xml:space="preserve"> target </w:t>
      </w:r>
      <w:r>
        <w:rPr>
          <w:lang w:val="en-US" w:eastAsia="ja-JP"/>
        </w:rPr>
        <w:t xml:space="preserve">SN, just as illustrated in Figure 2. </w:t>
      </w:r>
    </w:p>
    <w:p w:rsidR="000D07DC" w:rsidRDefault="000D07DC" w:rsidP="00C35FD6">
      <w:pPr>
        <w:rPr>
          <w:lang w:val="en-US" w:eastAsia="ko-KR"/>
        </w:rPr>
        <w:sectPr w:rsidR="000D07DC">
          <w:pgSz w:w="12240" w:h="15840"/>
          <w:pgMar w:top="1440" w:right="1800" w:bottom="1440" w:left="1800" w:header="708" w:footer="708" w:gutter="0"/>
          <w:cols w:space="708"/>
          <w:docGrid w:linePitch="360"/>
        </w:sectPr>
      </w:pPr>
    </w:p>
    <w:p w:rsidR="00064CF9" w:rsidRPr="0020530E" w:rsidRDefault="00064CF9" w:rsidP="00C35FD6">
      <w:pPr>
        <w:rPr>
          <w:lang w:val="en-US" w:eastAsia="ko-KR"/>
        </w:rPr>
      </w:pPr>
      <w:r w:rsidRPr="0020530E">
        <w:rPr>
          <w:noProof/>
          <w:lang w:val="en-US"/>
        </w:rPr>
        <w:lastRenderedPageBreak/>
        <w:drawing>
          <wp:inline distT="0" distB="0" distL="0" distR="0">
            <wp:extent cx="2830576" cy="126365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664" cy="1269939"/>
                    </a:xfrm>
                    <a:prstGeom prst="rect">
                      <a:avLst/>
                    </a:prstGeom>
                    <a:noFill/>
                    <a:ln>
                      <a:noFill/>
                    </a:ln>
                  </pic:spPr>
                </pic:pic>
              </a:graphicData>
            </a:graphic>
          </wp:inline>
        </w:drawing>
      </w:r>
    </w:p>
    <w:p w:rsidR="0001458D" w:rsidRPr="0020530E" w:rsidRDefault="000D07DC" w:rsidP="00C35FD6">
      <w:pPr>
        <w:pStyle w:val="00BodyText"/>
        <w:spacing w:before="120" w:after="120"/>
        <w:jc w:val="both"/>
        <w:rPr>
          <w:b/>
          <w:sz w:val="20"/>
        </w:rPr>
      </w:pPr>
      <w:r w:rsidRPr="0020530E">
        <w:rPr>
          <w:b/>
          <w:sz w:val="20"/>
        </w:rPr>
        <w:t xml:space="preserve">                       </w:t>
      </w:r>
      <w:r w:rsidR="0001458D" w:rsidRPr="0020530E">
        <w:rPr>
          <w:b/>
          <w:sz w:val="20"/>
        </w:rPr>
        <w:t>Figure 2 SN change</w:t>
      </w:r>
    </w:p>
    <w:p w:rsidR="0001458D" w:rsidRPr="0020530E" w:rsidRDefault="0001458D" w:rsidP="00C35FD6">
      <w:pPr>
        <w:rPr>
          <w:lang w:val="en-US" w:eastAsia="ja-JP"/>
        </w:rPr>
      </w:pPr>
      <w:r w:rsidRPr="0020530E">
        <w:rPr>
          <w:lang w:val="en-US" w:eastAsia="ja-JP"/>
        </w:rPr>
        <w:t>If UE is required to perform simultaneous Tx/Rx with the source SN and the target SN, UE is not able to perform data transmission/reception with the MN during the SCG change procedure. In other words, the MCG bearer should be suspended. In order to achieve 0ms interruption during SCG change, one solution is to reconfigure the MCG bearer to SCG bearer before</w:t>
      </w:r>
      <w:r w:rsidR="000D07DC" w:rsidRPr="0020530E">
        <w:rPr>
          <w:lang w:val="en-US" w:eastAsia="ja-JP"/>
        </w:rPr>
        <w:t xml:space="preserve"> initiating SN change. </w:t>
      </w:r>
    </w:p>
    <w:p w:rsidR="000D07DC" w:rsidRPr="0020530E" w:rsidRDefault="000D07DC" w:rsidP="00C35FD6">
      <w:pPr>
        <w:pStyle w:val="00BodyText"/>
        <w:spacing w:before="120" w:after="120"/>
        <w:jc w:val="both"/>
        <w:rPr>
          <w:b/>
          <w:sz w:val="20"/>
        </w:rPr>
        <w:sectPr w:rsidR="000D07DC" w:rsidRPr="0020530E" w:rsidSect="000D07DC">
          <w:type w:val="continuous"/>
          <w:pgSz w:w="12240" w:h="15840"/>
          <w:pgMar w:top="1440" w:right="1800" w:bottom="1440" w:left="1800" w:header="708" w:footer="708" w:gutter="0"/>
          <w:cols w:num="2" w:space="708"/>
          <w:docGrid w:linePitch="360"/>
        </w:sectPr>
      </w:pPr>
    </w:p>
    <w:p w:rsidR="000D07DC" w:rsidRPr="0020530E" w:rsidRDefault="000D07DC" w:rsidP="006F5D39">
      <w:pPr>
        <w:pStyle w:val="00BodyText"/>
        <w:spacing w:before="120" w:after="120"/>
        <w:jc w:val="both"/>
        <w:rPr>
          <w:b/>
          <w:sz w:val="20"/>
        </w:rPr>
      </w:pPr>
      <w:r w:rsidRPr="0020530E">
        <w:rPr>
          <w:b/>
          <w:sz w:val="20"/>
        </w:rPr>
        <w:t xml:space="preserve">Observation </w:t>
      </w:r>
      <w:r w:rsidR="008D01F7" w:rsidRPr="0020530E">
        <w:rPr>
          <w:b/>
          <w:sz w:val="20"/>
        </w:rPr>
        <w:t>8</w:t>
      </w:r>
      <w:r w:rsidRPr="0020530E">
        <w:rPr>
          <w:b/>
          <w:sz w:val="20"/>
        </w:rPr>
        <w:t xml:space="preserve">: For the case of SN change, 0ms interruption can be achieved for the SCG bearer by </w:t>
      </w:r>
      <w:r w:rsidRPr="0020530E">
        <w:rPr>
          <w:b/>
          <w:sz w:val="20"/>
          <w:lang w:eastAsia="ja-JP"/>
        </w:rPr>
        <w:t>simultaneous connectivity with the source SN and the target SN</w:t>
      </w:r>
      <w:r w:rsidRPr="0020530E">
        <w:rPr>
          <w:b/>
          <w:sz w:val="20"/>
        </w:rPr>
        <w:t xml:space="preserve"> during SCG change. </w:t>
      </w:r>
    </w:p>
    <w:p w:rsidR="006F5D39" w:rsidRPr="0020530E" w:rsidRDefault="00C35FD6" w:rsidP="006F5D39">
      <w:pPr>
        <w:pStyle w:val="00BodyText"/>
        <w:spacing w:before="120" w:after="120"/>
        <w:jc w:val="both"/>
        <w:rPr>
          <w:b/>
          <w:sz w:val="20"/>
        </w:rPr>
      </w:pPr>
      <w:r w:rsidRPr="0020530E">
        <w:rPr>
          <w:b/>
          <w:sz w:val="20"/>
        </w:rPr>
        <w:t xml:space="preserve">Proposal </w:t>
      </w:r>
      <w:r w:rsidR="008D01F7" w:rsidRPr="0020530E">
        <w:rPr>
          <w:b/>
          <w:sz w:val="20"/>
        </w:rPr>
        <w:t>6</w:t>
      </w:r>
      <w:r w:rsidRPr="0020530E">
        <w:rPr>
          <w:b/>
          <w:sz w:val="20"/>
        </w:rPr>
        <w:t xml:space="preserve">: 0ms interruption during SCG change can only be targeted for the SCG bearers instead of the MCG bearer. </w:t>
      </w:r>
    </w:p>
    <w:p w:rsidR="006F5D39" w:rsidRPr="0020530E" w:rsidRDefault="006F5D39" w:rsidP="006F5D39">
      <w:pPr>
        <w:overflowPunct/>
        <w:autoSpaceDE/>
        <w:autoSpaceDN/>
        <w:adjustRightInd/>
        <w:spacing w:before="120" w:line="259" w:lineRule="auto"/>
        <w:jc w:val="left"/>
        <w:textAlignment w:val="auto"/>
        <w:rPr>
          <w:rFonts w:eastAsia="Times New Roman"/>
          <w:b/>
          <w:lang w:val="en-US" w:eastAsia="en-US"/>
        </w:rPr>
      </w:pPr>
      <w:r w:rsidRPr="0020530E">
        <w:rPr>
          <w:b/>
        </w:rPr>
        <w:br w:type="page"/>
      </w:r>
    </w:p>
    <w:p w:rsidR="00C35FD6" w:rsidRDefault="00C35FD6" w:rsidP="00C35FD6">
      <w:pPr>
        <w:pStyle w:val="Heading1"/>
        <w:jc w:val="both"/>
      </w:pPr>
      <w:r>
        <w:lastRenderedPageBreak/>
        <w:t>Conclusion</w:t>
      </w:r>
    </w:p>
    <w:p w:rsidR="00C35FD6" w:rsidRPr="0020530E" w:rsidRDefault="00C35FD6" w:rsidP="006F5D39">
      <w:pPr>
        <w:spacing w:before="120"/>
        <w:rPr>
          <w:lang w:eastAsia="ko-KR"/>
        </w:rPr>
      </w:pPr>
      <w:r w:rsidRPr="0020530E">
        <w:rPr>
          <w:lang w:eastAsia="ko-KR"/>
        </w:rPr>
        <w:t xml:space="preserve">In this contribution, we discuss the feasibility to support 0ms interruption HO/SCG change with various MR-DC operations. We have following observations: </w:t>
      </w:r>
    </w:p>
    <w:p w:rsidR="008D01F7" w:rsidRPr="0020530E" w:rsidRDefault="008D01F7" w:rsidP="006F5D39">
      <w:pPr>
        <w:spacing w:before="120"/>
        <w:rPr>
          <w:b/>
        </w:rPr>
      </w:pPr>
      <w:r w:rsidRPr="0020530E">
        <w:rPr>
          <w:b/>
        </w:rPr>
        <w:t xml:space="preserve">Observation 1: Inter-system HO involves data forwarding between UPF and 5GC in CN. The HO interruption can’t be reduced by RAN. </w:t>
      </w:r>
    </w:p>
    <w:p w:rsidR="008D01F7" w:rsidRPr="0020530E" w:rsidRDefault="008D01F7" w:rsidP="006F5D39">
      <w:pPr>
        <w:pStyle w:val="00BodyText"/>
        <w:spacing w:before="120" w:after="120"/>
        <w:jc w:val="both"/>
        <w:rPr>
          <w:b/>
          <w:sz w:val="20"/>
        </w:rPr>
      </w:pPr>
      <w:r w:rsidRPr="0020530E">
        <w:rPr>
          <w:b/>
          <w:sz w:val="20"/>
        </w:rPr>
        <w:t xml:space="preserve">Observation 2: The procedure of inter-RAT HO is similar as the basic intra-RAT HO. The in-sequence and lossless handover is also supported for inter-RAT HO in Rel-15. </w:t>
      </w:r>
    </w:p>
    <w:p w:rsidR="008D01F7" w:rsidRPr="0020530E" w:rsidRDefault="008D01F7" w:rsidP="006F5D39">
      <w:pPr>
        <w:pStyle w:val="00BodyText"/>
        <w:spacing w:before="120" w:after="120"/>
        <w:jc w:val="both"/>
        <w:rPr>
          <w:b/>
          <w:sz w:val="20"/>
        </w:rPr>
      </w:pPr>
      <w:r w:rsidRPr="0020530E">
        <w:rPr>
          <w:b/>
          <w:sz w:val="20"/>
        </w:rPr>
        <w:t xml:space="preserve">Observation 3: In MR-DC, where the DRB terminated is transparent to UE. The MCG and/or SCG configuration needs to be considered during HO/SCG change. </w:t>
      </w:r>
    </w:p>
    <w:p w:rsidR="008D01F7" w:rsidRPr="0020530E" w:rsidRDefault="008D01F7" w:rsidP="006F5D39">
      <w:pPr>
        <w:pStyle w:val="00BodyText"/>
        <w:spacing w:before="120" w:after="120"/>
        <w:jc w:val="both"/>
        <w:rPr>
          <w:sz w:val="20"/>
        </w:rPr>
      </w:pPr>
      <w:r w:rsidRPr="0020530E">
        <w:rPr>
          <w:b/>
          <w:sz w:val="20"/>
        </w:rPr>
        <w:t xml:space="preserve">Observation 4: For the case of MN to gNB MN change, SCG is released first and 0ms interruption HO can be achieved by simultaneous Tx/Rx with the source cell and the target cell. </w:t>
      </w:r>
    </w:p>
    <w:p w:rsidR="008D01F7" w:rsidRPr="0020530E" w:rsidRDefault="008D01F7" w:rsidP="006F5D39">
      <w:pPr>
        <w:pStyle w:val="00BodyText"/>
        <w:spacing w:before="120" w:after="120"/>
        <w:jc w:val="both"/>
        <w:rPr>
          <w:b/>
          <w:sz w:val="20"/>
        </w:rPr>
      </w:pPr>
      <w:r w:rsidRPr="0020530E">
        <w:rPr>
          <w:b/>
          <w:sz w:val="20"/>
        </w:rPr>
        <w:t>Observation 5: For the case of gNB to MN change, 0ms interruption HO can be achieved by simultaneous Tx/Rx with the source cell and the target cell. After connection with the target cell is established, UE release the connection with the s</w:t>
      </w:r>
      <w:bookmarkStart w:id="4" w:name="_GoBack"/>
      <w:bookmarkEnd w:id="4"/>
      <w:r w:rsidRPr="0020530E">
        <w:rPr>
          <w:b/>
          <w:sz w:val="20"/>
        </w:rPr>
        <w:t xml:space="preserve">ource cell first and then perform RA towards the SN. </w:t>
      </w:r>
    </w:p>
    <w:p w:rsidR="008D01F7" w:rsidRPr="0020530E" w:rsidRDefault="008D01F7" w:rsidP="006F5D39">
      <w:pPr>
        <w:pStyle w:val="00BodyText"/>
        <w:spacing w:before="120" w:after="120"/>
        <w:jc w:val="both"/>
        <w:rPr>
          <w:b/>
          <w:sz w:val="20"/>
        </w:rPr>
      </w:pPr>
      <w:r w:rsidRPr="0020530E">
        <w:rPr>
          <w:b/>
          <w:sz w:val="20"/>
        </w:rPr>
        <w:t xml:space="preserve">Observation 6: For the case of MN change with/without SN change, how to achieve 0ms interruption HO depending on whether MCG DRB or SCG DRB or both of them are configured. </w:t>
      </w:r>
    </w:p>
    <w:p w:rsidR="008D01F7" w:rsidRPr="0020530E" w:rsidRDefault="008D01F7" w:rsidP="006F5D39">
      <w:pPr>
        <w:pStyle w:val="00BodyText"/>
        <w:spacing w:before="120" w:after="120"/>
        <w:jc w:val="both"/>
        <w:rPr>
          <w:b/>
          <w:sz w:val="20"/>
        </w:rPr>
      </w:pPr>
      <w:r w:rsidRPr="0020530E">
        <w:rPr>
          <w:b/>
          <w:sz w:val="20"/>
        </w:rPr>
        <w:t xml:space="preserve">Observation 7: For the case of MN change with/without SN change, if both MCG DRB and SCG DRB are configured, 0ms interruption HO can’t be guaranteed for both of them. Network can decide whether to suspend MCG DRB or SCG DRB during HO. </w:t>
      </w:r>
    </w:p>
    <w:p w:rsidR="008D01F7" w:rsidRPr="0020530E" w:rsidRDefault="008D01F7" w:rsidP="006F5D39">
      <w:pPr>
        <w:pStyle w:val="00BodyText"/>
        <w:spacing w:before="120" w:after="120"/>
        <w:jc w:val="both"/>
        <w:rPr>
          <w:b/>
          <w:sz w:val="20"/>
        </w:rPr>
      </w:pPr>
      <w:r w:rsidRPr="0020530E">
        <w:rPr>
          <w:b/>
          <w:sz w:val="20"/>
        </w:rPr>
        <w:t xml:space="preserve">Observation 8: For the case of SN change, 0ms interruption can be achieved for the SCG bearer by </w:t>
      </w:r>
      <w:r w:rsidRPr="0020530E">
        <w:rPr>
          <w:b/>
          <w:sz w:val="20"/>
          <w:lang w:eastAsia="ja-JP"/>
        </w:rPr>
        <w:t>simultaneous connectivity with the source SN and the target SN</w:t>
      </w:r>
      <w:r w:rsidRPr="0020530E">
        <w:rPr>
          <w:b/>
          <w:sz w:val="20"/>
        </w:rPr>
        <w:t xml:space="preserve"> during SCG change. </w:t>
      </w:r>
    </w:p>
    <w:p w:rsidR="00C35FD6" w:rsidRPr="0020530E" w:rsidRDefault="00C35FD6" w:rsidP="006F5D39">
      <w:pPr>
        <w:spacing w:before="120"/>
        <w:rPr>
          <w:lang w:val="en-US" w:eastAsia="ko-KR"/>
        </w:rPr>
      </w:pPr>
      <w:r w:rsidRPr="0020530E">
        <w:rPr>
          <w:lang w:val="en-US" w:eastAsia="ko-KR"/>
        </w:rPr>
        <w:t xml:space="preserve">Based on the observations, we propose: </w:t>
      </w:r>
    </w:p>
    <w:p w:rsidR="008D01F7" w:rsidRPr="0020530E" w:rsidRDefault="008D01F7" w:rsidP="006F5D39">
      <w:pPr>
        <w:pStyle w:val="00BodyText"/>
        <w:spacing w:before="120" w:after="120"/>
        <w:jc w:val="both"/>
        <w:rPr>
          <w:sz w:val="20"/>
        </w:rPr>
      </w:pPr>
      <w:r w:rsidRPr="0020530E">
        <w:rPr>
          <w:b/>
          <w:sz w:val="20"/>
        </w:rPr>
        <w:t xml:space="preserve">Proposal 1: UE capability same as Rel-15 of supporting simultaneous Tx/Rx with at most two nodes is assumed. UE is not required to perform simultaneous Tx/Rx with more than two nodes to achieve 0ms interruption HO/SCG change. </w:t>
      </w:r>
    </w:p>
    <w:p w:rsidR="008D01F7" w:rsidRPr="0020530E" w:rsidRDefault="008D01F7" w:rsidP="006F5D39">
      <w:pPr>
        <w:spacing w:before="120"/>
        <w:rPr>
          <w:b/>
        </w:rPr>
      </w:pPr>
      <w:r w:rsidRPr="0020530E">
        <w:rPr>
          <w:b/>
        </w:rPr>
        <w:t>Proposal 2</w:t>
      </w:r>
      <w:r w:rsidRPr="0020530E">
        <w:rPr>
          <w:rFonts w:hint="eastAsia"/>
          <w:b/>
        </w:rPr>
        <w:t xml:space="preserve">: </w:t>
      </w:r>
      <w:r w:rsidRPr="0020530E">
        <w:rPr>
          <w:b/>
        </w:rPr>
        <w:t>Inter-system HO is not considered in the WI for NR mobility enhancement.</w:t>
      </w:r>
    </w:p>
    <w:p w:rsidR="008D01F7" w:rsidRPr="0020530E" w:rsidRDefault="008D01F7" w:rsidP="006F5D39">
      <w:pPr>
        <w:pStyle w:val="00BodyText"/>
        <w:spacing w:before="120" w:after="120"/>
        <w:jc w:val="both"/>
        <w:rPr>
          <w:b/>
          <w:sz w:val="20"/>
        </w:rPr>
      </w:pPr>
      <w:r w:rsidRPr="0020530E">
        <w:rPr>
          <w:b/>
          <w:sz w:val="20"/>
        </w:rPr>
        <w:t xml:space="preserve">Proposal 3: Prioritize solutions for intra-RAT HO. Consider to support intra-5GC inter-RAT HO later when the studies on interruption reduction for intra-RAT HO in both LTE and NR are completed. </w:t>
      </w:r>
    </w:p>
    <w:p w:rsidR="008D01F7" w:rsidRPr="0020530E" w:rsidRDefault="008D01F7" w:rsidP="006F5D39">
      <w:pPr>
        <w:pStyle w:val="00BodyText"/>
        <w:spacing w:before="120" w:after="120"/>
        <w:jc w:val="both"/>
        <w:rPr>
          <w:b/>
          <w:sz w:val="20"/>
        </w:rPr>
      </w:pPr>
      <w:r w:rsidRPr="0020530E">
        <w:rPr>
          <w:b/>
          <w:sz w:val="20"/>
        </w:rPr>
        <w:t xml:space="preserve">Proposal 4: HO without SCG is considered as the basic scenario to achieve 0ms interruption HO. </w:t>
      </w:r>
    </w:p>
    <w:p w:rsidR="008D01F7" w:rsidRPr="0020530E" w:rsidRDefault="008D01F7" w:rsidP="006F5D39">
      <w:pPr>
        <w:pStyle w:val="00BodyText"/>
        <w:spacing w:before="120" w:after="120"/>
        <w:jc w:val="both"/>
        <w:rPr>
          <w:b/>
          <w:sz w:val="20"/>
        </w:rPr>
      </w:pPr>
      <w:r w:rsidRPr="0020530E">
        <w:rPr>
          <w:b/>
          <w:sz w:val="20"/>
        </w:rPr>
        <w:t xml:space="preserve">Proposal 5: RAN2 discuss whether 0ms interruption HO should be supported in the following MR-DC operations: MN to gNB change, gNB to MN change, MN change without SN change and MN change with SN change. </w:t>
      </w:r>
    </w:p>
    <w:p w:rsidR="008D01F7" w:rsidRPr="0020530E" w:rsidRDefault="008D01F7" w:rsidP="006F5D39">
      <w:pPr>
        <w:pStyle w:val="00BodyText"/>
        <w:spacing w:before="120" w:after="120"/>
        <w:jc w:val="both"/>
        <w:rPr>
          <w:b/>
          <w:sz w:val="20"/>
        </w:rPr>
      </w:pPr>
      <w:r w:rsidRPr="0020530E">
        <w:rPr>
          <w:b/>
          <w:sz w:val="20"/>
        </w:rPr>
        <w:t xml:space="preserve">Proposal 6: 0ms interruption during SCG change can only be targeted for the SCG bearers instead of the MCG bearer. </w:t>
      </w:r>
    </w:p>
    <w:p w:rsidR="004B339C" w:rsidRPr="004B339C" w:rsidRDefault="004B339C" w:rsidP="00520920">
      <w:pPr>
        <w:pStyle w:val="00BodyText"/>
        <w:spacing w:before="120" w:after="120"/>
        <w:jc w:val="both"/>
        <w:rPr>
          <w:b/>
          <w:sz w:val="20"/>
          <w:szCs w:val="22"/>
          <w:u w:val="single"/>
        </w:rPr>
      </w:pPr>
    </w:p>
    <w:sectPr w:rsidR="004B339C" w:rsidRPr="004B339C" w:rsidSect="000D07DC">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AB7" w:rsidRDefault="009A3AB7" w:rsidP="00753B12">
      <w:pPr>
        <w:spacing w:after="0"/>
      </w:pPr>
      <w:r>
        <w:separator/>
      </w:r>
    </w:p>
  </w:endnote>
  <w:endnote w:type="continuationSeparator" w:id="0">
    <w:p w:rsidR="009A3AB7" w:rsidRDefault="009A3AB7" w:rsidP="0075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AB7" w:rsidRDefault="009A3AB7" w:rsidP="00753B12">
      <w:pPr>
        <w:spacing w:after="0"/>
      </w:pPr>
      <w:r>
        <w:separator/>
      </w:r>
    </w:p>
  </w:footnote>
  <w:footnote w:type="continuationSeparator" w:id="0">
    <w:p w:rsidR="009A3AB7" w:rsidRDefault="009A3AB7" w:rsidP="0075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59F"/>
    <w:multiLevelType w:val="hybridMultilevel"/>
    <w:tmpl w:val="4E8CE900"/>
    <w:lvl w:ilvl="0" w:tplc="23CA55F6">
      <w:start w:val="1"/>
      <w:numFmt w:val="bullet"/>
      <w:lvlText w:val="•"/>
      <w:lvlJc w:val="left"/>
      <w:pPr>
        <w:tabs>
          <w:tab w:val="num" w:pos="720"/>
        </w:tabs>
        <w:ind w:left="720" w:hanging="360"/>
      </w:pPr>
      <w:rPr>
        <w:rFonts w:ascii="Arial" w:hAnsi="Arial" w:hint="default"/>
      </w:rPr>
    </w:lvl>
    <w:lvl w:ilvl="1" w:tplc="304C5820" w:tentative="1">
      <w:start w:val="1"/>
      <w:numFmt w:val="bullet"/>
      <w:lvlText w:val="•"/>
      <w:lvlJc w:val="left"/>
      <w:pPr>
        <w:tabs>
          <w:tab w:val="num" w:pos="1440"/>
        </w:tabs>
        <w:ind w:left="1440" w:hanging="360"/>
      </w:pPr>
      <w:rPr>
        <w:rFonts w:ascii="Arial" w:hAnsi="Arial" w:hint="default"/>
      </w:rPr>
    </w:lvl>
    <w:lvl w:ilvl="2" w:tplc="5D96B712" w:tentative="1">
      <w:start w:val="1"/>
      <w:numFmt w:val="bullet"/>
      <w:lvlText w:val="•"/>
      <w:lvlJc w:val="left"/>
      <w:pPr>
        <w:tabs>
          <w:tab w:val="num" w:pos="2160"/>
        </w:tabs>
        <w:ind w:left="2160" w:hanging="360"/>
      </w:pPr>
      <w:rPr>
        <w:rFonts w:ascii="Arial" w:hAnsi="Arial" w:hint="default"/>
      </w:rPr>
    </w:lvl>
    <w:lvl w:ilvl="3" w:tplc="D18C8068" w:tentative="1">
      <w:start w:val="1"/>
      <w:numFmt w:val="bullet"/>
      <w:lvlText w:val="•"/>
      <w:lvlJc w:val="left"/>
      <w:pPr>
        <w:tabs>
          <w:tab w:val="num" w:pos="2880"/>
        </w:tabs>
        <w:ind w:left="2880" w:hanging="360"/>
      </w:pPr>
      <w:rPr>
        <w:rFonts w:ascii="Arial" w:hAnsi="Arial" w:hint="default"/>
      </w:rPr>
    </w:lvl>
    <w:lvl w:ilvl="4" w:tplc="8334D94C" w:tentative="1">
      <w:start w:val="1"/>
      <w:numFmt w:val="bullet"/>
      <w:lvlText w:val="•"/>
      <w:lvlJc w:val="left"/>
      <w:pPr>
        <w:tabs>
          <w:tab w:val="num" w:pos="3600"/>
        </w:tabs>
        <w:ind w:left="3600" w:hanging="360"/>
      </w:pPr>
      <w:rPr>
        <w:rFonts w:ascii="Arial" w:hAnsi="Arial" w:hint="default"/>
      </w:rPr>
    </w:lvl>
    <w:lvl w:ilvl="5" w:tplc="F4A4E124" w:tentative="1">
      <w:start w:val="1"/>
      <w:numFmt w:val="bullet"/>
      <w:lvlText w:val="•"/>
      <w:lvlJc w:val="left"/>
      <w:pPr>
        <w:tabs>
          <w:tab w:val="num" w:pos="4320"/>
        </w:tabs>
        <w:ind w:left="4320" w:hanging="360"/>
      </w:pPr>
      <w:rPr>
        <w:rFonts w:ascii="Arial" w:hAnsi="Arial" w:hint="default"/>
      </w:rPr>
    </w:lvl>
    <w:lvl w:ilvl="6" w:tplc="C3D4550C" w:tentative="1">
      <w:start w:val="1"/>
      <w:numFmt w:val="bullet"/>
      <w:lvlText w:val="•"/>
      <w:lvlJc w:val="left"/>
      <w:pPr>
        <w:tabs>
          <w:tab w:val="num" w:pos="5040"/>
        </w:tabs>
        <w:ind w:left="5040" w:hanging="360"/>
      </w:pPr>
      <w:rPr>
        <w:rFonts w:ascii="Arial" w:hAnsi="Arial" w:hint="default"/>
      </w:rPr>
    </w:lvl>
    <w:lvl w:ilvl="7" w:tplc="1780E4EE" w:tentative="1">
      <w:start w:val="1"/>
      <w:numFmt w:val="bullet"/>
      <w:lvlText w:val="•"/>
      <w:lvlJc w:val="left"/>
      <w:pPr>
        <w:tabs>
          <w:tab w:val="num" w:pos="5760"/>
        </w:tabs>
        <w:ind w:left="5760" w:hanging="360"/>
      </w:pPr>
      <w:rPr>
        <w:rFonts w:ascii="Arial" w:hAnsi="Arial" w:hint="default"/>
      </w:rPr>
    </w:lvl>
    <w:lvl w:ilvl="8" w:tplc="2AF44D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217971"/>
    <w:multiLevelType w:val="hybridMultilevel"/>
    <w:tmpl w:val="026A0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C074C"/>
    <w:multiLevelType w:val="hybridMultilevel"/>
    <w:tmpl w:val="1D7EBDCA"/>
    <w:lvl w:ilvl="0" w:tplc="8B6408D4">
      <w:start w:val="1"/>
      <w:numFmt w:val="bullet"/>
      <w:lvlText w:val="•"/>
      <w:lvlJc w:val="left"/>
      <w:pPr>
        <w:tabs>
          <w:tab w:val="num" w:pos="360"/>
        </w:tabs>
        <w:ind w:left="360" w:hanging="360"/>
      </w:pPr>
      <w:rPr>
        <w:rFonts w:ascii="Arial" w:hAnsi="Arial" w:hint="default"/>
      </w:rPr>
    </w:lvl>
    <w:lvl w:ilvl="1" w:tplc="F356B000" w:tentative="1">
      <w:start w:val="1"/>
      <w:numFmt w:val="bullet"/>
      <w:lvlText w:val="•"/>
      <w:lvlJc w:val="left"/>
      <w:pPr>
        <w:tabs>
          <w:tab w:val="num" w:pos="1080"/>
        </w:tabs>
        <w:ind w:left="1080" w:hanging="360"/>
      </w:pPr>
      <w:rPr>
        <w:rFonts w:ascii="Arial" w:hAnsi="Arial" w:hint="default"/>
      </w:rPr>
    </w:lvl>
    <w:lvl w:ilvl="2" w:tplc="61E898C6" w:tentative="1">
      <w:start w:val="1"/>
      <w:numFmt w:val="bullet"/>
      <w:lvlText w:val="•"/>
      <w:lvlJc w:val="left"/>
      <w:pPr>
        <w:tabs>
          <w:tab w:val="num" w:pos="1800"/>
        </w:tabs>
        <w:ind w:left="1800" w:hanging="360"/>
      </w:pPr>
      <w:rPr>
        <w:rFonts w:ascii="Arial" w:hAnsi="Arial" w:hint="default"/>
      </w:rPr>
    </w:lvl>
    <w:lvl w:ilvl="3" w:tplc="4E08EA00" w:tentative="1">
      <w:start w:val="1"/>
      <w:numFmt w:val="bullet"/>
      <w:lvlText w:val="•"/>
      <w:lvlJc w:val="left"/>
      <w:pPr>
        <w:tabs>
          <w:tab w:val="num" w:pos="2520"/>
        </w:tabs>
        <w:ind w:left="2520" w:hanging="360"/>
      </w:pPr>
      <w:rPr>
        <w:rFonts w:ascii="Arial" w:hAnsi="Arial" w:hint="default"/>
      </w:rPr>
    </w:lvl>
    <w:lvl w:ilvl="4" w:tplc="7EBEC190" w:tentative="1">
      <w:start w:val="1"/>
      <w:numFmt w:val="bullet"/>
      <w:lvlText w:val="•"/>
      <w:lvlJc w:val="left"/>
      <w:pPr>
        <w:tabs>
          <w:tab w:val="num" w:pos="3240"/>
        </w:tabs>
        <w:ind w:left="3240" w:hanging="360"/>
      </w:pPr>
      <w:rPr>
        <w:rFonts w:ascii="Arial" w:hAnsi="Arial" w:hint="default"/>
      </w:rPr>
    </w:lvl>
    <w:lvl w:ilvl="5" w:tplc="695C885C" w:tentative="1">
      <w:start w:val="1"/>
      <w:numFmt w:val="bullet"/>
      <w:lvlText w:val="•"/>
      <w:lvlJc w:val="left"/>
      <w:pPr>
        <w:tabs>
          <w:tab w:val="num" w:pos="3960"/>
        </w:tabs>
        <w:ind w:left="3960" w:hanging="360"/>
      </w:pPr>
      <w:rPr>
        <w:rFonts w:ascii="Arial" w:hAnsi="Arial" w:hint="default"/>
      </w:rPr>
    </w:lvl>
    <w:lvl w:ilvl="6" w:tplc="C8529672" w:tentative="1">
      <w:start w:val="1"/>
      <w:numFmt w:val="bullet"/>
      <w:lvlText w:val="•"/>
      <w:lvlJc w:val="left"/>
      <w:pPr>
        <w:tabs>
          <w:tab w:val="num" w:pos="4680"/>
        </w:tabs>
        <w:ind w:left="4680" w:hanging="360"/>
      </w:pPr>
      <w:rPr>
        <w:rFonts w:ascii="Arial" w:hAnsi="Arial" w:hint="default"/>
      </w:rPr>
    </w:lvl>
    <w:lvl w:ilvl="7" w:tplc="23303478" w:tentative="1">
      <w:start w:val="1"/>
      <w:numFmt w:val="bullet"/>
      <w:lvlText w:val="•"/>
      <w:lvlJc w:val="left"/>
      <w:pPr>
        <w:tabs>
          <w:tab w:val="num" w:pos="5400"/>
        </w:tabs>
        <w:ind w:left="5400" w:hanging="360"/>
      </w:pPr>
      <w:rPr>
        <w:rFonts w:ascii="Arial" w:hAnsi="Arial" w:hint="default"/>
      </w:rPr>
    </w:lvl>
    <w:lvl w:ilvl="8" w:tplc="63F655E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C"/>
    <w:rsid w:val="0001458D"/>
    <w:rsid w:val="00064CF9"/>
    <w:rsid w:val="000A0524"/>
    <w:rsid w:val="000B6A7F"/>
    <w:rsid w:val="000D07DC"/>
    <w:rsid w:val="001510DF"/>
    <w:rsid w:val="00184442"/>
    <w:rsid w:val="001F6C01"/>
    <w:rsid w:val="0020530E"/>
    <w:rsid w:val="002220B2"/>
    <w:rsid w:val="002721DC"/>
    <w:rsid w:val="002908F3"/>
    <w:rsid w:val="002A2599"/>
    <w:rsid w:val="00367A18"/>
    <w:rsid w:val="00372A7D"/>
    <w:rsid w:val="00381E91"/>
    <w:rsid w:val="0038467E"/>
    <w:rsid w:val="003E6140"/>
    <w:rsid w:val="003F7B73"/>
    <w:rsid w:val="00447185"/>
    <w:rsid w:val="004B339C"/>
    <w:rsid w:val="004D3CDB"/>
    <w:rsid w:val="005025CA"/>
    <w:rsid w:val="0051010F"/>
    <w:rsid w:val="00520920"/>
    <w:rsid w:val="00561B79"/>
    <w:rsid w:val="005624DF"/>
    <w:rsid w:val="005A0988"/>
    <w:rsid w:val="005B6DEC"/>
    <w:rsid w:val="005C7505"/>
    <w:rsid w:val="00677ED6"/>
    <w:rsid w:val="006F5D39"/>
    <w:rsid w:val="00750B6D"/>
    <w:rsid w:val="00753B12"/>
    <w:rsid w:val="00756EB1"/>
    <w:rsid w:val="007A4879"/>
    <w:rsid w:val="007D29FB"/>
    <w:rsid w:val="00803C49"/>
    <w:rsid w:val="00893243"/>
    <w:rsid w:val="008C3991"/>
    <w:rsid w:val="008D01F7"/>
    <w:rsid w:val="008D2D23"/>
    <w:rsid w:val="008F2B1A"/>
    <w:rsid w:val="00985C5B"/>
    <w:rsid w:val="00995304"/>
    <w:rsid w:val="009A3AB7"/>
    <w:rsid w:val="00A06694"/>
    <w:rsid w:val="00A534AD"/>
    <w:rsid w:val="00AC1714"/>
    <w:rsid w:val="00B11C4B"/>
    <w:rsid w:val="00B2151C"/>
    <w:rsid w:val="00B50BBF"/>
    <w:rsid w:val="00C35FD6"/>
    <w:rsid w:val="00C82125"/>
    <w:rsid w:val="00DB6ECC"/>
    <w:rsid w:val="00DB728E"/>
    <w:rsid w:val="00DC709A"/>
    <w:rsid w:val="00DE3867"/>
    <w:rsid w:val="00E33609"/>
    <w:rsid w:val="00E70E3F"/>
    <w:rsid w:val="00EB7414"/>
    <w:rsid w:val="00ED36AE"/>
    <w:rsid w:val="00EE74A2"/>
    <w:rsid w:val="00EF5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0D1E55-33C8-4252-9106-9AEF12C36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1DC"/>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721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ko-KR"/>
    </w:rPr>
  </w:style>
  <w:style w:type="paragraph" w:styleId="Heading2">
    <w:name w:val="heading 2"/>
    <w:aliases w:val="Head2A,2,H2,UNDERRUBRIK 1-2,DO NOT USE_h2,h2,h21,H2 Char,h2 Char"/>
    <w:basedOn w:val="Heading1"/>
    <w:next w:val="Normal"/>
    <w:link w:val="Heading2Char"/>
    <w:qFormat/>
    <w:rsid w:val="002721DC"/>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721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721DC"/>
    <w:pPr>
      <w:numPr>
        <w:ilvl w:val="3"/>
      </w:numPr>
      <w:outlineLvl w:val="3"/>
    </w:pPr>
    <w:rPr>
      <w:sz w:val="24"/>
      <w:szCs w:val="24"/>
    </w:rPr>
  </w:style>
  <w:style w:type="paragraph" w:styleId="Heading5">
    <w:name w:val="heading 5"/>
    <w:basedOn w:val="Heading4"/>
    <w:next w:val="Normal"/>
    <w:link w:val="Heading5Char"/>
    <w:qFormat/>
    <w:rsid w:val="002721DC"/>
    <w:pPr>
      <w:numPr>
        <w:ilvl w:val="4"/>
      </w:numPr>
      <w:outlineLvl w:val="4"/>
    </w:pPr>
    <w:rPr>
      <w:sz w:val="22"/>
      <w:szCs w:val="22"/>
    </w:rPr>
  </w:style>
  <w:style w:type="paragraph" w:styleId="Heading6">
    <w:name w:val="heading 6"/>
    <w:basedOn w:val="Normal"/>
    <w:next w:val="Normal"/>
    <w:link w:val="Heading6Char"/>
    <w:qFormat/>
    <w:rsid w:val="002721D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721D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721DC"/>
    <w:pPr>
      <w:numPr>
        <w:ilvl w:val="7"/>
      </w:numPr>
      <w:outlineLvl w:val="7"/>
    </w:pPr>
  </w:style>
  <w:style w:type="paragraph" w:styleId="Heading9">
    <w:name w:val="heading 9"/>
    <w:basedOn w:val="Heading8"/>
    <w:next w:val="Normal"/>
    <w:link w:val="Heading9Char"/>
    <w:qFormat/>
    <w:rsid w:val="002721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721DC"/>
    <w:rPr>
      <w:rFonts w:ascii="Arial" w:eastAsia="宋体" w:hAnsi="Arial" w:cs="Times New Roman"/>
      <w:sz w:val="36"/>
      <w:szCs w:val="36"/>
      <w:lang w:val="en-GB"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2721DC"/>
    <w:rPr>
      <w:rFonts w:ascii="Arial" w:eastAsia="宋体" w:hAnsi="Arial" w:cs="Times New Roman"/>
      <w:sz w:val="32"/>
      <w:szCs w:val="3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721DC"/>
    <w:rPr>
      <w:rFonts w:ascii="Arial" w:eastAsia="宋体" w:hAnsi="Arial" w:cs="Times New Roman"/>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1DC"/>
    <w:rPr>
      <w:rFonts w:ascii="Arial" w:eastAsia="宋体" w:hAnsi="Arial" w:cs="Times New Roman"/>
      <w:sz w:val="24"/>
      <w:szCs w:val="24"/>
      <w:lang w:val="en-GB" w:eastAsia="ko-KR"/>
    </w:rPr>
  </w:style>
  <w:style w:type="character" w:customStyle="1" w:styleId="Heading5Char">
    <w:name w:val="Heading 5 Char"/>
    <w:basedOn w:val="DefaultParagraphFont"/>
    <w:link w:val="Heading5"/>
    <w:rsid w:val="002721DC"/>
    <w:rPr>
      <w:rFonts w:ascii="Arial" w:eastAsia="宋体" w:hAnsi="Arial" w:cs="Times New Roman"/>
      <w:lang w:val="en-GB" w:eastAsia="ko-KR"/>
    </w:rPr>
  </w:style>
  <w:style w:type="character" w:customStyle="1" w:styleId="Heading6Char">
    <w:name w:val="Heading 6 Char"/>
    <w:basedOn w:val="DefaultParagraphFont"/>
    <w:link w:val="Heading6"/>
    <w:rsid w:val="002721DC"/>
    <w:rPr>
      <w:rFonts w:ascii="Arial" w:eastAsia="宋体" w:hAnsi="Arial" w:cs="Arial"/>
      <w:sz w:val="20"/>
      <w:szCs w:val="20"/>
      <w:lang w:val="en-GB"/>
    </w:rPr>
  </w:style>
  <w:style w:type="character" w:customStyle="1" w:styleId="Heading7Char">
    <w:name w:val="Heading 7 Char"/>
    <w:basedOn w:val="DefaultParagraphFont"/>
    <w:link w:val="Heading7"/>
    <w:rsid w:val="002721DC"/>
    <w:rPr>
      <w:rFonts w:ascii="Arial" w:eastAsia="宋体" w:hAnsi="Arial" w:cs="Arial"/>
      <w:sz w:val="20"/>
      <w:szCs w:val="20"/>
      <w:lang w:val="en-GB"/>
    </w:rPr>
  </w:style>
  <w:style w:type="character" w:customStyle="1" w:styleId="Heading8Char">
    <w:name w:val="Heading 8 Char"/>
    <w:basedOn w:val="DefaultParagraphFont"/>
    <w:link w:val="Heading8"/>
    <w:rsid w:val="002721DC"/>
    <w:rPr>
      <w:rFonts w:ascii="Arial" w:eastAsia="宋体" w:hAnsi="Arial" w:cs="Arial"/>
      <w:sz w:val="20"/>
      <w:szCs w:val="20"/>
      <w:lang w:val="en-GB"/>
    </w:rPr>
  </w:style>
  <w:style w:type="character" w:customStyle="1" w:styleId="Heading9Char">
    <w:name w:val="Heading 9 Char"/>
    <w:basedOn w:val="DefaultParagraphFont"/>
    <w:link w:val="Heading9"/>
    <w:rsid w:val="002721DC"/>
    <w:rPr>
      <w:rFonts w:ascii="Arial" w:eastAsia="宋体" w:hAnsi="Arial" w:cs="Arial"/>
      <w:sz w:val="20"/>
      <w:szCs w:val="20"/>
      <w:lang w:val="en-GB"/>
    </w:rPr>
  </w:style>
  <w:style w:type="paragraph" w:customStyle="1" w:styleId="3GPPHeader">
    <w:name w:val="3GPP_Header"/>
    <w:basedOn w:val="Normal"/>
    <w:rsid w:val="002721DC"/>
    <w:pPr>
      <w:tabs>
        <w:tab w:val="left" w:pos="1701"/>
        <w:tab w:val="right" w:pos="9639"/>
      </w:tabs>
      <w:spacing w:after="240"/>
    </w:pPr>
    <w:rPr>
      <w:b/>
      <w:sz w:val="24"/>
    </w:rPr>
  </w:style>
  <w:style w:type="paragraph" w:styleId="BodyText">
    <w:name w:val="Body Text"/>
    <w:basedOn w:val="Normal"/>
    <w:link w:val="BodyTextChar"/>
    <w:rsid w:val="002721DC"/>
    <w:rPr>
      <w:lang w:eastAsia="x-none"/>
    </w:rPr>
  </w:style>
  <w:style w:type="character" w:customStyle="1" w:styleId="BodyTextChar">
    <w:name w:val="Body Text Char"/>
    <w:basedOn w:val="DefaultParagraphFont"/>
    <w:link w:val="BodyText"/>
    <w:rsid w:val="002721DC"/>
    <w:rPr>
      <w:rFonts w:ascii="Arial" w:eastAsia="宋体" w:hAnsi="Arial" w:cs="Times New Roman"/>
      <w:sz w:val="20"/>
      <w:szCs w:val="20"/>
      <w:lang w:val="en-GB" w:eastAsia="x-none"/>
    </w:rPr>
  </w:style>
  <w:style w:type="character" w:customStyle="1" w:styleId="Doc-titleChar">
    <w:name w:val="Doc-title Char"/>
    <w:link w:val="Doc-title"/>
    <w:locked/>
    <w:rsid w:val="002721D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2721DC"/>
    <w:pPr>
      <w:overflowPunct/>
      <w:autoSpaceDE/>
      <w:autoSpaceDN/>
      <w:adjustRightInd/>
      <w:spacing w:before="60" w:after="0"/>
      <w:ind w:left="1259" w:hanging="1259"/>
      <w:jc w:val="left"/>
      <w:textAlignment w:val="auto"/>
    </w:pPr>
    <w:rPr>
      <w:rFonts w:eastAsia="MS Mincho" w:cs="Arial"/>
      <w:noProof/>
      <w:sz w:val="22"/>
      <w:szCs w:val="24"/>
      <w:lang w:eastAsia="en-GB"/>
    </w:rPr>
  </w:style>
  <w:style w:type="table" w:styleId="TableGrid">
    <w:name w:val="Table Grid"/>
    <w:basedOn w:val="TableNormal"/>
    <w:uiPriority w:val="39"/>
    <w:rsid w:val="0089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93243"/>
    <w:pPr>
      <w:spacing w:after="180"/>
      <w:ind w:left="568" w:hanging="284"/>
      <w:contextualSpacing w:val="0"/>
      <w:jc w:val="left"/>
    </w:pPr>
    <w:rPr>
      <w:rFonts w:ascii="Times New Roman" w:eastAsia="MS Mincho" w:hAnsi="Times New Roman"/>
      <w:lang w:eastAsia="en-US"/>
    </w:rPr>
  </w:style>
  <w:style w:type="paragraph" w:styleId="List">
    <w:name w:val="List"/>
    <w:basedOn w:val="Normal"/>
    <w:uiPriority w:val="99"/>
    <w:semiHidden/>
    <w:unhideWhenUsed/>
    <w:rsid w:val="00893243"/>
    <w:pPr>
      <w:ind w:left="283" w:hanging="283"/>
      <w:contextualSpacing/>
    </w:pPr>
  </w:style>
  <w:style w:type="paragraph" w:customStyle="1" w:styleId="00BodyText">
    <w:name w:val="00 BodyText"/>
    <w:basedOn w:val="Normal"/>
    <w:qFormat/>
    <w:rsid w:val="00B50BBF"/>
    <w:pPr>
      <w:overflowPunct/>
      <w:autoSpaceDE/>
      <w:autoSpaceDN/>
      <w:adjustRightInd/>
      <w:spacing w:after="220" w:line="259" w:lineRule="auto"/>
      <w:jc w:val="left"/>
      <w:textAlignment w:val="auto"/>
    </w:pPr>
    <w:rPr>
      <w:rFonts w:eastAsia="Times New Roman"/>
      <w:sz w:val="22"/>
      <w:lang w:val="en-US" w:eastAsia="en-US"/>
    </w:rPr>
  </w:style>
  <w:style w:type="paragraph" w:customStyle="1" w:styleId="Doc-text2">
    <w:name w:val="Doc-text2"/>
    <w:basedOn w:val="Normal"/>
    <w:link w:val="Doc-text2Char"/>
    <w:qFormat/>
    <w:rsid w:val="00756E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6EB1"/>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53B12"/>
    <w:pPr>
      <w:tabs>
        <w:tab w:val="center" w:pos="4320"/>
        <w:tab w:val="right" w:pos="8640"/>
      </w:tabs>
      <w:spacing w:after="0"/>
    </w:pPr>
  </w:style>
  <w:style w:type="character" w:customStyle="1" w:styleId="HeaderChar">
    <w:name w:val="Header Char"/>
    <w:basedOn w:val="DefaultParagraphFont"/>
    <w:link w:val="Header"/>
    <w:uiPriority w:val="99"/>
    <w:rsid w:val="00753B12"/>
    <w:rPr>
      <w:rFonts w:ascii="Arial" w:eastAsia="宋体" w:hAnsi="Arial" w:cs="Times New Roman"/>
      <w:sz w:val="20"/>
      <w:szCs w:val="20"/>
      <w:lang w:val="en-GB"/>
    </w:rPr>
  </w:style>
  <w:style w:type="paragraph" w:styleId="Footer">
    <w:name w:val="footer"/>
    <w:basedOn w:val="Normal"/>
    <w:link w:val="FooterChar"/>
    <w:uiPriority w:val="99"/>
    <w:unhideWhenUsed/>
    <w:rsid w:val="00753B12"/>
    <w:pPr>
      <w:tabs>
        <w:tab w:val="center" w:pos="4320"/>
        <w:tab w:val="right" w:pos="8640"/>
      </w:tabs>
      <w:spacing w:after="0"/>
    </w:pPr>
  </w:style>
  <w:style w:type="character" w:customStyle="1" w:styleId="FooterChar">
    <w:name w:val="Footer Char"/>
    <w:basedOn w:val="DefaultParagraphFont"/>
    <w:link w:val="Footer"/>
    <w:uiPriority w:val="99"/>
    <w:rsid w:val="00753B12"/>
    <w:rPr>
      <w:rFonts w:ascii="Arial" w:eastAsia="宋体" w:hAnsi="Arial" w:cs="Times New Roman"/>
      <w:sz w:val="20"/>
      <w:szCs w:val="20"/>
      <w:lang w:val="en-GB"/>
    </w:rPr>
  </w:style>
  <w:style w:type="paragraph" w:styleId="ListParagraph">
    <w:name w:val="List Paragraph"/>
    <w:basedOn w:val="Normal"/>
    <w:uiPriority w:val="34"/>
    <w:qFormat/>
    <w:rsid w:val="009953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5035">
      <w:bodyDiv w:val="1"/>
      <w:marLeft w:val="0"/>
      <w:marRight w:val="0"/>
      <w:marTop w:val="0"/>
      <w:marBottom w:val="0"/>
      <w:divBdr>
        <w:top w:val="none" w:sz="0" w:space="0" w:color="auto"/>
        <w:left w:val="none" w:sz="0" w:space="0" w:color="auto"/>
        <w:bottom w:val="none" w:sz="0" w:space="0" w:color="auto"/>
        <w:right w:val="none" w:sz="0" w:space="0" w:color="auto"/>
      </w:divBdr>
      <w:divsChild>
        <w:div w:id="2083867633">
          <w:marLeft w:val="432"/>
          <w:marRight w:val="0"/>
          <w:marTop w:val="240"/>
          <w:marBottom w:val="0"/>
          <w:divBdr>
            <w:top w:val="none" w:sz="0" w:space="0" w:color="auto"/>
            <w:left w:val="none" w:sz="0" w:space="0" w:color="auto"/>
            <w:bottom w:val="none" w:sz="0" w:space="0" w:color="auto"/>
            <w:right w:val="none" w:sz="0" w:space="0" w:color="auto"/>
          </w:divBdr>
        </w:div>
      </w:divsChild>
    </w:div>
    <w:div w:id="1591549812">
      <w:bodyDiv w:val="1"/>
      <w:marLeft w:val="0"/>
      <w:marRight w:val="0"/>
      <w:marTop w:val="0"/>
      <w:marBottom w:val="0"/>
      <w:divBdr>
        <w:top w:val="none" w:sz="0" w:space="0" w:color="auto"/>
        <w:left w:val="none" w:sz="0" w:space="0" w:color="auto"/>
        <w:bottom w:val="none" w:sz="0" w:space="0" w:color="auto"/>
        <w:right w:val="none" w:sz="0" w:space="0" w:color="auto"/>
      </w:divBdr>
      <w:divsChild>
        <w:div w:id="4988205">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2076</Words>
  <Characters>11835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2019-02-14T06:11:00Z</dcterms:created>
  <dcterms:modified xsi:type="dcterms:W3CDTF">2019-02-15T04:08:00Z</dcterms:modified>
</cp:coreProperties>
</file>