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F0998" w14:textId="77777777" w:rsidR="008C1E02" w:rsidRDefault="008C1E02" w:rsidP="008C1E02">
      <w:pPr>
        <w:pStyle w:val="CRCoverPage"/>
        <w:tabs>
          <w:tab w:val="right" w:pos="8640"/>
        </w:tabs>
        <w:spacing w:after="0"/>
        <w:ind w:right="1260"/>
        <w:rPr>
          <w:b/>
          <w:noProof/>
          <w:sz w:val="24"/>
        </w:rPr>
      </w:pPr>
      <w:bookmarkStart w:id="0" w:name="_GoBack"/>
      <w:bookmarkEnd w:id="0"/>
    </w:p>
    <w:p w14:paraId="368FFB6A" w14:textId="3887C6C9" w:rsidR="008C1E02" w:rsidRDefault="008C1E02" w:rsidP="008C1E0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1" w:name="_Ref452454252"/>
      <w:bookmarkEnd w:id="1"/>
      <w:r>
        <w:rPr>
          <w:rFonts w:ascii="Arial" w:eastAsia="Times New Roman" w:hAnsi="Arial"/>
          <w:b/>
          <w:bCs/>
          <w:sz w:val="24"/>
          <w:szCs w:val="24"/>
        </w:rPr>
        <w:t xml:space="preserve">SG-RAN </w:t>
      </w:r>
      <w:r>
        <w:rPr>
          <w:rFonts w:ascii="Arial" w:eastAsia="Times New Roman" w:hAnsi="Arial"/>
          <w:b/>
          <w:sz w:val="24"/>
          <w:szCs w:val="24"/>
        </w:rPr>
        <w:t>WG2 Meeting #105</w:t>
      </w:r>
      <w:r>
        <w:rPr>
          <w:rFonts w:ascii="Arial" w:eastAsia="Times New Roman" w:hAnsi="Arial"/>
          <w:b/>
          <w:bCs/>
          <w:sz w:val="24"/>
          <w:szCs w:val="24"/>
        </w:rPr>
        <w:tab/>
      </w:r>
      <w:r w:rsidR="001D3914" w:rsidRPr="001D3914">
        <w:rPr>
          <w:rFonts w:ascii="Arial" w:hAnsi="Arial" w:cs="Arial"/>
          <w:b/>
          <w:bCs/>
          <w:color w:val="000000"/>
          <w:sz w:val="26"/>
          <w:szCs w:val="26"/>
        </w:rPr>
        <w:t>R2-1900363</w:t>
      </w:r>
    </w:p>
    <w:p w14:paraId="4CACDA43" w14:textId="77777777" w:rsidR="008C1E02" w:rsidRDefault="008C1E02" w:rsidP="008C1E02">
      <w:pPr>
        <w:widowControl w:val="0"/>
        <w:tabs>
          <w:tab w:val="right" w:pos="9639"/>
        </w:tabs>
        <w:spacing w:after="0"/>
        <w:rPr>
          <w:rFonts w:ascii="Arial" w:hAnsi="Arial"/>
          <w:b/>
          <w:sz w:val="24"/>
          <w:szCs w:val="24"/>
          <w:lang w:eastAsia="zh-CN"/>
        </w:rPr>
      </w:pPr>
      <w:r>
        <w:rPr>
          <w:rFonts w:ascii="Arial" w:hAnsi="Arial"/>
          <w:b/>
          <w:sz w:val="24"/>
          <w:szCs w:val="24"/>
          <w:lang w:eastAsia="zh-CN"/>
        </w:rPr>
        <w:t>Athens, Greece, Feb 25</w:t>
      </w:r>
      <w:r w:rsidRPr="00692765">
        <w:rPr>
          <w:rFonts w:ascii="Arial" w:hAnsi="Arial"/>
          <w:b/>
          <w:sz w:val="24"/>
          <w:szCs w:val="24"/>
          <w:vertAlign w:val="superscript"/>
          <w:lang w:eastAsia="zh-CN"/>
        </w:rPr>
        <w:t>th</w:t>
      </w:r>
      <w:r>
        <w:rPr>
          <w:rFonts w:ascii="Arial" w:hAnsi="Arial"/>
          <w:b/>
          <w:sz w:val="24"/>
          <w:szCs w:val="24"/>
          <w:lang w:eastAsia="zh-CN"/>
        </w:rPr>
        <w:t xml:space="preserve"> – March 1</w:t>
      </w:r>
      <w:r w:rsidRPr="00CD3C8C">
        <w:rPr>
          <w:rFonts w:ascii="Arial" w:hAnsi="Arial"/>
          <w:b/>
          <w:sz w:val="24"/>
          <w:szCs w:val="24"/>
          <w:vertAlign w:val="superscript"/>
          <w:lang w:eastAsia="zh-CN"/>
        </w:rPr>
        <w:t>st</w:t>
      </w:r>
      <w:r>
        <w:rPr>
          <w:rFonts w:ascii="Arial" w:hAnsi="Arial"/>
          <w:b/>
          <w:sz w:val="24"/>
          <w:szCs w:val="24"/>
          <w:lang w:eastAsia="zh-CN"/>
        </w:rPr>
        <w:t>,</w:t>
      </w:r>
      <w:r w:rsidRPr="00383F56">
        <w:rPr>
          <w:rFonts w:ascii="Arial" w:hAnsi="Arial"/>
          <w:b/>
          <w:sz w:val="24"/>
          <w:szCs w:val="24"/>
          <w:lang w:eastAsia="zh-CN"/>
        </w:rPr>
        <w:t xml:space="preserve"> 201</w:t>
      </w:r>
      <w:r>
        <w:rPr>
          <w:rFonts w:ascii="Arial" w:hAnsi="Arial"/>
          <w:b/>
          <w:sz w:val="24"/>
          <w:szCs w:val="24"/>
          <w:lang w:eastAsia="zh-CN"/>
        </w:rPr>
        <w:t>9</w:t>
      </w:r>
      <w:r>
        <w:rPr>
          <w:rFonts w:ascii="Arial" w:hAnsi="Arial"/>
          <w:b/>
          <w:sz w:val="24"/>
          <w:szCs w:val="24"/>
          <w:lang w:eastAsia="zh-CN"/>
        </w:rPr>
        <w:tab/>
      </w:r>
    </w:p>
    <w:p w14:paraId="1E3E247E" w14:textId="77777777" w:rsidR="008C1E02" w:rsidRPr="006D3016" w:rsidRDefault="008C1E02" w:rsidP="008C1E02">
      <w:pPr>
        <w:widowControl w:val="0"/>
        <w:spacing w:after="0"/>
        <w:rPr>
          <w:rFonts w:ascii="Arial" w:eastAsia="Times New Roman" w:hAnsi="Arial"/>
          <w:b/>
          <w:bCs/>
          <w:sz w:val="24"/>
        </w:rPr>
      </w:pPr>
    </w:p>
    <w:p w14:paraId="510ABBAE" w14:textId="4BE1D45A" w:rsidR="008C1E02" w:rsidRPr="006D3016" w:rsidRDefault="008C1E02" w:rsidP="008C1E0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1D3914">
        <w:rPr>
          <w:rFonts w:ascii="Arial" w:eastAsia="MS Mincho" w:hAnsi="Arial" w:cs="Arial"/>
          <w:b/>
          <w:bCs/>
          <w:sz w:val="24"/>
        </w:rPr>
        <w:t>11.9.2</w:t>
      </w:r>
      <w:r>
        <w:rPr>
          <w:rFonts w:ascii="Arial" w:eastAsia="MS Mincho" w:hAnsi="Arial" w:cs="Arial"/>
          <w:b/>
          <w:bCs/>
          <w:sz w:val="24"/>
        </w:rPr>
        <w:t xml:space="preserve"> </w:t>
      </w:r>
    </w:p>
    <w:p w14:paraId="23CEEE1C" w14:textId="77777777" w:rsidR="008C1E02" w:rsidRDefault="008C1E02" w:rsidP="008C1E0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491713A" w14:textId="25FB1E97" w:rsidR="008C1E02" w:rsidRPr="006D3016" w:rsidRDefault="008C1E02" w:rsidP="008C1E0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RACH-Less HO design considerations</w:t>
      </w:r>
    </w:p>
    <w:p w14:paraId="6AB19BBA" w14:textId="77777777" w:rsidR="008C1E02" w:rsidRDefault="008C1E02" w:rsidP="008C1E0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3AB030B9" w14:textId="55D7109D" w:rsidR="008C1E02" w:rsidRPr="006D3016" w:rsidRDefault="008C1E02" w:rsidP="008C1E0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1449F03E" w14:textId="36A53BD1" w:rsidR="008C1E02" w:rsidRDefault="00B3484E" w:rsidP="008C1E02">
      <w:pPr>
        <w:pStyle w:val="Heading1"/>
        <w:numPr>
          <w:ilvl w:val="0"/>
          <w:numId w:val="1"/>
        </w:numPr>
        <w:pBdr>
          <w:top w:val="single" w:sz="12" w:space="2" w:color="auto"/>
        </w:pBdr>
      </w:pPr>
      <w:r>
        <w:t xml:space="preserve">Introduction </w:t>
      </w:r>
    </w:p>
    <w:p w14:paraId="7392357D" w14:textId="3FFDD583" w:rsidR="008C1E02" w:rsidRPr="005809C8" w:rsidRDefault="008C1E02" w:rsidP="008C1E02">
      <w:r w:rsidRPr="005809C8">
        <w:t xml:space="preserve">Below </w:t>
      </w:r>
      <w:r w:rsidR="001D3914">
        <w:t>is one of the</w:t>
      </w:r>
      <w:r w:rsidRPr="005809C8">
        <w:t xml:space="preserve"> objectives of the </w:t>
      </w:r>
      <w:r w:rsidR="001D3914" w:rsidRPr="005809C8">
        <w:t>New WI “NR mobility enhancements” [1].</w:t>
      </w:r>
      <w:r w:rsidRPr="005809C8">
        <w:t>:</w:t>
      </w:r>
    </w:p>
    <w:p w14:paraId="4B1AFABD" w14:textId="77777777" w:rsidR="008C1E02" w:rsidRPr="00752959" w:rsidRDefault="008C1E02" w:rsidP="008C1E02">
      <w:pPr>
        <w:pStyle w:val="B1"/>
        <w:numPr>
          <w:ilvl w:val="0"/>
          <w:numId w:val="3"/>
        </w:numPr>
        <w:overflowPunct w:val="0"/>
        <w:autoSpaceDE w:val="0"/>
        <w:autoSpaceDN w:val="0"/>
        <w:adjustRightInd w:val="0"/>
        <w:textAlignment w:val="baseline"/>
        <w:rPr>
          <w:lang w:val="en-US" w:eastAsia="ja-JP"/>
        </w:rPr>
      </w:pPr>
      <w:r>
        <w:rPr>
          <w:lang w:val="en-US" w:eastAsia="ja-JP"/>
        </w:rPr>
        <w:t xml:space="preserve">To </w:t>
      </w:r>
      <w:r w:rsidRPr="00657E51">
        <w:rPr>
          <w:lang w:val="en-US" w:eastAsia="ja-JP"/>
        </w:rPr>
        <w:t>study solution(s) to reduce interruption time during HO/SCG change</w:t>
      </w:r>
      <w:r>
        <w:rPr>
          <w:lang w:val="en-US" w:eastAsia="ja-JP"/>
        </w:rPr>
        <w:t xml:space="preserve"> focusing on the following identified solutions but not limited. </w:t>
      </w:r>
    </w:p>
    <w:p w14:paraId="65120817" w14:textId="77777777" w:rsidR="008C1E02" w:rsidRPr="00EF25DA" w:rsidRDefault="008C1E02" w:rsidP="008C1E02">
      <w:pPr>
        <w:pStyle w:val="B1"/>
        <w:numPr>
          <w:ilvl w:val="1"/>
          <w:numId w:val="3"/>
        </w:numPr>
        <w:overflowPunct w:val="0"/>
        <w:autoSpaceDE w:val="0"/>
        <w:autoSpaceDN w:val="0"/>
        <w:adjustRightInd w:val="0"/>
        <w:textAlignment w:val="baseline"/>
        <w:rPr>
          <w:lang w:val="en-US" w:eastAsia="ja-JP"/>
        </w:rPr>
      </w:pPr>
      <w:r w:rsidRPr="00EF25DA">
        <w:rPr>
          <w:lang w:eastAsia="ja-JP"/>
        </w:rPr>
        <w:t xml:space="preserve">Handover/SCG change with simultaneous connectivity with source cell and target cell. </w:t>
      </w:r>
    </w:p>
    <w:p w14:paraId="7FCD359D" w14:textId="77777777" w:rsidR="008C1E02" w:rsidRPr="00EF25DA" w:rsidRDefault="008C1E02" w:rsidP="008C1E02">
      <w:pPr>
        <w:pStyle w:val="B1"/>
        <w:numPr>
          <w:ilvl w:val="1"/>
          <w:numId w:val="3"/>
        </w:numPr>
        <w:overflowPunct w:val="0"/>
        <w:autoSpaceDE w:val="0"/>
        <w:autoSpaceDN w:val="0"/>
        <w:adjustRightInd w:val="0"/>
        <w:textAlignment w:val="baseline"/>
        <w:rPr>
          <w:lang w:eastAsia="ja-JP"/>
        </w:rPr>
      </w:pPr>
      <w:r w:rsidRPr="00EF25DA">
        <w:rPr>
          <w:lang w:eastAsia="ja-JP"/>
        </w:rPr>
        <w:t xml:space="preserve">Make-before-break </w:t>
      </w:r>
    </w:p>
    <w:p w14:paraId="7E8ED160" w14:textId="77777777" w:rsidR="008C1E02" w:rsidRPr="00EF25DA" w:rsidRDefault="008C1E02" w:rsidP="008C1E02">
      <w:pPr>
        <w:pStyle w:val="B1"/>
        <w:numPr>
          <w:ilvl w:val="1"/>
          <w:numId w:val="3"/>
        </w:numPr>
        <w:overflowPunct w:val="0"/>
        <w:autoSpaceDE w:val="0"/>
        <w:autoSpaceDN w:val="0"/>
        <w:adjustRightInd w:val="0"/>
        <w:textAlignment w:val="baseline"/>
        <w:rPr>
          <w:highlight w:val="yellow"/>
          <w:lang w:eastAsia="ja-JP"/>
        </w:rPr>
      </w:pPr>
      <w:r w:rsidRPr="00EF25DA">
        <w:rPr>
          <w:rFonts w:cs="Calibri"/>
          <w:bCs/>
          <w:highlight w:val="yellow"/>
          <w:lang w:eastAsia="zh-CN"/>
        </w:rPr>
        <w:t xml:space="preserve">RACH-less handover </w:t>
      </w:r>
    </w:p>
    <w:p w14:paraId="48034E21" w14:textId="77777777" w:rsidR="008C1E02" w:rsidRPr="00EF25DA" w:rsidRDefault="008C1E02" w:rsidP="008C1E02">
      <w:pPr>
        <w:pStyle w:val="B1"/>
        <w:rPr>
          <w:lang w:eastAsia="ja-JP"/>
        </w:rPr>
      </w:pPr>
      <w:r w:rsidRPr="00EF25DA">
        <w:rPr>
          <w:lang w:eastAsia="ja-JP"/>
        </w:rPr>
        <w:t xml:space="preserve">RAN2 should avoid increasing signalling overhead. </w:t>
      </w:r>
    </w:p>
    <w:p w14:paraId="41D92460" w14:textId="77777777" w:rsidR="008C1E02" w:rsidRDefault="008C1E02" w:rsidP="008C1E02">
      <w:pPr>
        <w:pStyle w:val="B1"/>
        <w:rPr>
          <w:rFonts w:cs="Calibri"/>
          <w:lang w:eastAsia="zh-CN"/>
        </w:rPr>
      </w:pPr>
      <w:r w:rsidRPr="00BB4144">
        <w:rPr>
          <w:rFonts w:cs="Calibri"/>
          <w:highlight w:val="yellow"/>
          <w:lang w:eastAsia="zh-CN"/>
        </w:rPr>
        <w:t>Note: LTE mobility enhancements should be used for baseline for fast handover failure recovery, Make-before-break and RACH-less handover.</w:t>
      </w:r>
      <w:r>
        <w:rPr>
          <w:rFonts w:cs="Calibri"/>
          <w:lang w:eastAsia="zh-CN"/>
        </w:rPr>
        <w:t xml:space="preserve"> </w:t>
      </w:r>
    </w:p>
    <w:p w14:paraId="0B86E15C" w14:textId="142EA426" w:rsidR="008C1E02" w:rsidRDefault="008C1E02" w:rsidP="008C1E02">
      <w:r>
        <w:t>In this document, we discuss the</w:t>
      </w:r>
      <w:r w:rsidR="00EF25DA">
        <w:t xml:space="preserve"> design proposals to support NR RACH-Less HO, considering LTE RACH-Less HO as baseline, and, also discuss the failure handling for </w:t>
      </w:r>
      <w:r w:rsidR="00BE0307">
        <w:t xml:space="preserve">NR </w:t>
      </w:r>
      <w:r w:rsidR="00EF25DA">
        <w:t xml:space="preserve">RACH-Less HO. </w:t>
      </w:r>
    </w:p>
    <w:p w14:paraId="508038FF" w14:textId="7F471647" w:rsidR="008C1E02" w:rsidRDefault="008C1E02" w:rsidP="008C1E02">
      <w:pPr>
        <w:pStyle w:val="Heading1"/>
        <w:numPr>
          <w:ilvl w:val="0"/>
          <w:numId w:val="1"/>
        </w:numPr>
        <w:pBdr>
          <w:top w:val="single" w:sz="12" w:space="2" w:color="auto"/>
        </w:pBdr>
      </w:pPr>
      <w:r>
        <w:t>Discussion</w:t>
      </w:r>
    </w:p>
    <w:p w14:paraId="38C1F614" w14:textId="6C9CC6CB" w:rsidR="004C7B9E" w:rsidRDefault="00EF25DA" w:rsidP="00EF25DA">
      <w:r>
        <w:t>RACH procedure is used</w:t>
      </w:r>
      <w:r w:rsidR="004C7B9E">
        <w:t xml:space="preserve"> during </w:t>
      </w:r>
      <w:r w:rsidR="006E27ED">
        <w:t xml:space="preserve">traditional </w:t>
      </w:r>
      <w:r w:rsidR="004C7B9E">
        <w:t>HO</w:t>
      </w:r>
      <w:r>
        <w:t xml:space="preserve"> to obtain the Timing Advance (TA) value </w:t>
      </w:r>
      <w:r w:rsidR="00F11AD1">
        <w:t>and</w:t>
      </w:r>
      <w:r w:rsidR="004C7B9E">
        <w:t xml:space="preserve"> the UL grant for the target cell. </w:t>
      </w:r>
      <w:r w:rsidR="006E27ED">
        <w:t xml:space="preserve">In LTE Rel.14, RACH-Less HO was introduced to eliminate the RACH related latencies during HO and thus reduce the mobility Interruption time. </w:t>
      </w:r>
      <w:r w:rsidR="004C7B9E">
        <w:t>As RACH-Less HO eliminates the RACH procedures, the UE needs to obtain th</w:t>
      </w:r>
      <w:r w:rsidR="006E27ED">
        <w:t>e target cell TA, UL grant</w:t>
      </w:r>
      <w:r w:rsidR="004C7B9E">
        <w:t xml:space="preserve"> information through other means. </w:t>
      </w:r>
    </w:p>
    <w:p w14:paraId="650DD542" w14:textId="5BB3C83F" w:rsidR="004C7B9E" w:rsidRDefault="0086048C" w:rsidP="00EF25DA">
      <w:r>
        <w:t>In LTE,</w:t>
      </w:r>
      <w:r w:rsidR="00A85A56">
        <w:t xml:space="preserve"> for simplicity,</w:t>
      </w:r>
      <w:r w:rsidR="004C7B9E">
        <w:t xml:space="preserve"> </w:t>
      </w:r>
      <w:r w:rsidR="00EF25DA">
        <w:t xml:space="preserve">RACH-less HO was </w:t>
      </w:r>
      <w:r w:rsidR="004C7B9E">
        <w:t xml:space="preserve">restricted to the case where the target cell TA is the same as the source cell TA or the </w:t>
      </w:r>
      <w:proofErr w:type="spellStart"/>
      <w:r w:rsidR="004C7B9E">
        <w:t>targetTA</w:t>
      </w:r>
      <w:proofErr w:type="spellEnd"/>
      <w:r w:rsidR="004C7B9E">
        <w:t xml:space="preserve"> is zero. This eliminates the need to obtain TA for the target cell during RACH-Less HO.  To keep things simple for the initial phase of the NR Rel.16 Mobility WI, we should consider supporting NR RACH-Less HO for these simpler scenarios </w:t>
      </w:r>
      <w:r>
        <w:t xml:space="preserve">as well </w:t>
      </w:r>
      <w:r w:rsidR="00FF7057">
        <w:t>like</w:t>
      </w:r>
      <w:r w:rsidR="004C7B9E">
        <w:t xml:space="preserve"> LTE.</w:t>
      </w:r>
    </w:p>
    <w:p w14:paraId="0950E9B6" w14:textId="5425F07C" w:rsidR="004C7B9E" w:rsidRPr="004C7B9E" w:rsidRDefault="004C7B9E" w:rsidP="004C7B9E">
      <w:pPr>
        <w:pStyle w:val="Caption"/>
        <w:rPr>
          <w:b/>
          <w:bCs/>
          <w:i w:val="0"/>
          <w:iCs w:val="0"/>
          <w:color w:val="auto"/>
          <w:sz w:val="20"/>
          <w:szCs w:val="20"/>
        </w:rPr>
      </w:pPr>
      <w:bookmarkStart w:id="2" w:name="_Ref536803022"/>
      <w:r w:rsidRPr="004C7B9E">
        <w:rPr>
          <w:b/>
          <w:bCs/>
          <w:i w:val="0"/>
          <w:iCs w:val="0"/>
          <w:color w:val="auto"/>
          <w:sz w:val="20"/>
          <w:szCs w:val="20"/>
        </w:rPr>
        <w:t xml:space="preserve">Observation </w:t>
      </w:r>
      <w:r w:rsidRPr="004C7B9E">
        <w:rPr>
          <w:b/>
          <w:bCs/>
          <w:i w:val="0"/>
          <w:iCs w:val="0"/>
          <w:color w:val="auto"/>
          <w:sz w:val="20"/>
          <w:szCs w:val="20"/>
        </w:rPr>
        <w:fldChar w:fldCharType="begin"/>
      </w:r>
      <w:r w:rsidRPr="004C7B9E">
        <w:rPr>
          <w:b/>
          <w:bCs/>
          <w:i w:val="0"/>
          <w:iCs w:val="0"/>
          <w:color w:val="auto"/>
          <w:sz w:val="20"/>
          <w:szCs w:val="20"/>
        </w:rPr>
        <w:instrText xml:space="preserve"> SEQ Observation \* ARABIC </w:instrText>
      </w:r>
      <w:r w:rsidRPr="004C7B9E">
        <w:rPr>
          <w:b/>
          <w:bCs/>
          <w:i w:val="0"/>
          <w:iCs w:val="0"/>
          <w:color w:val="auto"/>
          <w:sz w:val="20"/>
          <w:szCs w:val="20"/>
        </w:rPr>
        <w:fldChar w:fldCharType="separate"/>
      </w:r>
      <w:r w:rsidR="002511A6">
        <w:rPr>
          <w:b/>
          <w:bCs/>
          <w:i w:val="0"/>
          <w:iCs w:val="0"/>
          <w:noProof/>
          <w:color w:val="auto"/>
          <w:sz w:val="20"/>
          <w:szCs w:val="20"/>
        </w:rPr>
        <w:t>1</w:t>
      </w:r>
      <w:r w:rsidRPr="004C7B9E">
        <w:rPr>
          <w:b/>
          <w:bCs/>
          <w:i w:val="0"/>
          <w:iCs w:val="0"/>
          <w:color w:val="auto"/>
          <w:sz w:val="20"/>
          <w:szCs w:val="20"/>
        </w:rPr>
        <w:fldChar w:fldCharType="end"/>
      </w:r>
      <w:r w:rsidRPr="004C7B9E">
        <w:rPr>
          <w:b/>
          <w:bCs/>
          <w:i w:val="0"/>
          <w:iCs w:val="0"/>
          <w:color w:val="auto"/>
          <w:sz w:val="20"/>
          <w:szCs w:val="20"/>
        </w:rPr>
        <w:t xml:space="preserve">. </w:t>
      </w:r>
      <w:r w:rsidR="00EF25DA" w:rsidRPr="004C7B9E">
        <w:rPr>
          <w:b/>
          <w:bCs/>
          <w:i w:val="0"/>
          <w:iCs w:val="0"/>
          <w:color w:val="auto"/>
          <w:sz w:val="20"/>
          <w:szCs w:val="20"/>
        </w:rPr>
        <w:t>In Rel.14 LTE, RACH-less HO can be applied only if the target and source cells have the same TA or target TA is zero</w:t>
      </w:r>
      <w:r>
        <w:rPr>
          <w:b/>
          <w:bCs/>
          <w:i w:val="0"/>
          <w:iCs w:val="0"/>
          <w:color w:val="auto"/>
          <w:sz w:val="20"/>
          <w:szCs w:val="20"/>
        </w:rPr>
        <w:t>.</w:t>
      </w:r>
      <w:bookmarkEnd w:id="2"/>
    </w:p>
    <w:p w14:paraId="6AA6CD1E" w14:textId="65074197" w:rsidR="004C7B9E" w:rsidRDefault="004C7B9E" w:rsidP="004C7B9E">
      <w:pPr>
        <w:pStyle w:val="Caption"/>
        <w:rPr>
          <w:b/>
          <w:bCs/>
          <w:i w:val="0"/>
          <w:iCs w:val="0"/>
          <w:color w:val="auto"/>
          <w:sz w:val="20"/>
          <w:szCs w:val="20"/>
        </w:rPr>
      </w:pPr>
      <w:bookmarkStart w:id="3" w:name="_Ref536803025"/>
      <w:r w:rsidRPr="004C7B9E">
        <w:rPr>
          <w:b/>
          <w:bCs/>
          <w:i w:val="0"/>
          <w:iCs w:val="0"/>
          <w:color w:val="auto"/>
          <w:sz w:val="20"/>
          <w:szCs w:val="20"/>
        </w:rPr>
        <w:t xml:space="preserve">Proposal </w:t>
      </w:r>
      <w:r w:rsidRPr="004C7B9E">
        <w:rPr>
          <w:b/>
          <w:bCs/>
          <w:i w:val="0"/>
          <w:iCs w:val="0"/>
          <w:color w:val="auto"/>
          <w:sz w:val="20"/>
          <w:szCs w:val="20"/>
        </w:rPr>
        <w:fldChar w:fldCharType="begin"/>
      </w:r>
      <w:r w:rsidRPr="004C7B9E">
        <w:rPr>
          <w:b/>
          <w:bCs/>
          <w:i w:val="0"/>
          <w:iCs w:val="0"/>
          <w:color w:val="auto"/>
          <w:sz w:val="20"/>
          <w:szCs w:val="20"/>
        </w:rPr>
        <w:instrText xml:space="preserve"> SEQ Proposal \* ARABIC </w:instrText>
      </w:r>
      <w:r w:rsidRPr="004C7B9E">
        <w:rPr>
          <w:b/>
          <w:bCs/>
          <w:i w:val="0"/>
          <w:iCs w:val="0"/>
          <w:color w:val="auto"/>
          <w:sz w:val="20"/>
          <w:szCs w:val="20"/>
        </w:rPr>
        <w:fldChar w:fldCharType="separate"/>
      </w:r>
      <w:r w:rsidR="002511A6">
        <w:rPr>
          <w:b/>
          <w:bCs/>
          <w:i w:val="0"/>
          <w:iCs w:val="0"/>
          <w:noProof/>
          <w:color w:val="auto"/>
          <w:sz w:val="20"/>
          <w:szCs w:val="20"/>
        </w:rPr>
        <w:t>1</w:t>
      </w:r>
      <w:r w:rsidRPr="004C7B9E">
        <w:rPr>
          <w:b/>
          <w:bCs/>
          <w:i w:val="0"/>
          <w:iCs w:val="0"/>
          <w:color w:val="auto"/>
          <w:sz w:val="20"/>
          <w:szCs w:val="20"/>
        </w:rPr>
        <w:fldChar w:fldCharType="end"/>
      </w:r>
      <w:r w:rsidRPr="004C7B9E">
        <w:rPr>
          <w:b/>
          <w:bCs/>
          <w:i w:val="0"/>
          <w:iCs w:val="0"/>
          <w:color w:val="auto"/>
          <w:sz w:val="20"/>
          <w:szCs w:val="20"/>
        </w:rPr>
        <w:t xml:space="preserve">. </w:t>
      </w:r>
      <w:r w:rsidR="00EF25DA" w:rsidRPr="004C7B9E">
        <w:rPr>
          <w:b/>
          <w:bCs/>
          <w:i w:val="0"/>
          <w:iCs w:val="0"/>
          <w:color w:val="auto"/>
          <w:sz w:val="20"/>
          <w:szCs w:val="20"/>
        </w:rPr>
        <w:t xml:space="preserve">Support </w:t>
      </w:r>
      <w:r>
        <w:rPr>
          <w:b/>
          <w:bCs/>
          <w:i w:val="0"/>
          <w:iCs w:val="0"/>
          <w:color w:val="auto"/>
          <w:sz w:val="20"/>
          <w:szCs w:val="20"/>
        </w:rPr>
        <w:t xml:space="preserve">NR </w:t>
      </w:r>
      <w:r w:rsidR="00EF25DA" w:rsidRPr="004C7B9E">
        <w:rPr>
          <w:b/>
          <w:bCs/>
          <w:i w:val="0"/>
          <w:iCs w:val="0"/>
          <w:color w:val="auto"/>
          <w:sz w:val="20"/>
          <w:szCs w:val="20"/>
        </w:rPr>
        <w:t xml:space="preserve">RACH-less HO </w:t>
      </w:r>
      <w:proofErr w:type="spellStart"/>
      <w:r>
        <w:rPr>
          <w:b/>
          <w:bCs/>
          <w:i w:val="0"/>
          <w:iCs w:val="0"/>
          <w:color w:val="auto"/>
          <w:sz w:val="20"/>
          <w:szCs w:val="20"/>
        </w:rPr>
        <w:t>atleast</w:t>
      </w:r>
      <w:proofErr w:type="spellEnd"/>
      <w:r>
        <w:rPr>
          <w:b/>
          <w:bCs/>
          <w:i w:val="0"/>
          <w:iCs w:val="0"/>
          <w:color w:val="auto"/>
          <w:sz w:val="20"/>
          <w:szCs w:val="20"/>
        </w:rPr>
        <w:t xml:space="preserve"> for the case</w:t>
      </w:r>
      <w:r w:rsidR="001D3914">
        <w:rPr>
          <w:b/>
          <w:bCs/>
          <w:i w:val="0"/>
          <w:iCs w:val="0"/>
          <w:color w:val="auto"/>
          <w:sz w:val="20"/>
          <w:szCs w:val="20"/>
        </w:rPr>
        <w:t>s</w:t>
      </w:r>
      <w:r w:rsidR="00EF25DA" w:rsidRPr="004C7B9E">
        <w:rPr>
          <w:b/>
          <w:bCs/>
          <w:i w:val="0"/>
          <w:iCs w:val="0"/>
          <w:color w:val="auto"/>
          <w:sz w:val="20"/>
          <w:szCs w:val="20"/>
        </w:rPr>
        <w:t xml:space="preserve"> where the source cell and target cell have the same TA or target TA is zero, </w:t>
      </w:r>
      <w:r w:rsidR="00FF7057">
        <w:rPr>
          <w:b/>
          <w:bCs/>
          <w:i w:val="0"/>
          <w:iCs w:val="0"/>
          <w:color w:val="auto"/>
          <w:sz w:val="20"/>
          <w:szCs w:val="20"/>
        </w:rPr>
        <w:t>like</w:t>
      </w:r>
      <w:r w:rsidR="00EF25DA" w:rsidRPr="004C7B9E">
        <w:rPr>
          <w:b/>
          <w:bCs/>
          <w:i w:val="0"/>
          <w:iCs w:val="0"/>
          <w:color w:val="auto"/>
          <w:sz w:val="20"/>
          <w:szCs w:val="20"/>
        </w:rPr>
        <w:t xml:space="preserve"> LTE RACH-Less HO</w:t>
      </w:r>
      <w:r>
        <w:rPr>
          <w:b/>
          <w:bCs/>
          <w:i w:val="0"/>
          <w:iCs w:val="0"/>
          <w:color w:val="auto"/>
          <w:sz w:val="20"/>
          <w:szCs w:val="20"/>
        </w:rPr>
        <w:t>.</w:t>
      </w:r>
      <w:bookmarkEnd w:id="3"/>
    </w:p>
    <w:p w14:paraId="65964CCD" w14:textId="7B23FD19" w:rsidR="00E83621" w:rsidRDefault="00E83621" w:rsidP="00E83621">
      <w:r>
        <w:t>LTE RACH-Less HO supports the below options for obtaining UL grant</w:t>
      </w:r>
      <w:r w:rsidR="004F5CF4" w:rsidRPr="004F5CF4">
        <w:t xml:space="preserve"> </w:t>
      </w:r>
      <w:r w:rsidR="00F11AD1">
        <w:t>to transmit</w:t>
      </w:r>
      <w:r w:rsidR="004F5CF4">
        <w:t xml:space="preserve"> the RRC Reconfiguration complete on the target cell</w:t>
      </w:r>
      <w:r w:rsidR="00F11AD1">
        <w:t xml:space="preserve">, </w:t>
      </w:r>
      <w:r w:rsidR="004F5CF4">
        <w:t>when RACH is not performed during RACH-Less HO</w:t>
      </w:r>
      <w:r>
        <w:t>:</w:t>
      </w:r>
    </w:p>
    <w:p w14:paraId="6BE6511E" w14:textId="01AA3A83" w:rsidR="00E83621" w:rsidRDefault="00E83621" w:rsidP="004F5CF4">
      <w:pPr>
        <w:pStyle w:val="ListParagraph"/>
        <w:numPr>
          <w:ilvl w:val="0"/>
          <w:numId w:val="3"/>
        </w:numPr>
      </w:pPr>
      <w:r>
        <w:t>UE is provided with preconfigured UL grant information optionally in the RRC Reconfiguration message sent to configure RACH-Less HO</w:t>
      </w:r>
      <w:r w:rsidR="004F5CF4">
        <w:t>; or</w:t>
      </w:r>
    </w:p>
    <w:p w14:paraId="7A9356A7" w14:textId="1433E126" w:rsidR="004F5CF4" w:rsidRDefault="004F5CF4" w:rsidP="00D219AC">
      <w:pPr>
        <w:pStyle w:val="ListParagraph"/>
        <w:numPr>
          <w:ilvl w:val="0"/>
          <w:numId w:val="3"/>
        </w:numPr>
      </w:pPr>
      <w:r>
        <w:t>UE monitors the target gNB PDCCH to obtain the UL grant</w:t>
      </w:r>
      <w:r w:rsidR="00F11AD1">
        <w:t xml:space="preserve">, </w:t>
      </w:r>
      <w:r>
        <w:t>when preconfigured UL grant information is not provided.</w:t>
      </w:r>
    </w:p>
    <w:p w14:paraId="70A4A946" w14:textId="40EC9676" w:rsidR="004F5CF4" w:rsidRDefault="004F5CF4" w:rsidP="004F5CF4">
      <w:r>
        <w:lastRenderedPageBreak/>
        <w:t>We think that these two options</w:t>
      </w:r>
      <w:r w:rsidR="00E67ABE">
        <w:t xml:space="preserve"> are introduced</w:t>
      </w:r>
      <w:r>
        <w:t xml:space="preserve"> </w:t>
      </w:r>
      <w:r w:rsidR="00E67ABE">
        <w:t xml:space="preserve">as baseline options </w:t>
      </w:r>
      <w:r>
        <w:t xml:space="preserve">for receiving UL grant in NR as well, as it provides flexibility on the UL resource configuration. </w:t>
      </w:r>
    </w:p>
    <w:p w14:paraId="12795365" w14:textId="7D28C60F" w:rsidR="00EF25DA" w:rsidRPr="004F5CF4" w:rsidRDefault="004F5CF4" w:rsidP="004F5CF4">
      <w:pPr>
        <w:pStyle w:val="Caption"/>
        <w:spacing w:after="0"/>
        <w:rPr>
          <w:b/>
          <w:bCs/>
          <w:i w:val="0"/>
          <w:iCs w:val="0"/>
          <w:color w:val="auto"/>
          <w:sz w:val="20"/>
          <w:szCs w:val="20"/>
        </w:rPr>
      </w:pPr>
      <w:bookmarkStart w:id="4" w:name="_Ref536803026"/>
      <w:r w:rsidRPr="004F5CF4">
        <w:rPr>
          <w:b/>
          <w:bCs/>
          <w:i w:val="0"/>
          <w:iCs w:val="0"/>
          <w:color w:val="auto"/>
          <w:sz w:val="20"/>
          <w:szCs w:val="20"/>
        </w:rPr>
        <w:t xml:space="preserve">Proposal </w:t>
      </w:r>
      <w:r w:rsidRPr="004F5CF4">
        <w:rPr>
          <w:b/>
          <w:bCs/>
          <w:i w:val="0"/>
          <w:iCs w:val="0"/>
          <w:color w:val="auto"/>
          <w:sz w:val="20"/>
          <w:szCs w:val="20"/>
        </w:rPr>
        <w:fldChar w:fldCharType="begin"/>
      </w:r>
      <w:r w:rsidRPr="004F5CF4">
        <w:rPr>
          <w:b/>
          <w:bCs/>
          <w:i w:val="0"/>
          <w:iCs w:val="0"/>
          <w:color w:val="auto"/>
          <w:sz w:val="20"/>
          <w:szCs w:val="20"/>
        </w:rPr>
        <w:instrText xml:space="preserve"> SEQ Proposal \* ARABIC </w:instrText>
      </w:r>
      <w:r w:rsidRPr="004F5CF4">
        <w:rPr>
          <w:b/>
          <w:bCs/>
          <w:i w:val="0"/>
          <w:iCs w:val="0"/>
          <w:color w:val="auto"/>
          <w:sz w:val="20"/>
          <w:szCs w:val="20"/>
        </w:rPr>
        <w:fldChar w:fldCharType="separate"/>
      </w:r>
      <w:r w:rsidR="002511A6">
        <w:rPr>
          <w:b/>
          <w:bCs/>
          <w:i w:val="0"/>
          <w:iCs w:val="0"/>
          <w:noProof/>
          <w:color w:val="auto"/>
          <w:sz w:val="20"/>
          <w:szCs w:val="20"/>
        </w:rPr>
        <w:t>2</w:t>
      </w:r>
      <w:r w:rsidRPr="004F5CF4">
        <w:rPr>
          <w:b/>
          <w:bCs/>
          <w:i w:val="0"/>
          <w:iCs w:val="0"/>
          <w:color w:val="auto"/>
          <w:sz w:val="20"/>
          <w:szCs w:val="20"/>
        </w:rPr>
        <w:fldChar w:fldCharType="end"/>
      </w:r>
      <w:r w:rsidRPr="004F5CF4">
        <w:rPr>
          <w:b/>
          <w:bCs/>
          <w:i w:val="0"/>
          <w:iCs w:val="0"/>
          <w:color w:val="auto"/>
          <w:sz w:val="20"/>
          <w:szCs w:val="20"/>
        </w:rPr>
        <w:t xml:space="preserve">. </w:t>
      </w:r>
      <w:r w:rsidR="00EF25DA" w:rsidRPr="004F5CF4">
        <w:rPr>
          <w:b/>
          <w:bCs/>
          <w:i w:val="0"/>
          <w:iCs w:val="0"/>
          <w:color w:val="auto"/>
          <w:sz w:val="20"/>
          <w:szCs w:val="20"/>
        </w:rPr>
        <w:t>The following LTE RACH-less HO design can be reused as baseline of NR RACH-less HO</w:t>
      </w:r>
      <w:bookmarkEnd w:id="4"/>
      <w:r w:rsidR="00AE2566">
        <w:rPr>
          <w:b/>
          <w:bCs/>
          <w:i w:val="0"/>
          <w:iCs w:val="0"/>
          <w:color w:val="auto"/>
          <w:sz w:val="20"/>
          <w:szCs w:val="20"/>
        </w:rPr>
        <w:t>:</w:t>
      </w:r>
    </w:p>
    <w:p w14:paraId="5380FA18" w14:textId="77777777" w:rsidR="00EF25DA" w:rsidRPr="004F5CF4" w:rsidRDefault="00EF25DA" w:rsidP="004F5CF4">
      <w:pPr>
        <w:pStyle w:val="Caption"/>
        <w:numPr>
          <w:ilvl w:val="0"/>
          <w:numId w:val="8"/>
        </w:numPr>
        <w:spacing w:after="0"/>
        <w:rPr>
          <w:b/>
          <w:bCs/>
          <w:i w:val="0"/>
          <w:iCs w:val="0"/>
          <w:color w:val="auto"/>
          <w:sz w:val="20"/>
          <w:szCs w:val="20"/>
        </w:rPr>
      </w:pPr>
      <w:r w:rsidRPr="004F5CF4">
        <w:rPr>
          <w:b/>
          <w:bCs/>
          <w:i w:val="0"/>
          <w:iCs w:val="0"/>
          <w:color w:val="auto"/>
          <w:sz w:val="20"/>
          <w:szCs w:val="20"/>
        </w:rPr>
        <w:t xml:space="preserve">The </w:t>
      </w:r>
      <w:proofErr w:type="spellStart"/>
      <w:r w:rsidRPr="004F5CF4">
        <w:rPr>
          <w:b/>
          <w:bCs/>
          <w:i w:val="0"/>
          <w:iCs w:val="0"/>
          <w:color w:val="auto"/>
          <w:sz w:val="20"/>
          <w:szCs w:val="20"/>
        </w:rPr>
        <w:t>preallocated</w:t>
      </w:r>
      <w:proofErr w:type="spellEnd"/>
      <w:r w:rsidRPr="004F5CF4">
        <w:rPr>
          <w:b/>
          <w:bCs/>
          <w:i w:val="0"/>
          <w:iCs w:val="0"/>
          <w:color w:val="auto"/>
          <w:sz w:val="20"/>
          <w:szCs w:val="20"/>
        </w:rPr>
        <w:t xml:space="preserve"> UL grant configuration can be optionally sent in the RRC Reconfiguration message </w:t>
      </w:r>
    </w:p>
    <w:p w14:paraId="16075199" w14:textId="77777777" w:rsidR="00EF25DA" w:rsidRPr="004F5CF4" w:rsidRDefault="00EF25DA" w:rsidP="004F5CF4">
      <w:pPr>
        <w:pStyle w:val="Caption"/>
        <w:numPr>
          <w:ilvl w:val="0"/>
          <w:numId w:val="8"/>
        </w:numPr>
        <w:spacing w:after="0"/>
        <w:rPr>
          <w:b/>
          <w:bCs/>
          <w:i w:val="0"/>
          <w:iCs w:val="0"/>
          <w:color w:val="auto"/>
          <w:sz w:val="20"/>
          <w:szCs w:val="20"/>
        </w:rPr>
      </w:pPr>
      <w:r w:rsidRPr="004F5CF4">
        <w:rPr>
          <w:b/>
          <w:bCs/>
          <w:i w:val="0"/>
          <w:iCs w:val="0"/>
          <w:color w:val="auto"/>
          <w:sz w:val="20"/>
          <w:szCs w:val="20"/>
        </w:rPr>
        <w:t xml:space="preserve">The </w:t>
      </w:r>
      <w:proofErr w:type="spellStart"/>
      <w:r w:rsidRPr="004F5CF4">
        <w:rPr>
          <w:b/>
          <w:bCs/>
          <w:i w:val="0"/>
          <w:iCs w:val="0"/>
          <w:color w:val="auto"/>
          <w:sz w:val="20"/>
          <w:szCs w:val="20"/>
        </w:rPr>
        <w:t>preallocated</w:t>
      </w:r>
      <w:proofErr w:type="spellEnd"/>
      <w:r w:rsidRPr="004F5CF4">
        <w:rPr>
          <w:b/>
          <w:bCs/>
          <w:i w:val="0"/>
          <w:iCs w:val="0"/>
          <w:color w:val="auto"/>
          <w:sz w:val="20"/>
          <w:szCs w:val="20"/>
        </w:rPr>
        <w:t xml:space="preserve"> UL grant configuration includes scheduling offset / interval and number of configured HARQ processes</w:t>
      </w:r>
    </w:p>
    <w:p w14:paraId="31D21D1F" w14:textId="77777777" w:rsidR="00EF25DA" w:rsidRPr="004F5CF4" w:rsidRDefault="00EF25DA" w:rsidP="004F5CF4">
      <w:pPr>
        <w:pStyle w:val="Caption"/>
        <w:numPr>
          <w:ilvl w:val="0"/>
          <w:numId w:val="8"/>
        </w:numPr>
        <w:spacing w:after="0"/>
        <w:rPr>
          <w:b/>
          <w:bCs/>
          <w:i w:val="0"/>
          <w:iCs w:val="0"/>
          <w:color w:val="auto"/>
          <w:sz w:val="20"/>
          <w:szCs w:val="20"/>
        </w:rPr>
      </w:pPr>
      <w:r w:rsidRPr="004F5CF4">
        <w:rPr>
          <w:b/>
          <w:bCs/>
          <w:i w:val="0"/>
          <w:iCs w:val="0"/>
          <w:color w:val="auto"/>
          <w:sz w:val="20"/>
          <w:szCs w:val="20"/>
        </w:rPr>
        <w:t xml:space="preserve">The </w:t>
      </w:r>
      <w:proofErr w:type="spellStart"/>
      <w:r w:rsidRPr="004F5CF4">
        <w:rPr>
          <w:b/>
          <w:bCs/>
          <w:i w:val="0"/>
          <w:iCs w:val="0"/>
          <w:color w:val="auto"/>
          <w:sz w:val="20"/>
          <w:szCs w:val="20"/>
        </w:rPr>
        <w:t>preallocated</w:t>
      </w:r>
      <w:proofErr w:type="spellEnd"/>
      <w:r w:rsidRPr="004F5CF4">
        <w:rPr>
          <w:b/>
          <w:bCs/>
          <w:i w:val="0"/>
          <w:iCs w:val="0"/>
          <w:color w:val="auto"/>
          <w:sz w:val="20"/>
          <w:szCs w:val="20"/>
        </w:rPr>
        <w:t xml:space="preserve"> UL grant resource is released when T304 expires or upon successful RACH-less HO completion. </w:t>
      </w:r>
    </w:p>
    <w:p w14:paraId="659CCDAC" w14:textId="0096763E" w:rsidR="00EF25DA" w:rsidRDefault="00EF25DA" w:rsidP="004F5CF4">
      <w:pPr>
        <w:pStyle w:val="Caption"/>
        <w:numPr>
          <w:ilvl w:val="0"/>
          <w:numId w:val="8"/>
        </w:numPr>
        <w:spacing w:after="0"/>
        <w:rPr>
          <w:b/>
          <w:bCs/>
          <w:i w:val="0"/>
          <w:iCs w:val="0"/>
          <w:color w:val="auto"/>
          <w:sz w:val="20"/>
          <w:szCs w:val="20"/>
        </w:rPr>
      </w:pPr>
      <w:r w:rsidRPr="004F5CF4">
        <w:rPr>
          <w:b/>
          <w:bCs/>
          <w:i w:val="0"/>
          <w:iCs w:val="0"/>
          <w:color w:val="auto"/>
          <w:sz w:val="20"/>
          <w:szCs w:val="20"/>
        </w:rPr>
        <w:t xml:space="preserve">UE monitor the PDCCH of target gNB for UL grant when </w:t>
      </w:r>
      <w:proofErr w:type="spellStart"/>
      <w:r w:rsidRPr="004F5CF4">
        <w:rPr>
          <w:b/>
          <w:bCs/>
          <w:i w:val="0"/>
          <w:iCs w:val="0"/>
          <w:color w:val="auto"/>
          <w:sz w:val="20"/>
          <w:szCs w:val="20"/>
        </w:rPr>
        <w:t>preallocated</w:t>
      </w:r>
      <w:proofErr w:type="spellEnd"/>
      <w:r w:rsidRPr="004F5CF4">
        <w:rPr>
          <w:b/>
          <w:bCs/>
          <w:i w:val="0"/>
          <w:iCs w:val="0"/>
          <w:color w:val="auto"/>
          <w:sz w:val="20"/>
          <w:szCs w:val="20"/>
        </w:rPr>
        <w:t xml:space="preserve"> UL grant is not configured during RACH-Less HO</w:t>
      </w:r>
    </w:p>
    <w:p w14:paraId="159A9387" w14:textId="77777777" w:rsidR="00F11AD1" w:rsidRDefault="00160B54" w:rsidP="00F11AD1">
      <w:pPr>
        <w:spacing w:before="120"/>
      </w:pPr>
      <w:r w:rsidRPr="00160B54">
        <w:t xml:space="preserve">In NR, </w:t>
      </w:r>
      <w:r>
        <w:t xml:space="preserve">SSBs are sent over multiple beams and UE </w:t>
      </w:r>
      <w:r w:rsidR="00260781">
        <w:t xml:space="preserve">performs beam selection to select a suitable beam for RACH Transmission. The configuration information for the PRACH resources associated with the different </w:t>
      </w:r>
      <w:r w:rsidR="00F11AD1">
        <w:t xml:space="preserve">SSB </w:t>
      </w:r>
      <w:r w:rsidR="00260781">
        <w:t xml:space="preserve">beams is provided in the HO command sent to the UE, and, the UE performs RACH using those PRACH resources. </w:t>
      </w:r>
    </w:p>
    <w:p w14:paraId="215BF8BA" w14:textId="1D64DE47" w:rsidR="007D1884" w:rsidRPr="007D1884" w:rsidRDefault="00260781" w:rsidP="00F11AD1">
      <w:pPr>
        <w:spacing w:before="120"/>
      </w:pPr>
      <w:proofErr w:type="gramStart"/>
      <w:r>
        <w:t>Similar to</w:t>
      </w:r>
      <w:proofErr w:type="gramEnd"/>
      <w:r>
        <w:t xml:space="preserve"> the NR PRACH configuration </w:t>
      </w:r>
      <w:r w:rsidR="007D1884">
        <w:t>for</w:t>
      </w:r>
      <w:r>
        <w:t xml:space="preserve"> multiple beams during HO, the preconfigured UL grant optionally sent during NR RACH-Less HO has to include the UL resource configuration information for multiple beams. </w:t>
      </w:r>
      <w:r>
        <w:rPr>
          <w:rFonts w:hint="eastAsia"/>
        </w:rPr>
        <w:t xml:space="preserve">That is, the target </w:t>
      </w:r>
      <w:r>
        <w:t xml:space="preserve">cell </w:t>
      </w:r>
      <w:r w:rsidR="007D1884">
        <w:t>includes the</w:t>
      </w:r>
      <w:r>
        <w:rPr>
          <w:rFonts w:hint="eastAsia"/>
        </w:rPr>
        <w:t xml:space="preserve"> </w:t>
      </w:r>
      <w:r w:rsidR="007D1884" w:rsidRPr="007D1884">
        <w:rPr>
          <w:b/>
          <w:bCs/>
        </w:rPr>
        <w:t xml:space="preserve">multiple candidate beams info (in form of TCI list) </w:t>
      </w:r>
      <w:r w:rsidR="007D1884" w:rsidRPr="007D1884">
        <w:t>in RRCReconfiguration message</w:t>
      </w:r>
      <w:r w:rsidR="007D1884">
        <w:t xml:space="preserve"> to indicate the association between the </w:t>
      </w:r>
      <w:r w:rsidR="007D1884" w:rsidRPr="007D1884">
        <w:t>preconfigured grant and SSB/CSI-RS</w:t>
      </w:r>
      <w:r w:rsidR="007D1884">
        <w:t xml:space="preserve"> resources. UE selects a suitable beam among the included multiple candidate beams </w:t>
      </w:r>
      <w:r w:rsidR="007D1884" w:rsidRPr="007D1884">
        <w:rPr>
          <w:lang w:val="en-US"/>
        </w:rPr>
        <w:t xml:space="preserve">to send </w:t>
      </w:r>
      <w:r w:rsidR="007D1884">
        <w:rPr>
          <w:lang w:val="en-US"/>
        </w:rPr>
        <w:t xml:space="preserve">the </w:t>
      </w:r>
      <w:r w:rsidR="007D1884" w:rsidRPr="007D1884">
        <w:rPr>
          <w:lang w:val="en-US"/>
        </w:rPr>
        <w:t xml:space="preserve">first PUSCH </w:t>
      </w:r>
      <w:r w:rsidR="007D1884">
        <w:rPr>
          <w:lang w:val="en-US"/>
        </w:rPr>
        <w:t>on the target cell</w:t>
      </w:r>
      <w:r w:rsidR="00460F7A">
        <w:rPr>
          <w:lang w:val="en-US"/>
        </w:rPr>
        <w:t>.</w:t>
      </w:r>
      <w:r w:rsidR="00E67ABE">
        <w:rPr>
          <w:lang w:val="en-US"/>
        </w:rPr>
        <w:t xml:space="preserve"> </w:t>
      </w:r>
      <w:r w:rsidR="00993E0C">
        <w:t xml:space="preserve">The multiple candidate beams to consider for UL transmission after HO can be selected by the target cell based on the beam measurement information sent by the UE. UE sends this </w:t>
      </w:r>
      <w:r w:rsidR="00993E0C">
        <w:rPr>
          <w:rFonts w:hint="eastAsia"/>
        </w:rPr>
        <w:t xml:space="preserve">beam measurement information in the measurement report </w:t>
      </w:r>
      <w:r w:rsidR="00993E0C">
        <w:t>as requested by the source cell, and, source cell forwards this information to the target cell to allow the target cell to choose the multiple candidate beams for RACH-Less HO.</w:t>
      </w:r>
    </w:p>
    <w:p w14:paraId="0F8F4E3D" w14:textId="0FC98B74" w:rsidR="00F11AD1" w:rsidRPr="00E34F9F" w:rsidRDefault="00460F7A" w:rsidP="00E34F9F">
      <w:pPr>
        <w:pStyle w:val="Caption"/>
        <w:spacing w:after="0"/>
        <w:rPr>
          <w:b/>
          <w:bCs/>
          <w:i w:val="0"/>
          <w:iCs w:val="0"/>
          <w:color w:val="auto"/>
          <w:sz w:val="20"/>
          <w:szCs w:val="20"/>
        </w:rPr>
      </w:pPr>
      <w:bookmarkStart w:id="5" w:name="_Ref536803027"/>
      <w:r w:rsidRPr="00460F7A">
        <w:rPr>
          <w:b/>
          <w:bCs/>
          <w:i w:val="0"/>
          <w:iCs w:val="0"/>
          <w:color w:val="auto"/>
          <w:sz w:val="20"/>
          <w:szCs w:val="20"/>
        </w:rPr>
        <w:t xml:space="preserve">Proposal </w:t>
      </w:r>
      <w:r w:rsidRPr="00460F7A">
        <w:rPr>
          <w:b/>
          <w:bCs/>
          <w:i w:val="0"/>
          <w:iCs w:val="0"/>
          <w:color w:val="auto"/>
          <w:sz w:val="20"/>
          <w:szCs w:val="20"/>
        </w:rPr>
        <w:fldChar w:fldCharType="begin"/>
      </w:r>
      <w:r w:rsidRPr="00460F7A">
        <w:rPr>
          <w:b/>
          <w:bCs/>
          <w:i w:val="0"/>
          <w:iCs w:val="0"/>
          <w:color w:val="auto"/>
          <w:sz w:val="20"/>
          <w:szCs w:val="20"/>
        </w:rPr>
        <w:instrText xml:space="preserve"> SEQ Proposal \* ARABIC </w:instrText>
      </w:r>
      <w:r w:rsidRPr="00460F7A">
        <w:rPr>
          <w:b/>
          <w:bCs/>
          <w:i w:val="0"/>
          <w:iCs w:val="0"/>
          <w:color w:val="auto"/>
          <w:sz w:val="20"/>
          <w:szCs w:val="20"/>
        </w:rPr>
        <w:fldChar w:fldCharType="separate"/>
      </w:r>
      <w:r w:rsidR="002511A6">
        <w:rPr>
          <w:b/>
          <w:bCs/>
          <w:i w:val="0"/>
          <w:iCs w:val="0"/>
          <w:noProof/>
          <w:color w:val="auto"/>
          <w:sz w:val="20"/>
          <w:szCs w:val="20"/>
        </w:rPr>
        <w:t>3</w:t>
      </w:r>
      <w:r w:rsidRPr="00460F7A">
        <w:rPr>
          <w:b/>
          <w:bCs/>
          <w:i w:val="0"/>
          <w:iCs w:val="0"/>
          <w:color w:val="auto"/>
          <w:sz w:val="20"/>
          <w:szCs w:val="20"/>
        </w:rPr>
        <w:fldChar w:fldCharType="end"/>
      </w:r>
      <w:r w:rsidRPr="00460F7A">
        <w:rPr>
          <w:b/>
          <w:bCs/>
          <w:i w:val="0"/>
          <w:iCs w:val="0"/>
          <w:color w:val="auto"/>
          <w:sz w:val="20"/>
          <w:szCs w:val="20"/>
        </w:rPr>
        <w:t xml:space="preserve">. </w:t>
      </w:r>
      <w:r w:rsidR="00EF25DA" w:rsidRPr="00460F7A">
        <w:rPr>
          <w:b/>
          <w:bCs/>
          <w:i w:val="0"/>
          <w:iCs w:val="0"/>
          <w:color w:val="auto"/>
          <w:sz w:val="20"/>
          <w:szCs w:val="20"/>
        </w:rPr>
        <w:t xml:space="preserve">Multiple candidate beams info of target cell can be provided </w:t>
      </w:r>
      <w:r w:rsidR="00993E0C">
        <w:rPr>
          <w:b/>
          <w:bCs/>
          <w:i w:val="0"/>
          <w:iCs w:val="0"/>
          <w:color w:val="auto"/>
          <w:sz w:val="20"/>
          <w:szCs w:val="20"/>
        </w:rPr>
        <w:t xml:space="preserve">in the HO message to allow the UE to select a beam to transmit </w:t>
      </w:r>
      <w:r w:rsidR="00EF25DA" w:rsidRPr="00460F7A">
        <w:rPr>
          <w:b/>
          <w:bCs/>
          <w:i w:val="0"/>
          <w:iCs w:val="0"/>
          <w:color w:val="auto"/>
          <w:sz w:val="20"/>
          <w:szCs w:val="20"/>
        </w:rPr>
        <w:t>PUSCH in target cell.</w:t>
      </w:r>
      <w:bookmarkEnd w:id="5"/>
    </w:p>
    <w:p w14:paraId="116C641C" w14:textId="256A06E5" w:rsidR="00E34F9F" w:rsidRDefault="00E34F9F" w:rsidP="00E34F9F">
      <w:pPr>
        <w:spacing w:before="120"/>
      </w:pPr>
    </w:p>
    <w:p w14:paraId="32AD4372" w14:textId="4D2343C8" w:rsidR="004E4BFF" w:rsidRPr="00460F7A" w:rsidRDefault="00D85684" w:rsidP="00E34F9F">
      <w:pPr>
        <w:spacing w:before="120"/>
      </w:pPr>
      <w:r>
        <w:t xml:space="preserve">In LTE, </w:t>
      </w:r>
      <w:r w:rsidR="004E4BFF">
        <w:t xml:space="preserve">RACH-Less HO </w:t>
      </w:r>
      <w:r>
        <w:t>is considered as failed only</w:t>
      </w:r>
      <w:r w:rsidR="004E4BFF">
        <w:t xml:space="preserve"> when the T304 timer</w:t>
      </w:r>
      <w:r>
        <w:t xml:space="preserve">, i.e. the traditional HO timer, </w:t>
      </w:r>
      <w:r w:rsidR="004E4BFF">
        <w:t>expires</w:t>
      </w:r>
      <w:r w:rsidR="00584A13">
        <w:t>, and,</w:t>
      </w:r>
      <w:r>
        <w:t xml:space="preserve"> UE performs RRC Reestablishment procedure </w:t>
      </w:r>
      <w:r w:rsidR="00584A13">
        <w:t>on T304 expiry</w:t>
      </w:r>
      <w:r>
        <w:t xml:space="preserve">. </w:t>
      </w:r>
      <w:r w:rsidR="00993E0C">
        <w:t xml:space="preserve">T304 timer may be configured to a large value and waiting till this timer expires and then performing RRC Reestablishment, would result in longer mobility interruption time. Thus, we </w:t>
      </w:r>
      <w:proofErr w:type="gramStart"/>
      <w:r w:rsidR="00993E0C">
        <w:t xml:space="preserve">think </w:t>
      </w:r>
      <w:r w:rsidR="00584A13">
        <w:t xml:space="preserve"> it</w:t>
      </w:r>
      <w:proofErr w:type="gramEnd"/>
      <w:r w:rsidR="00584A13">
        <w:t xml:space="preserve"> is necessary to optimize the </w:t>
      </w:r>
      <w:r w:rsidR="00993E0C">
        <w:t xml:space="preserve">LTE RACH-Less HO failure </w:t>
      </w:r>
      <w:r w:rsidR="00584A13">
        <w:t xml:space="preserve">handling </w:t>
      </w:r>
      <w:r w:rsidR="00993E0C">
        <w:t xml:space="preserve">in NR to improve the mobility robustness and also minimize the mobility interruption time during </w:t>
      </w:r>
      <w:r w:rsidR="0029032B">
        <w:t xml:space="preserve">NR </w:t>
      </w:r>
      <w:r w:rsidR="00993E0C">
        <w:t xml:space="preserve">RACH-Less HO. </w:t>
      </w:r>
      <w:r w:rsidR="00584A13">
        <w:t xml:space="preserve"> </w:t>
      </w:r>
    </w:p>
    <w:p w14:paraId="7F8026ED" w14:textId="57802B9D" w:rsidR="002A1236" w:rsidRDefault="004E4BFF" w:rsidP="002A1236">
      <w:pPr>
        <w:pStyle w:val="Caption"/>
        <w:spacing w:after="0"/>
        <w:rPr>
          <w:b/>
          <w:bCs/>
          <w:i w:val="0"/>
          <w:iCs w:val="0"/>
          <w:color w:val="auto"/>
          <w:sz w:val="20"/>
          <w:szCs w:val="20"/>
        </w:rPr>
      </w:pPr>
      <w:bookmarkStart w:id="6" w:name="_Ref536803023"/>
      <w:r w:rsidRPr="004E4BFF">
        <w:rPr>
          <w:b/>
          <w:bCs/>
          <w:i w:val="0"/>
          <w:iCs w:val="0"/>
          <w:color w:val="auto"/>
          <w:sz w:val="20"/>
          <w:szCs w:val="20"/>
        </w:rPr>
        <w:t xml:space="preserve">Observation </w:t>
      </w:r>
      <w:r w:rsidRPr="004E4BFF">
        <w:rPr>
          <w:b/>
          <w:bCs/>
          <w:i w:val="0"/>
          <w:iCs w:val="0"/>
          <w:color w:val="auto"/>
          <w:sz w:val="20"/>
          <w:szCs w:val="20"/>
        </w:rPr>
        <w:fldChar w:fldCharType="begin"/>
      </w:r>
      <w:r w:rsidRPr="004E4BFF">
        <w:rPr>
          <w:b/>
          <w:bCs/>
          <w:i w:val="0"/>
          <w:iCs w:val="0"/>
          <w:color w:val="auto"/>
          <w:sz w:val="20"/>
          <w:szCs w:val="20"/>
        </w:rPr>
        <w:instrText xml:space="preserve"> SEQ Observation \* ARABIC </w:instrText>
      </w:r>
      <w:r w:rsidRPr="004E4BFF">
        <w:rPr>
          <w:b/>
          <w:bCs/>
          <w:i w:val="0"/>
          <w:iCs w:val="0"/>
          <w:color w:val="auto"/>
          <w:sz w:val="20"/>
          <w:szCs w:val="20"/>
        </w:rPr>
        <w:fldChar w:fldCharType="separate"/>
      </w:r>
      <w:r w:rsidR="002511A6">
        <w:rPr>
          <w:b/>
          <w:bCs/>
          <w:i w:val="0"/>
          <w:iCs w:val="0"/>
          <w:noProof/>
          <w:color w:val="auto"/>
          <w:sz w:val="20"/>
          <w:szCs w:val="20"/>
        </w:rPr>
        <w:t>2</w:t>
      </w:r>
      <w:r w:rsidRPr="004E4BFF">
        <w:rPr>
          <w:b/>
          <w:bCs/>
          <w:i w:val="0"/>
          <w:iCs w:val="0"/>
          <w:color w:val="auto"/>
          <w:sz w:val="20"/>
          <w:szCs w:val="20"/>
        </w:rPr>
        <w:fldChar w:fldCharType="end"/>
      </w:r>
      <w:r w:rsidRPr="004E4BFF">
        <w:rPr>
          <w:b/>
          <w:bCs/>
          <w:i w:val="0"/>
          <w:iCs w:val="0"/>
          <w:color w:val="auto"/>
          <w:sz w:val="20"/>
          <w:szCs w:val="20"/>
        </w:rPr>
        <w:t>.</w:t>
      </w:r>
      <w:r w:rsidR="00584A13">
        <w:rPr>
          <w:b/>
          <w:bCs/>
          <w:i w:val="0"/>
          <w:iCs w:val="0"/>
          <w:color w:val="auto"/>
          <w:sz w:val="20"/>
          <w:szCs w:val="20"/>
        </w:rPr>
        <w:t xml:space="preserve"> LTE</w:t>
      </w:r>
      <w:r w:rsidRPr="004E4BFF">
        <w:rPr>
          <w:b/>
          <w:bCs/>
          <w:i w:val="0"/>
          <w:iCs w:val="0"/>
          <w:color w:val="auto"/>
          <w:sz w:val="20"/>
          <w:szCs w:val="20"/>
        </w:rPr>
        <w:t xml:space="preserve"> </w:t>
      </w:r>
      <w:r w:rsidR="00584A13">
        <w:rPr>
          <w:b/>
          <w:bCs/>
          <w:i w:val="0"/>
          <w:iCs w:val="0"/>
          <w:color w:val="auto"/>
          <w:sz w:val="20"/>
          <w:szCs w:val="20"/>
        </w:rPr>
        <w:t>RACH-Less HO failure handling</w:t>
      </w:r>
      <w:r w:rsidR="00993E0C">
        <w:rPr>
          <w:b/>
          <w:bCs/>
          <w:i w:val="0"/>
          <w:iCs w:val="0"/>
          <w:color w:val="auto"/>
          <w:sz w:val="20"/>
          <w:szCs w:val="20"/>
        </w:rPr>
        <w:t xml:space="preserve"> </w:t>
      </w:r>
      <w:r w:rsidR="0029032B">
        <w:rPr>
          <w:b/>
          <w:bCs/>
          <w:i w:val="0"/>
          <w:iCs w:val="0"/>
          <w:color w:val="auto"/>
          <w:sz w:val="20"/>
          <w:szCs w:val="20"/>
        </w:rPr>
        <w:t>can</w:t>
      </w:r>
      <w:r w:rsidR="00993E0C">
        <w:rPr>
          <w:b/>
          <w:bCs/>
          <w:i w:val="0"/>
          <w:iCs w:val="0"/>
          <w:color w:val="auto"/>
          <w:sz w:val="20"/>
          <w:szCs w:val="20"/>
        </w:rPr>
        <w:t xml:space="preserve"> result in longer mobility interruption time and enhancements </w:t>
      </w:r>
      <w:r w:rsidR="0029032B">
        <w:rPr>
          <w:b/>
          <w:bCs/>
          <w:i w:val="0"/>
          <w:iCs w:val="0"/>
          <w:color w:val="auto"/>
          <w:sz w:val="20"/>
          <w:szCs w:val="20"/>
        </w:rPr>
        <w:t>can be discussed for NR RACH-Less HO failure handling</w:t>
      </w:r>
      <w:proofErr w:type="gramStart"/>
      <w:r w:rsidR="0029032B">
        <w:rPr>
          <w:b/>
          <w:bCs/>
          <w:i w:val="0"/>
          <w:iCs w:val="0"/>
          <w:color w:val="auto"/>
          <w:sz w:val="20"/>
          <w:szCs w:val="20"/>
        </w:rPr>
        <w:t>.</w:t>
      </w:r>
      <w:r w:rsidR="00993E0C">
        <w:rPr>
          <w:b/>
          <w:bCs/>
          <w:i w:val="0"/>
          <w:iCs w:val="0"/>
          <w:color w:val="auto"/>
          <w:sz w:val="20"/>
          <w:szCs w:val="20"/>
        </w:rPr>
        <w:t xml:space="preserve"> </w:t>
      </w:r>
      <w:r w:rsidR="00584A13">
        <w:rPr>
          <w:b/>
          <w:bCs/>
          <w:i w:val="0"/>
          <w:iCs w:val="0"/>
          <w:color w:val="auto"/>
          <w:sz w:val="20"/>
          <w:szCs w:val="20"/>
        </w:rPr>
        <w:t>.</w:t>
      </w:r>
      <w:bookmarkEnd w:id="6"/>
      <w:proofErr w:type="gramEnd"/>
    </w:p>
    <w:p w14:paraId="00DEFE04" w14:textId="7E0CE796" w:rsidR="004C6690" w:rsidRDefault="002A1236" w:rsidP="004C6690">
      <w:pPr>
        <w:spacing w:before="120"/>
      </w:pPr>
      <w:r>
        <w:t xml:space="preserve">To minimize the mobility interruption </w:t>
      </w:r>
      <w:r w:rsidR="004C6690">
        <w:t>when NR</w:t>
      </w:r>
      <w:r>
        <w:t xml:space="preserve"> RACH-Less HO fail</w:t>
      </w:r>
      <w:r w:rsidR="004C6690">
        <w:t>s</w:t>
      </w:r>
      <w:r>
        <w:t>, we propose to</w:t>
      </w:r>
      <w:r w:rsidR="004C6690">
        <w:t xml:space="preserve"> introduce</w:t>
      </w:r>
      <w:r>
        <w:t xml:space="preserve"> a new RACH-Less HO timer configured to run on the UE. This timer should be set a value smaller than the T304 timer, and,</w:t>
      </w:r>
      <w:r w:rsidR="004C6690">
        <w:t xml:space="preserve"> the UE fallback to CBRA on the target cell on the RACH-Less HO timer expiry. </w:t>
      </w:r>
      <w:r w:rsidR="0029032B">
        <w:t xml:space="preserve">UE obtains the </w:t>
      </w:r>
      <w:proofErr w:type="spellStart"/>
      <w:r w:rsidR="0029032B">
        <w:t>targetcell</w:t>
      </w:r>
      <w:proofErr w:type="spellEnd"/>
      <w:r w:rsidR="0029032B">
        <w:t xml:space="preserve"> TA, UL grant through CBRA operation and thus succeed with HO to the target cell.</w:t>
      </w:r>
      <w:r w:rsidR="001D3914">
        <w:t xml:space="preserve"> </w:t>
      </w:r>
      <w:r w:rsidR="004C6690">
        <w:t xml:space="preserve">This reduces the occurrence of T304 expiry due to RACH-Less HO failure and thus eliminates RRC Reestablishment on every RACH-Less HO failure. </w:t>
      </w:r>
    </w:p>
    <w:p w14:paraId="17811FE0" w14:textId="3F004EAD" w:rsidR="003A3537" w:rsidRDefault="004C6690" w:rsidP="004C6690">
      <w:pPr>
        <w:pStyle w:val="Caption"/>
        <w:rPr>
          <w:b/>
          <w:bCs/>
          <w:i w:val="0"/>
          <w:iCs w:val="0"/>
          <w:color w:val="auto"/>
          <w:sz w:val="20"/>
          <w:szCs w:val="20"/>
        </w:rPr>
      </w:pPr>
      <w:bookmarkStart w:id="7" w:name="_Ref536803028"/>
      <w:r w:rsidRPr="004C6690">
        <w:rPr>
          <w:b/>
          <w:bCs/>
          <w:i w:val="0"/>
          <w:iCs w:val="0"/>
          <w:color w:val="auto"/>
          <w:sz w:val="20"/>
          <w:szCs w:val="20"/>
        </w:rPr>
        <w:t xml:space="preserve">Proposal </w:t>
      </w:r>
      <w:r w:rsidRPr="004C6690">
        <w:rPr>
          <w:b/>
          <w:bCs/>
          <w:i w:val="0"/>
          <w:iCs w:val="0"/>
          <w:color w:val="auto"/>
          <w:sz w:val="20"/>
          <w:szCs w:val="20"/>
        </w:rPr>
        <w:fldChar w:fldCharType="begin"/>
      </w:r>
      <w:r w:rsidRPr="004C6690">
        <w:rPr>
          <w:b/>
          <w:bCs/>
          <w:i w:val="0"/>
          <w:iCs w:val="0"/>
          <w:color w:val="auto"/>
          <w:sz w:val="20"/>
          <w:szCs w:val="20"/>
        </w:rPr>
        <w:instrText xml:space="preserve"> SEQ Proposal \* ARABIC </w:instrText>
      </w:r>
      <w:r w:rsidRPr="004C6690">
        <w:rPr>
          <w:b/>
          <w:bCs/>
          <w:i w:val="0"/>
          <w:iCs w:val="0"/>
          <w:color w:val="auto"/>
          <w:sz w:val="20"/>
          <w:szCs w:val="20"/>
        </w:rPr>
        <w:fldChar w:fldCharType="separate"/>
      </w:r>
      <w:r w:rsidR="002511A6">
        <w:rPr>
          <w:b/>
          <w:bCs/>
          <w:i w:val="0"/>
          <w:iCs w:val="0"/>
          <w:noProof/>
          <w:color w:val="auto"/>
          <w:sz w:val="20"/>
          <w:szCs w:val="20"/>
        </w:rPr>
        <w:t>4</w:t>
      </w:r>
      <w:r w:rsidRPr="004C6690">
        <w:rPr>
          <w:b/>
          <w:bCs/>
          <w:i w:val="0"/>
          <w:iCs w:val="0"/>
          <w:color w:val="auto"/>
          <w:sz w:val="20"/>
          <w:szCs w:val="20"/>
        </w:rPr>
        <w:fldChar w:fldCharType="end"/>
      </w:r>
      <w:r w:rsidR="00EF25DA" w:rsidRPr="004C6690">
        <w:rPr>
          <w:b/>
          <w:bCs/>
          <w:i w:val="0"/>
          <w:iCs w:val="0"/>
          <w:color w:val="auto"/>
          <w:sz w:val="20"/>
          <w:szCs w:val="20"/>
        </w:rPr>
        <w:t xml:space="preserve">. </w:t>
      </w:r>
      <w:r>
        <w:rPr>
          <w:b/>
          <w:bCs/>
          <w:i w:val="0"/>
          <w:iCs w:val="0"/>
          <w:color w:val="auto"/>
          <w:sz w:val="20"/>
          <w:szCs w:val="20"/>
        </w:rPr>
        <w:t xml:space="preserve">Configure the UE with a new timer for </w:t>
      </w:r>
      <w:r w:rsidR="003A3537">
        <w:rPr>
          <w:b/>
          <w:bCs/>
          <w:i w:val="0"/>
          <w:iCs w:val="0"/>
          <w:color w:val="auto"/>
          <w:sz w:val="20"/>
          <w:szCs w:val="20"/>
        </w:rPr>
        <w:t xml:space="preserve">NR </w:t>
      </w:r>
      <w:r>
        <w:rPr>
          <w:b/>
          <w:bCs/>
          <w:i w:val="0"/>
          <w:iCs w:val="0"/>
          <w:color w:val="auto"/>
          <w:sz w:val="20"/>
          <w:szCs w:val="20"/>
        </w:rPr>
        <w:t>RACH-Less HO failure handling.</w:t>
      </w:r>
      <w:bookmarkEnd w:id="7"/>
      <w:r w:rsidR="003A3537">
        <w:rPr>
          <w:b/>
          <w:bCs/>
          <w:i w:val="0"/>
          <w:iCs w:val="0"/>
          <w:color w:val="auto"/>
          <w:sz w:val="20"/>
          <w:szCs w:val="20"/>
        </w:rPr>
        <w:t xml:space="preserve"> </w:t>
      </w:r>
    </w:p>
    <w:p w14:paraId="3A494810" w14:textId="0A176C3D" w:rsidR="003A3537" w:rsidRDefault="003A3537" w:rsidP="003A3537">
      <w:pPr>
        <w:pStyle w:val="Caption"/>
        <w:rPr>
          <w:b/>
          <w:bCs/>
          <w:i w:val="0"/>
          <w:iCs w:val="0"/>
          <w:color w:val="auto"/>
          <w:sz w:val="20"/>
          <w:szCs w:val="20"/>
        </w:rPr>
      </w:pPr>
      <w:bookmarkStart w:id="8" w:name="_Ref536803029"/>
      <w:r w:rsidRPr="003A3537">
        <w:rPr>
          <w:b/>
          <w:bCs/>
          <w:i w:val="0"/>
          <w:iCs w:val="0"/>
          <w:color w:val="auto"/>
          <w:sz w:val="20"/>
          <w:szCs w:val="20"/>
        </w:rPr>
        <w:t xml:space="preserve">Proposal </w:t>
      </w:r>
      <w:r w:rsidRPr="003A3537">
        <w:rPr>
          <w:b/>
          <w:bCs/>
          <w:i w:val="0"/>
          <w:iCs w:val="0"/>
          <w:color w:val="auto"/>
          <w:sz w:val="20"/>
          <w:szCs w:val="20"/>
        </w:rPr>
        <w:fldChar w:fldCharType="begin"/>
      </w:r>
      <w:r w:rsidRPr="003A3537">
        <w:rPr>
          <w:b/>
          <w:bCs/>
          <w:i w:val="0"/>
          <w:iCs w:val="0"/>
          <w:color w:val="auto"/>
          <w:sz w:val="20"/>
          <w:szCs w:val="20"/>
        </w:rPr>
        <w:instrText xml:space="preserve"> SEQ Proposal \* ARABIC </w:instrText>
      </w:r>
      <w:r w:rsidRPr="003A3537">
        <w:rPr>
          <w:b/>
          <w:bCs/>
          <w:i w:val="0"/>
          <w:iCs w:val="0"/>
          <w:color w:val="auto"/>
          <w:sz w:val="20"/>
          <w:szCs w:val="20"/>
        </w:rPr>
        <w:fldChar w:fldCharType="separate"/>
      </w:r>
      <w:r w:rsidR="002511A6">
        <w:rPr>
          <w:b/>
          <w:bCs/>
          <w:i w:val="0"/>
          <w:iCs w:val="0"/>
          <w:noProof/>
          <w:color w:val="auto"/>
          <w:sz w:val="20"/>
          <w:szCs w:val="20"/>
        </w:rPr>
        <w:t>5</w:t>
      </w:r>
      <w:r w:rsidRPr="003A3537">
        <w:rPr>
          <w:b/>
          <w:bCs/>
          <w:i w:val="0"/>
          <w:iCs w:val="0"/>
          <w:color w:val="auto"/>
          <w:sz w:val="20"/>
          <w:szCs w:val="20"/>
        </w:rPr>
        <w:fldChar w:fldCharType="end"/>
      </w:r>
      <w:r w:rsidRPr="003A3537">
        <w:rPr>
          <w:b/>
          <w:bCs/>
          <w:i w:val="0"/>
          <w:iCs w:val="0"/>
          <w:color w:val="auto"/>
          <w:sz w:val="20"/>
          <w:szCs w:val="20"/>
        </w:rPr>
        <w:t xml:space="preserve">. </w:t>
      </w:r>
      <w:r w:rsidR="004C6690">
        <w:rPr>
          <w:b/>
          <w:bCs/>
          <w:i w:val="0"/>
          <w:iCs w:val="0"/>
          <w:color w:val="auto"/>
          <w:sz w:val="20"/>
          <w:szCs w:val="20"/>
        </w:rPr>
        <w:t xml:space="preserve">When the </w:t>
      </w:r>
      <w:r>
        <w:rPr>
          <w:b/>
          <w:bCs/>
          <w:i w:val="0"/>
          <w:iCs w:val="0"/>
          <w:color w:val="auto"/>
          <w:sz w:val="20"/>
          <w:szCs w:val="20"/>
        </w:rPr>
        <w:t xml:space="preserve">NR </w:t>
      </w:r>
      <w:r w:rsidR="004C6690">
        <w:rPr>
          <w:b/>
          <w:bCs/>
          <w:i w:val="0"/>
          <w:iCs w:val="0"/>
          <w:color w:val="auto"/>
          <w:sz w:val="20"/>
          <w:szCs w:val="20"/>
        </w:rPr>
        <w:t xml:space="preserve">RACH-Less HO timer expires, UE considers the NR RACH-Less HO as failed and </w:t>
      </w:r>
      <w:r w:rsidR="00EF25DA" w:rsidRPr="004C6690">
        <w:rPr>
          <w:b/>
          <w:bCs/>
          <w:i w:val="0"/>
          <w:iCs w:val="0"/>
          <w:color w:val="auto"/>
          <w:sz w:val="20"/>
          <w:szCs w:val="20"/>
        </w:rPr>
        <w:t>fallback to perform CBRA in</w:t>
      </w:r>
      <w:r>
        <w:rPr>
          <w:b/>
          <w:bCs/>
          <w:i w:val="0"/>
          <w:iCs w:val="0"/>
          <w:color w:val="auto"/>
          <w:sz w:val="20"/>
          <w:szCs w:val="20"/>
        </w:rPr>
        <w:t xml:space="preserve"> the</w:t>
      </w:r>
      <w:r w:rsidR="00EF25DA" w:rsidRPr="004C6690">
        <w:rPr>
          <w:b/>
          <w:bCs/>
          <w:i w:val="0"/>
          <w:iCs w:val="0"/>
          <w:color w:val="auto"/>
          <w:sz w:val="20"/>
          <w:szCs w:val="20"/>
        </w:rPr>
        <w:t xml:space="preserve"> target cell.</w:t>
      </w:r>
      <w:bookmarkEnd w:id="8"/>
      <w:r w:rsidR="00EF25DA" w:rsidRPr="004C6690">
        <w:rPr>
          <w:b/>
          <w:bCs/>
          <w:i w:val="0"/>
          <w:iCs w:val="0"/>
          <w:color w:val="auto"/>
          <w:sz w:val="20"/>
          <w:szCs w:val="20"/>
        </w:rPr>
        <w:t> </w:t>
      </w:r>
    </w:p>
    <w:p w14:paraId="4C032C70" w14:textId="501D52E3" w:rsidR="003A3537" w:rsidRPr="003A3537" w:rsidRDefault="003A3537" w:rsidP="003A3537">
      <w:r>
        <w:t xml:space="preserve">As discussed in the previous observations, LTE RACH-Less HO was restricted to the case where the target cell TA is the same as the source cell TA or the </w:t>
      </w:r>
      <w:proofErr w:type="spellStart"/>
      <w:r>
        <w:t>targetTA</w:t>
      </w:r>
      <w:proofErr w:type="spellEnd"/>
      <w:r>
        <w:t xml:space="preserve"> is zero. That is, it is restricted to the case where the target cell and source cell are collocated or for the case</w:t>
      </w:r>
      <w:r>
        <w:rPr>
          <w:iCs/>
          <w:lang w:eastAsia="zh-CN"/>
        </w:rPr>
        <w:t xml:space="preserve"> where the target cell is a small cell. </w:t>
      </w:r>
      <w:r w:rsidR="00F42605">
        <w:rPr>
          <w:iCs/>
          <w:lang w:eastAsia="zh-CN"/>
        </w:rPr>
        <w:t>This limits the possibility of using RACH-Less HO for the Inter-gNB HO scenarios. RAN2 should discuss whether to support RACH-Less HO in additional</w:t>
      </w:r>
      <w:r w:rsidR="002511A6">
        <w:rPr>
          <w:iCs/>
          <w:lang w:eastAsia="zh-CN"/>
        </w:rPr>
        <w:t xml:space="preserve"> HO</w:t>
      </w:r>
      <w:r w:rsidR="00F42605">
        <w:rPr>
          <w:iCs/>
          <w:lang w:eastAsia="zh-CN"/>
        </w:rPr>
        <w:t xml:space="preserve"> scenarios and consider sending </w:t>
      </w:r>
      <w:proofErr w:type="gramStart"/>
      <w:r w:rsidR="00F42605">
        <w:rPr>
          <w:iCs/>
          <w:lang w:eastAsia="zh-CN"/>
        </w:rPr>
        <w:t>an</w:t>
      </w:r>
      <w:proofErr w:type="gramEnd"/>
      <w:r w:rsidR="00F42605">
        <w:rPr>
          <w:iCs/>
          <w:lang w:eastAsia="zh-CN"/>
        </w:rPr>
        <w:t xml:space="preserve"> LS to RAN1/RAN4 to </w:t>
      </w:r>
      <w:r w:rsidR="002511A6">
        <w:rPr>
          <w:iCs/>
          <w:lang w:eastAsia="zh-CN"/>
        </w:rPr>
        <w:t xml:space="preserve">request </w:t>
      </w:r>
      <w:r w:rsidR="00F42605">
        <w:rPr>
          <w:iCs/>
          <w:lang w:eastAsia="zh-CN"/>
        </w:rPr>
        <w:t>the feasibility of TA calculation by the UE</w:t>
      </w:r>
      <w:r w:rsidR="002511A6">
        <w:rPr>
          <w:iCs/>
          <w:lang w:eastAsia="zh-CN"/>
        </w:rPr>
        <w:t xml:space="preserve"> in Inter-gNB HO scenarios</w:t>
      </w:r>
      <w:r w:rsidR="00F42605">
        <w:rPr>
          <w:iCs/>
          <w:lang w:eastAsia="zh-CN"/>
        </w:rPr>
        <w:t>.</w:t>
      </w:r>
    </w:p>
    <w:p w14:paraId="74A28515" w14:textId="2DF8B21F" w:rsidR="00EF25DA" w:rsidRPr="002511A6" w:rsidRDefault="002511A6" w:rsidP="002511A6">
      <w:pPr>
        <w:pStyle w:val="Caption"/>
        <w:spacing w:after="0"/>
        <w:rPr>
          <w:b/>
          <w:bCs/>
          <w:i w:val="0"/>
          <w:iCs w:val="0"/>
          <w:color w:val="auto"/>
          <w:sz w:val="20"/>
          <w:szCs w:val="20"/>
        </w:rPr>
      </w:pPr>
      <w:bookmarkStart w:id="9" w:name="_Ref536803024"/>
      <w:r w:rsidRPr="002511A6">
        <w:rPr>
          <w:b/>
          <w:bCs/>
          <w:i w:val="0"/>
          <w:iCs w:val="0"/>
          <w:color w:val="auto"/>
          <w:sz w:val="20"/>
          <w:szCs w:val="20"/>
        </w:rPr>
        <w:t xml:space="preserve">Observation </w:t>
      </w:r>
      <w:r w:rsidRPr="002511A6">
        <w:rPr>
          <w:b/>
          <w:bCs/>
          <w:i w:val="0"/>
          <w:iCs w:val="0"/>
          <w:color w:val="auto"/>
          <w:sz w:val="20"/>
          <w:szCs w:val="20"/>
        </w:rPr>
        <w:fldChar w:fldCharType="begin"/>
      </w:r>
      <w:r w:rsidRPr="002511A6">
        <w:rPr>
          <w:b/>
          <w:bCs/>
          <w:i w:val="0"/>
          <w:iCs w:val="0"/>
          <w:color w:val="auto"/>
          <w:sz w:val="20"/>
          <w:szCs w:val="20"/>
        </w:rPr>
        <w:instrText xml:space="preserve"> SEQ Observation \* ARABIC </w:instrText>
      </w:r>
      <w:r w:rsidRPr="002511A6">
        <w:rPr>
          <w:b/>
          <w:bCs/>
          <w:i w:val="0"/>
          <w:iCs w:val="0"/>
          <w:color w:val="auto"/>
          <w:sz w:val="20"/>
          <w:szCs w:val="20"/>
        </w:rPr>
        <w:fldChar w:fldCharType="separate"/>
      </w:r>
      <w:r w:rsidRPr="002511A6">
        <w:rPr>
          <w:b/>
          <w:bCs/>
          <w:i w:val="0"/>
          <w:iCs w:val="0"/>
          <w:color w:val="auto"/>
          <w:sz w:val="20"/>
          <w:szCs w:val="20"/>
        </w:rPr>
        <w:t>3</w:t>
      </w:r>
      <w:r w:rsidRPr="002511A6">
        <w:rPr>
          <w:b/>
          <w:bCs/>
          <w:i w:val="0"/>
          <w:iCs w:val="0"/>
          <w:color w:val="auto"/>
          <w:sz w:val="20"/>
          <w:szCs w:val="20"/>
        </w:rPr>
        <w:fldChar w:fldCharType="end"/>
      </w:r>
      <w:r w:rsidRPr="002511A6">
        <w:rPr>
          <w:b/>
          <w:bCs/>
          <w:i w:val="0"/>
          <w:iCs w:val="0"/>
          <w:color w:val="auto"/>
          <w:sz w:val="20"/>
          <w:szCs w:val="20"/>
        </w:rPr>
        <w:t xml:space="preserve">. </w:t>
      </w:r>
      <w:r w:rsidR="00EF25DA" w:rsidRPr="002511A6">
        <w:rPr>
          <w:b/>
          <w:bCs/>
          <w:i w:val="0"/>
          <w:iCs w:val="0"/>
          <w:color w:val="auto"/>
          <w:sz w:val="20"/>
          <w:szCs w:val="20"/>
        </w:rPr>
        <w:t>For the scenarios where the target TA</w:t>
      </w:r>
      <w:r>
        <w:rPr>
          <w:b/>
          <w:bCs/>
          <w:i w:val="0"/>
          <w:iCs w:val="0"/>
          <w:color w:val="auto"/>
          <w:sz w:val="20"/>
          <w:szCs w:val="20"/>
        </w:rPr>
        <w:t xml:space="preserve"> is not the same as source TA or </w:t>
      </w:r>
      <w:proofErr w:type="spellStart"/>
      <w:r>
        <w:rPr>
          <w:b/>
          <w:bCs/>
          <w:i w:val="0"/>
          <w:iCs w:val="0"/>
          <w:color w:val="auto"/>
          <w:sz w:val="20"/>
          <w:szCs w:val="20"/>
        </w:rPr>
        <w:t>targetTA</w:t>
      </w:r>
      <w:proofErr w:type="spellEnd"/>
      <w:r w:rsidR="00EF25DA" w:rsidRPr="002511A6">
        <w:rPr>
          <w:b/>
          <w:bCs/>
          <w:i w:val="0"/>
          <w:iCs w:val="0"/>
          <w:color w:val="auto"/>
          <w:sz w:val="20"/>
          <w:szCs w:val="20"/>
        </w:rPr>
        <w:t xml:space="preserve"> is not zero, RAN1/RAN4 input is required to understand whether the target TA can be calculated by the UE</w:t>
      </w:r>
      <w:r w:rsidR="002F172C">
        <w:rPr>
          <w:b/>
          <w:bCs/>
          <w:i w:val="0"/>
          <w:iCs w:val="0"/>
          <w:color w:val="auto"/>
          <w:sz w:val="20"/>
          <w:szCs w:val="20"/>
        </w:rPr>
        <w:t xml:space="preserve"> or the target gNB</w:t>
      </w:r>
      <w:r w:rsidR="00EF25DA" w:rsidRPr="002511A6">
        <w:rPr>
          <w:b/>
          <w:bCs/>
          <w:i w:val="0"/>
          <w:iCs w:val="0"/>
          <w:color w:val="auto"/>
          <w:sz w:val="20"/>
          <w:szCs w:val="20"/>
        </w:rPr>
        <w:t xml:space="preserve"> to support RACH-Less HO.</w:t>
      </w:r>
      <w:bookmarkEnd w:id="9"/>
      <w:r w:rsidR="00EF25DA" w:rsidRPr="002511A6">
        <w:rPr>
          <w:b/>
          <w:bCs/>
          <w:i w:val="0"/>
          <w:iCs w:val="0"/>
          <w:color w:val="auto"/>
          <w:sz w:val="20"/>
          <w:szCs w:val="20"/>
        </w:rPr>
        <w:t xml:space="preserve"> </w:t>
      </w:r>
    </w:p>
    <w:p w14:paraId="19D876C2" w14:textId="5FC5D210" w:rsidR="00EF25DA" w:rsidRPr="002511A6" w:rsidRDefault="002511A6" w:rsidP="002511A6">
      <w:pPr>
        <w:pStyle w:val="Caption"/>
        <w:spacing w:after="0"/>
        <w:rPr>
          <w:b/>
          <w:bCs/>
          <w:i w:val="0"/>
          <w:iCs w:val="0"/>
          <w:color w:val="auto"/>
          <w:sz w:val="20"/>
          <w:szCs w:val="20"/>
        </w:rPr>
      </w:pPr>
      <w:bookmarkStart w:id="10" w:name="_Ref536803030"/>
      <w:r w:rsidRPr="002511A6">
        <w:rPr>
          <w:b/>
          <w:bCs/>
          <w:i w:val="0"/>
          <w:iCs w:val="0"/>
          <w:color w:val="auto"/>
          <w:sz w:val="20"/>
          <w:szCs w:val="20"/>
        </w:rPr>
        <w:t xml:space="preserve">Proposal </w:t>
      </w:r>
      <w:r w:rsidRPr="002511A6">
        <w:rPr>
          <w:b/>
          <w:bCs/>
          <w:i w:val="0"/>
          <w:iCs w:val="0"/>
          <w:color w:val="auto"/>
          <w:sz w:val="20"/>
          <w:szCs w:val="20"/>
        </w:rPr>
        <w:fldChar w:fldCharType="begin"/>
      </w:r>
      <w:r w:rsidRPr="002511A6">
        <w:rPr>
          <w:b/>
          <w:bCs/>
          <w:i w:val="0"/>
          <w:iCs w:val="0"/>
          <w:color w:val="auto"/>
          <w:sz w:val="20"/>
          <w:szCs w:val="20"/>
        </w:rPr>
        <w:instrText xml:space="preserve"> SEQ Proposal \* ARABIC </w:instrText>
      </w:r>
      <w:r w:rsidRPr="002511A6">
        <w:rPr>
          <w:b/>
          <w:bCs/>
          <w:i w:val="0"/>
          <w:iCs w:val="0"/>
          <w:color w:val="auto"/>
          <w:sz w:val="20"/>
          <w:szCs w:val="20"/>
        </w:rPr>
        <w:fldChar w:fldCharType="separate"/>
      </w:r>
      <w:r w:rsidRPr="002511A6">
        <w:rPr>
          <w:b/>
          <w:bCs/>
          <w:i w:val="0"/>
          <w:iCs w:val="0"/>
          <w:color w:val="auto"/>
          <w:sz w:val="20"/>
          <w:szCs w:val="20"/>
        </w:rPr>
        <w:t>6</w:t>
      </w:r>
      <w:r w:rsidRPr="002511A6">
        <w:rPr>
          <w:b/>
          <w:bCs/>
          <w:i w:val="0"/>
          <w:iCs w:val="0"/>
          <w:color w:val="auto"/>
          <w:sz w:val="20"/>
          <w:szCs w:val="20"/>
        </w:rPr>
        <w:fldChar w:fldCharType="end"/>
      </w:r>
      <w:r w:rsidRPr="002511A6">
        <w:rPr>
          <w:b/>
          <w:bCs/>
          <w:i w:val="0"/>
          <w:iCs w:val="0"/>
          <w:color w:val="auto"/>
          <w:sz w:val="20"/>
          <w:szCs w:val="20"/>
        </w:rPr>
        <w:t xml:space="preserve">. </w:t>
      </w:r>
      <w:r w:rsidR="00EF25DA" w:rsidRPr="002511A6">
        <w:rPr>
          <w:b/>
          <w:bCs/>
          <w:i w:val="0"/>
          <w:iCs w:val="0"/>
          <w:color w:val="auto"/>
          <w:sz w:val="20"/>
          <w:szCs w:val="20"/>
        </w:rPr>
        <w:t xml:space="preserve">RAN2 </w:t>
      </w:r>
      <w:r w:rsidRPr="002511A6">
        <w:rPr>
          <w:b/>
          <w:bCs/>
          <w:i w:val="0"/>
          <w:iCs w:val="0"/>
          <w:color w:val="auto"/>
          <w:sz w:val="20"/>
          <w:szCs w:val="20"/>
        </w:rPr>
        <w:t>should discuss whether RACH-Less HO support should be extended to HO scenarios, where the target TA</w:t>
      </w:r>
      <w:r>
        <w:rPr>
          <w:b/>
          <w:bCs/>
          <w:i w:val="0"/>
          <w:iCs w:val="0"/>
          <w:color w:val="auto"/>
          <w:sz w:val="20"/>
          <w:szCs w:val="20"/>
        </w:rPr>
        <w:t xml:space="preserve"> is not the same as source TA or </w:t>
      </w:r>
      <w:proofErr w:type="spellStart"/>
      <w:r>
        <w:rPr>
          <w:b/>
          <w:bCs/>
          <w:i w:val="0"/>
          <w:iCs w:val="0"/>
          <w:color w:val="auto"/>
          <w:sz w:val="20"/>
          <w:szCs w:val="20"/>
        </w:rPr>
        <w:t>targetTA</w:t>
      </w:r>
      <w:proofErr w:type="spellEnd"/>
      <w:r w:rsidRPr="002511A6">
        <w:rPr>
          <w:b/>
          <w:bCs/>
          <w:i w:val="0"/>
          <w:iCs w:val="0"/>
          <w:color w:val="auto"/>
          <w:sz w:val="20"/>
          <w:szCs w:val="20"/>
        </w:rPr>
        <w:t xml:space="preserve"> is not zer</w:t>
      </w:r>
      <w:r>
        <w:rPr>
          <w:b/>
          <w:bCs/>
          <w:i w:val="0"/>
          <w:iCs w:val="0"/>
          <w:color w:val="auto"/>
          <w:sz w:val="20"/>
          <w:szCs w:val="20"/>
        </w:rPr>
        <w:t xml:space="preserve">o, and, </w:t>
      </w:r>
      <w:r w:rsidR="00EF25DA" w:rsidRPr="002511A6">
        <w:rPr>
          <w:b/>
          <w:bCs/>
          <w:i w:val="0"/>
          <w:iCs w:val="0"/>
          <w:color w:val="auto"/>
          <w:sz w:val="20"/>
          <w:szCs w:val="20"/>
        </w:rPr>
        <w:t xml:space="preserve">send </w:t>
      </w:r>
      <w:proofErr w:type="gramStart"/>
      <w:r w:rsidR="00EF25DA" w:rsidRPr="002511A6">
        <w:rPr>
          <w:b/>
          <w:bCs/>
          <w:i w:val="0"/>
          <w:iCs w:val="0"/>
          <w:color w:val="auto"/>
          <w:sz w:val="20"/>
          <w:szCs w:val="20"/>
        </w:rPr>
        <w:t>an</w:t>
      </w:r>
      <w:proofErr w:type="gramEnd"/>
      <w:r w:rsidR="00EF25DA" w:rsidRPr="002511A6">
        <w:rPr>
          <w:b/>
          <w:bCs/>
          <w:i w:val="0"/>
          <w:iCs w:val="0"/>
          <w:color w:val="auto"/>
          <w:sz w:val="20"/>
          <w:szCs w:val="20"/>
        </w:rPr>
        <w:t xml:space="preserve"> LS to RAN1/RAN4 on the feasibility of </w:t>
      </w:r>
      <w:r>
        <w:rPr>
          <w:b/>
          <w:bCs/>
          <w:i w:val="0"/>
          <w:iCs w:val="0"/>
          <w:color w:val="auto"/>
          <w:sz w:val="20"/>
          <w:szCs w:val="20"/>
        </w:rPr>
        <w:t xml:space="preserve">target cell </w:t>
      </w:r>
      <w:r w:rsidRPr="002511A6">
        <w:rPr>
          <w:b/>
          <w:bCs/>
          <w:i w:val="0"/>
          <w:iCs w:val="0"/>
          <w:color w:val="auto"/>
          <w:sz w:val="20"/>
          <w:szCs w:val="20"/>
        </w:rPr>
        <w:t>TA calculation by the UE</w:t>
      </w:r>
      <w:r w:rsidR="00EF25DA" w:rsidRPr="002511A6">
        <w:rPr>
          <w:b/>
          <w:bCs/>
          <w:i w:val="0"/>
          <w:iCs w:val="0"/>
          <w:color w:val="auto"/>
          <w:sz w:val="20"/>
          <w:szCs w:val="20"/>
        </w:rPr>
        <w:t>.</w:t>
      </w:r>
      <w:bookmarkEnd w:id="10"/>
    </w:p>
    <w:p w14:paraId="6EEBDDB4" w14:textId="77777777" w:rsidR="008C1E02" w:rsidRDefault="008C1E02" w:rsidP="008C1E02">
      <w:pPr>
        <w:pStyle w:val="Heading1"/>
      </w:pPr>
      <w:r>
        <w:lastRenderedPageBreak/>
        <w:t>3. Conclusion</w:t>
      </w:r>
    </w:p>
    <w:p w14:paraId="69A53BB3" w14:textId="77777777" w:rsidR="008C1E02" w:rsidRDefault="008C1E02" w:rsidP="008C1E02">
      <w:pPr>
        <w:spacing w:before="120" w:after="0"/>
      </w:pPr>
      <w:bookmarkStart w:id="11" w:name="_Hlk512894710"/>
      <w:r>
        <w:t>Based on the above discussions, we recommend RAN2 discusses the following observations and proposals:</w:t>
      </w:r>
      <w:bookmarkEnd w:id="11"/>
    </w:p>
    <w:p w14:paraId="294D8394" w14:textId="4C16A52F" w:rsidR="001F074D" w:rsidRPr="001F074D" w:rsidRDefault="001F074D" w:rsidP="008C1E02">
      <w:pPr>
        <w:spacing w:before="120" w:after="0"/>
      </w:pPr>
      <w:r w:rsidRPr="001F074D">
        <w:fldChar w:fldCharType="begin"/>
      </w:r>
      <w:r w:rsidRPr="001F074D">
        <w:instrText xml:space="preserve"> REF _Ref536803022 \h  \* MERGEFORMAT </w:instrText>
      </w:r>
      <w:r w:rsidRPr="001F074D">
        <w:fldChar w:fldCharType="separate"/>
      </w:r>
      <w:r w:rsidR="001D3914" w:rsidRPr="001D3914">
        <w:rPr>
          <w:b/>
          <w:bCs/>
          <w:iCs/>
        </w:rPr>
        <w:t xml:space="preserve">Observation </w:t>
      </w:r>
      <w:r w:rsidR="001D3914" w:rsidRPr="001D3914">
        <w:rPr>
          <w:b/>
          <w:bCs/>
          <w:iCs/>
          <w:noProof/>
        </w:rPr>
        <w:t>1</w:t>
      </w:r>
      <w:r w:rsidR="001D3914" w:rsidRPr="00923FC3">
        <w:rPr>
          <w:b/>
          <w:bCs/>
          <w:iCs/>
          <w:noProof/>
        </w:rPr>
        <w:t>.</w:t>
      </w:r>
      <w:r w:rsidR="001D3914" w:rsidRPr="00923FC3">
        <w:rPr>
          <w:b/>
          <w:bCs/>
          <w:iCs/>
        </w:rPr>
        <w:t xml:space="preserve"> In Rel.14 LTE, RACH-less HO can be applied only if the target and source cells have the same TA or target TA is zero.</w:t>
      </w:r>
      <w:r w:rsidRPr="001F074D">
        <w:fldChar w:fldCharType="end"/>
      </w:r>
    </w:p>
    <w:bookmarkStart w:id="12" w:name="_Hlk865401"/>
    <w:p w14:paraId="524BA7A9" w14:textId="415CE775" w:rsidR="001F074D" w:rsidRPr="001F074D" w:rsidRDefault="001F074D" w:rsidP="008C1E02">
      <w:pPr>
        <w:spacing w:before="120" w:after="0"/>
      </w:pPr>
      <w:r w:rsidRPr="001F074D">
        <w:fldChar w:fldCharType="begin"/>
      </w:r>
      <w:r w:rsidRPr="001F074D">
        <w:instrText xml:space="preserve"> REF _Ref536803023 \h  \* MERGEFORMAT </w:instrText>
      </w:r>
      <w:r w:rsidRPr="001F074D">
        <w:fldChar w:fldCharType="separate"/>
      </w:r>
      <w:r w:rsidR="001D3914" w:rsidRPr="001D3914">
        <w:rPr>
          <w:b/>
          <w:bCs/>
          <w:iCs/>
        </w:rPr>
        <w:t xml:space="preserve">Observation </w:t>
      </w:r>
      <w:r w:rsidR="001D3914" w:rsidRPr="001D3914">
        <w:rPr>
          <w:b/>
          <w:bCs/>
          <w:iCs/>
          <w:noProof/>
        </w:rPr>
        <w:t>2</w:t>
      </w:r>
      <w:r w:rsidR="001D3914" w:rsidRPr="00923FC3">
        <w:rPr>
          <w:b/>
          <w:bCs/>
          <w:iCs/>
          <w:noProof/>
        </w:rPr>
        <w:t>.</w:t>
      </w:r>
      <w:r w:rsidR="001D3914" w:rsidRPr="00923FC3">
        <w:rPr>
          <w:b/>
          <w:bCs/>
          <w:iCs/>
        </w:rPr>
        <w:t xml:space="preserve"> LTE RACH-Less HO failure handling can result in longer mobility interruption time and enhancements can be discussed for NR RACH-Less HO failure handling. .</w:t>
      </w:r>
      <w:r w:rsidRPr="001F074D">
        <w:fldChar w:fldCharType="end"/>
      </w:r>
    </w:p>
    <w:bookmarkEnd w:id="12"/>
    <w:p w14:paraId="50A96CEA" w14:textId="46465A2A" w:rsidR="001F074D" w:rsidRPr="001F074D" w:rsidRDefault="001F074D" w:rsidP="008C1E02">
      <w:pPr>
        <w:spacing w:before="120" w:after="0"/>
      </w:pPr>
      <w:r w:rsidRPr="001F074D">
        <w:fldChar w:fldCharType="begin"/>
      </w:r>
      <w:r w:rsidRPr="001F074D">
        <w:instrText xml:space="preserve"> REF _Ref536803024 \h  \* MERGEFORMAT </w:instrText>
      </w:r>
      <w:r w:rsidRPr="001F074D">
        <w:fldChar w:fldCharType="separate"/>
      </w:r>
      <w:r w:rsidR="001D3914" w:rsidRPr="001D3914">
        <w:rPr>
          <w:b/>
          <w:bCs/>
          <w:iCs/>
        </w:rPr>
        <w:t xml:space="preserve">Observation 3. For the scenarios where the target TA is not the same as source TA or </w:t>
      </w:r>
      <w:proofErr w:type="spellStart"/>
      <w:r w:rsidR="001D3914" w:rsidRPr="001D3914">
        <w:rPr>
          <w:b/>
          <w:bCs/>
          <w:iCs/>
        </w:rPr>
        <w:t>targetTA</w:t>
      </w:r>
      <w:proofErr w:type="spellEnd"/>
      <w:r w:rsidR="001D3914" w:rsidRPr="001D3914">
        <w:rPr>
          <w:b/>
          <w:bCs/>
          <w:iCs/>
        </w:rPr>
        <w:t xml:space="preserve"> is not zero, RAN1/RAN4 input is required to understand whether the target TA can be calculated by the UE</w:t>
      </w:r>
      <w:r w:rsidR="001D3914" w:rsidRPr="00923FC3">
        <w:rPr>
          <w:b/>
          <w:bCs/>
          <w:iCs/>
        </w:rPr>
        <w:t xml:space="preserve"> or the target gNB </w:t>
      </w:r>
      <w:r w:rsidR="001D3914" w:rsidRPr="002511A6">
        <w:rPr>
          <w:b/>
          <w:bCs/>
        </w:rPr>
        <w:t>to support RACH-Less HO.</w:t>
      </w:r>
      <w:r w:rsidRPr="001F074D">
        <w:fldChar w:fldCharType="end"/>
      </w:r>
    </w:p>
    <w:p w14:paraId="405F9D8B" w14:textId="7C567BC8" w:rsidR="001F074D" w:rsidRPr="001F074D" w:rsidRDefault="001F074D" w:rsidP="008C1E02">
      <w:pPr>
        <w:spacing w:before="120" w:after="0"/>
      </w:pPr>
      <w:r w:rsidRPr="001F074D">
        <w:fldChar w:fldCharType="begin"/>
      </w:r>
      <w:r w:rsidRPr="001F074D">
        <w:instrText xml:space="preserve"> REF _Ref536803025 \h  \* MERGEFORMAT </w:instrText>
      </w:r>
      <w:r w:rsidRPr="001F074D">
        <w:fldChar w:fldCharType="separate"/>
      </w:r>
      <w:r w:rsidR="001D3914" w:rsidRPr="001D3914">
        <w:rPr>
          <w:b/>
          <w:bCs/>
          <w:iCs/>
        </w:rPr>
        <w:t xml:space="preserve">Proposal </w:t>
      </w:r>
      <w:r w:rsidR="001D3914" w:rsidRPr="001D3914">
        <w:rPr>
          <w:b/>
          <w:bCs/>
          <w:iCs/>
          <w:noProof/>
        </w:rPr>
        <w:t>1</w:t>
      </w:r>
      <w:r w:rsidR="001D3914" w:rsidRPr="00923FC3">
        <w:rPr>
          <w:b/>
          <w:bCs/>
          <w:iCs/>
          <w:noProof/>
        </w:rPr>
        <w:t>.</w:t>
      </w:r>
      <w:r w:rsidR="001D3914" w:rsidRPr="00923FC3">
        <w:rPr>
          <w:b/>
          <w:bCs/>
          <w:iCs/>
        </w:rPr>
        <w:t xml:space="preserve"> Support NR RACH-less HO </w:t>
      </w:r>
      <w:proofErr w:type="spellStart"/>
      <w:r w:rsidR="001D3914" w:rsidRPr="00923FC3">
        <w:rPr>
          <w:b/>
          <w:bCs/>
          <w:iCs/>
        </w:rPr>
        <w:t>atleast</w:t>
      </w:r>
      <w:proofErr w:type="spellEnd"/>
      <w:r w:rsidR="001D3914" w:rsidRPr="00923FC3">
        <w:rPr>
          <w:b/>
          <w:bCs/>
          <w:iCs/>
        </w:rPr>
        <w:t xml:space="preserve"> for the cases</w:t>
      </w:r>
      <w:r w:rsidR="001D3914" w:rsidRPr="001D3914">
        <w:rPr>
          <w:b/>
          <w:bCs/>
          <w:iCs/>
        </w:rPr>
        <w:t xml:space="preserve"> where the source cell and target cell have the same TA or target TA is zero, like LTE RACH-Less HO.</w:t>
      </w:r>
      <w:r w:rsidRPr="001F074D">
        <w:fldChar w:fldCharType="end"/>
      </w:r>
    </w:p>
    <w:p w14:paraId="35893B24" w14:textId="595A5BB2" w:rsidR="001F074D" w:rsidRDefault="001F074D" w:rsidP="008C1E02">
      <w:pPr>
        <w:spacing w:before="120" w:after="0"/>
      </w:pPr>
      <w:r w:rsidRPr="001F074D">
        <w:fldChar w:fldCharType="begin"/>
      </w:r>
      <w:r w:rsidRPr="001F074D">
        <w:instrText xml:space="preserve"> REF _Ref536803026 \h  \* MERGEFORMAT </w:instrText>
      </w:r>
      <w:r w:rsidRPr="001F074D">
        <w:fldChar w:fldCharType="separate"/>
      </w:r>
      <w:r w:rsidR="001D3914" w:rsidRPr="001D3914">
        <w:rPr>
          <w:b/>
          <w:bCs/>
          <w:iCs/>
        </w:rPr>
        <w:t xml:space="preserve">Proposal </w:t>
      </w:r>
      <w:r w:rsidR="001D3914" w:rsidRPr="001D3914">
        <w:rPr>
          <w:b/>
          <w:bCs/>
          <w:iCs/>
          <w:noProof/>
        </w:rPr>
        <w:t>2</w:t>
      </w:r>
      <w:r w:rsidR="001D3914" w:rsidRPr="00923FC3">
        <w:rPr>
          <w:b/>
          <w:bCs/>
          <w:iCs/>
          <w:noProof/>
        </w:rPr>
        <w:t>.</w:t>
      </w:r>
      <w:r w:rsidR="001D3914" w:rsidRPr="00923FC3">
        <w:rPr>
          <w:b/>
          <w:bCs/>
          <w:iCs/>
        </w:rPr>
        <w:t xml:space="preserve"> The following LTE RACH-less HO design can be reused as baseline of NR RACH-less HO</w:t>
      </w:r>
      <w:r w:rsidRPr="001F074D">
        <w:fldChar w:fldCharType="end"/>
      </w:r>
      <w:r w:rsidR="00AE2566">
        <w:t>:</w:t>
      </w:r>
    </w:p>
    <w:p w14:paraId="0529E56C" w14:textId="77777777" w:rsidR="00AE2566" w:rsidRPr="004F5CF4" w:rsidRDefault="00AE2566" w:rsidP="00AE2566">
      <w:pPr>
        <w:pStyle w:val="Caption"/>
        <w:numPr>
          <w:ilvl w:val="0"/>
          <w:numId w:val="8"/>
        </w:numPr>
        <w:spacing w:after="0"/>
        <w:rPr>
          <w:b/>
          <w:bCs/>
          <w:i w:val="0"/>
          <w:iCs w:val="0"/>
          <w:color w:val="auto"/>
          <w:sz w:val="20"/>
          <w:szCs w:val="20"/>
        </w:rPr>
      </w:pPr>
      <w:r w:rsidRPr="004F5CF4">
        <w:rPr>
          <w:b/>
          <w:bCs/>
          <w:i w:val="0"/>
          <w:iCs w:val="0"/>
          <w:color w:val="auto"/>
          <w:sz w:val="20"/>
          <w:szCs w:val="20"/>
        </w:rPr>
        <w:t xml:space="preserve">The </w:t>
      </w:r>
      <w:proofErr w:type="spellStart"/>
      <w:r w:rsidRPr="004F5CF4">
        <w:rPr>
          <w:b/>
          <w:bCs/>
          <w:i w:val="0"/>
          <w:iCs w:val="0"/>
          <w:color w:val="auto"/>
          <w:sz w:val="20"/>
          <w:szCs w:val="20"/>
        </w:rPr>
        <w:t>preallocated</w:t>
      </w:r>
      <w:proofErr w:type="spellEnd"/>
      <w:r w:rsidRPr="004F5CF4">
        <w:rPr>
          <w:b/>
          <w:bCs/>
          <w:i w:val="0"/>
          <w:iCs w:val="0"/>
          <w:color w:val="auto"/>
          <w:sz w:val="20"/>
          <w:szCs w:val="20"/>
        </w:rPr>
        <w:t xml:space="preserve"> UL grant configuration can be optionally sent in the RRC Reconfiguration message </w:t>
      </w:r>
    </w:p>
    <w:p w14:paraId="3353052D" w14:textId="77777777" w:rsidR="00AE2566" w:rsidRPr="004F5CF4" w:rsidRDefault="00AE2566" w:rsidP="00AE2566">
      <w:pPr>
        <w:pStyle w:val="Caption"/>
        <w:numPr>
          <w:ilvl w:val="0"/>
          <w:numId w:val="8"/>
        </w:numPr>
        <w:spacing w:after="0"/>
        <w:rPr>
          <w:b/>
          <w:bCs/>
          <w:i w:val="0"/>
          <w:iCs w:val="0"/>
          <w:color w:val="auto"/>
          <w:sz w:val="20"/>
          <w:szCs w:val="20"/>
        </w:rPr>
      </w:pPr>
      <w:r w:rsidRPr="004F5CF4">
        <w:rPr>
          <w:b/>
          <w:bCs/>
          <w:i w:val="0"/>
          <w:iCs w:val="0"/>
          <w:color w:val="auto"/>
          <w:sz w:val="20"/>
          <w:szCs w:val="20"/>
        </w:rPr>
        <w:t xml:space="preserve">The </w:t>
      </w:r>
      <w:proofErr w:type="spellStart"/>
      <w:r w:rsidRPr="004F5CF4">
        <w:rPr>
          <w:b/>
          <w:bCs/>
          <w:i w:val="0"/>
          <w:iCs w:val="0"/>
          <w:color w:val="auto"/>
          <w:sz w:val="20"/>
          <w:szCs w:val="20"/>
        </w:rPr>
        <w:t>preallocated</w:t>
      </w:r>
      <w:proofErr w:type="spellEnd"/>
      <w:r w:rsidRPr="004F5CF4">
        <w:rPr>
          <w:b/>
          <w:bCs/>
          <w:i w:val="0"/>
          <w:iCs w:val="0"/>
          <w:color w:val="auto"/>
          <w:sz w:val="20"/>
          <w:szCs w:val="20"/>
        </w:rPr>
        <w:t xml:space="preserve"> UL grant configuration includes scheduling offset / interval and number of configured HARQ processes</w:t>
      </w:r>
    </w:p>
    <w:p w14:paraId="12FA57E2" w14:textId="77777777" w:rsidR="00AE2566" w:rsidRPr="004F5CF4" w:rsidRDefault="00AE2566" w:rsidP="00AE2566">
      <w:pPr>
        <w:pStyle w:val="Caption"/>
        <w:numPr>
          <w:ilvl w:val="0"/>
          <w:numId w:val="8"/>
        </w:numPr>
        <w:spacing w:after="0"/>
        <w:rPr>
          <w:b/>
          <w:bCs/>
          <w:i w:val="0"/>
          <w:iCs w:val="0"/>
          <w:color w:val="auto"/>
          <w:sz w:val="20"/>
          <w:szCs w:val="20"/>
        </w:rPr>
      </w:pPr>
      <w:r w:rsidRPr="004F5CF4">
        <w:rPr>
          <w:b/>
          <w:bCs/>
          <w:i w:val="0"/>
          <w:iCs w:val="0"/>
          <w:color w:val="auto"/>
          <w:sz w:val="20"/>
          <w:szCs w:val="20"/>
        </w:rPr>
        <w:t xml:space="preserve">The </w:t>
      </w:r>
      <w:proofErr w:type="spellStart"/>
      <w:r w:rsidRPr="004F5CF4">
        <w:rPr>
          <w:b/>
          <w:bCs/>
          <w:i w:val="0"/>
          <w:iCs w:val="0"/>
          <w:color w:val="auto"/>
          <w:sz w:val="20"/>
          <w:szCs w:val="20"/>
        </w:rPr>
        <w:t>preallocated</w:t>
      </w:r>
      <w:proofErr w:type="spellEnd"/>
      <w:r w:rsidRPr="004F5CF4">
        <w:rPr>
          <w:b/>
          <w:bCs/>
          <w:i w:val="0"/>
          <w:iCs w:val="0"/>
          <w:color w:val="auto"/>
          <w:sz w:val="20"/>
          <w:szCs w:val="20"/>
        </w:rPr>
        <w:t xml:space="preserve"> UL grant resource is released when T304 expires or upon successful RACH-less HO completion. </w:t>
      </w:r>
    </w:p>
    <w:p w14:paraId="79C7E85B" w14:textId="0C241051" w:rsidR="00AE2566" w:rsidRPr="00AE2566" w:rsidRDefault="00AE2566" w:rsidP="00AE2566">
      <w:pPr>
        <w:pStyle w:val="Caption"/>
        <w:numPr>
          <w:ilvl w:val="0"/>
          <w:numId w:val="8"/>
        </w:numPr>
        <w:spacing w:after="0"/>
        <w:rPr>
          <w:b/>
          <w:bCs/>
          <w:i w:val="0"/>
          <w:iCs w:val="0"/>
          <w:color w:val="auto"/>
          <w:sz w:val="20"/>
          <w:szCs w:val="20"/>
        </w:rPr>
      </w:pPr>
      <w:r w:rsidRPr="004F5CF4">
        <w:rPr>
          <w:b/>
          <w:bCs/>
          <w:i w:val="0"/>
          <w:iCs w:val="0"/>
          <w:color w:val="auto"/>
          <w:sz w:val="20"/>
          <w:szCs w:val="20"/>
        </w:rPr>
        <w:t xml:space="preserve">UE monitor the PDCCH of target gNB for UL grant when </w:t>
      </w:r>
      <w:proofErr w:type="spellStart"/>
      <w:r w:rsidRPr="004F5CF4">
        <w:rPr>
          <w:b/>
          <w:bCs/>
          <w:i w:val="0"/>
          <w:iCs w:val="0"/>
          <w:color w:val="auto"/>
          <w:sz w:val="20"/>
          <w:szCs w:val="20"/>
        </w:rPr>
        <w:t>preallocated</w:t>
      </w:r>
      <w:proofErr w:type="spellEnd"/>
      <w:r w:rsidRPr="004F5CF4">
        <w:rPr>
          <w:b/>
          <w:bCs/>
          <w:i w:val="0"/>
          <w:iCs w:val="0"/>
          <w:color w:val="auto"/>
          <w:sz w:val="20"/>
          <w:szCs w:val="20"/>
        </w:rPr>
        <w:t xml:space="preserve"> UL grant is not configured during RACH-Less HO</w:t>
      </w:r>
    </w:p>
    <w:bookmarkStart w:id="13" w:name="_Hlk865427"/>
    <w:p w14:paraId="3ECAAF33" w14:textId="76EA5136" w:rsidR="001F074D" w:rsidRPr="001F074D" w:rsidRDefault="001F074D" w:rsidP="008C1E02">
      <w:pPr>
        <w:spacing w:before="120" w:after="0"/>
      </w:pPr>
      <w:r w:rsidRPr="001F074D">
        <w:fldChar w:fldCharType="begin"/>
      </w:r>
      <w:r w:rsidRPr="001F074D">
        <w:instrText xml:space="preserve"> REF _Ref536803027 \h  \* MERGEFORMAT </w:instrText>
      </w:r>
      <w:r w:rsidRPr="001F074D">
        <w:fldChar w:fldCharType="separate"/>
      </w:r>
      <w:r w:rsidR="001D3914" w:rsidRPr="001D3914">
        <w:rPr>
          <w:b/>
          <w:bCs/>
          <w:iCs/>
        </w:rPr>
        <w:t xml:space="preserve">Proposal </w:t>
      </w:r>
      <w:r w:rsidR="001D3914" w:rsidRPr="001D3914">
        <w:rPr>
          <w:b/>
          <w:bCs/>
          <w:iCs/>
          <w:noProof/>
        </w:rPr>
        <w:t>3</w:t>
      </w:r>
      <w:r w:rsidR="001D3914" w:rsidRPr="00923FC3">
        <w:rPr>
          <w:b/>
          <w:bCs/>
          <w:iCs/>
          <w:noProof/>
        </w:rPr>
        <w:t>.</w:t>
      </w:r>
      <w:r w:rsidR="001D3914" w:rsidRPr="00923FC3">
        <w:rPr>
          <w:b/>
          <w:bCs/>
          <w:iCs/>
        </w:rPr>
        <w:t xml:space="preserve"> Multiple candidate beams info of target cell can be provided in the HO message to allow the UE to select a beam to transmit PUSCH in target </w:t>
      </w:r>
      <w:r w:rsidR="001D3914" w:rsidRPr="00460F7A">
        <w:rPr>
          <w:b/>
          <w:bCs/>
        </w:rPr>
        <w:t>cell.</w:t>
      </w:r>
      <w:r w:rsidRPr="001F074D">
        <w:fldChar w:fldCharType="end"/>
      </w:r>
    </w:p>
    <w:bookmarkEnd w:id="13"/>
    <w:p w14:paraId="4199A9D7" w14:textId="58FDC354" w:rsidR="001F074D" w:rsidRPr="001F074D" w:rsidRDefault="001F074D" w:rsidP="008C1E02">
      <w:pPr>
        <w:spacing w:before="120" w:after="0"/>
      </w:pPr>
      <w:r w:rsidRPr="001F074D">
        <w:fldChar w:fldCharType="begin"/>
      </w:r>
      <w:r w:rsidRPr="001F074D">
        <w:instrText xml:space="preserve"> REF _Ref536803028 \h  \* MERGEFORMAT </w:instrText>
      </w:r>
      <w:r w:rsidRPr="001F074D">
        <w:fldChar w:fldCharType="separate"/>
      </w:r>
      <w:r w:rsidR="001D3914" w:rsidRPr="001D3914">
        <w:rPr>
          <w:b/>
          <w:bCs/>
          <w:iCs/>
        </w:rPr>
        <w:t xml:space="preserve">Proposal </w:t>
      </w:r>
      <w:r w:rsidR="001D3914" w:rsidRPr="001D3914">
        <w:rPr>
          <w:b/>
          <w:bCs/>
          <w:iCs/>
          <w:noProof/>
        </w:rPr>
        <w:t>4</w:t>
      </w:r>
      <w:r w:rsidR="001D3914" w:rsidRPr="00923FC3">
        <w:rPr>
          <w:b/>
          <w:bCs/>
          <w:iCs/>
          <w:noProof/>
        </w:rPr>
        <w:t>.</w:t>
      </w:r>
      <w:r w:rsidR="001D3914" w:rsidRPr="00923FC3">
        <w:rPr>
          <w:b/>
          <w:bCs/>
          <w:iCs/>
        </w:rPr>
        <w:t xml:space="preserve"> Configure the UE with a new timer for NR RACH-Less HO failure handling.</w:t>
      </w:r>
      <w:r w:rsidRPr="001F074D">
        <w:fldChar w:fldCharType="end"/>
      </w:r>
    </w:p>
    <w:p w14:paraId="31A76644" w14:textId="7B693AE6" w:rsidR="001F074D" w:rsidRPr="001F074D" w:rsidRDefault="001F074D" w:rsidP="008C1E02">
      <w:pPr>
        <w:spacing w:before="120" w:after="0"/>
      </w:pPr>
      <w:r w:rsidRPr="001F074D">
        <w:fldChar w:fldCharType="begin"/>
      </w:r>
      <w:r w:rsidRPr="001F074D">
        <w:instrText xml:space="preserve"> REF _Ref536803029 \h  \* MERGEFORMAT </w:instrText>
      </w:r>
      <w:r w:rsidRPr="001F074D">
        <w:fldChar w:fldCharType="separate"/>
      </w:r>
      <w:r w:rsidR="001D3914" w:rsidRPr="001D3914">
        <w:rPr>
          <w:b/>
          <w:bCs/>
          <w:iCs/>
        </w:rPr>
        <w:t xml:space="preserve">Proposal </w:t>
      </w:r>
      <w:r w:rsidR="001D3914" w:rsidRPr="001D3914">
        <w:rPr>
          <w:b/>
          <w:bCs/>
          <w:iCs/>
          <w:noProof/>
        </w:rPr>
        <w:t>5</w:t>
      </w:r>
      <w:r w:rsidR="001D3914" w:rsidRPr="00923FC3">
        <w:rPr>
          <w:b/>
          <w:bCs/>
          <w:iCs/>
          <w:noProof/>
        </w:rPr>
        <w:t>.</w:t>
      </w:r>
      <w:r w:rsidR="001D3914" w:rsidRPr="00923FC3">
        <w:rPr>
          <w:b/>
          <w:bCs/>
          <w:iCs/>
        </w:rPr>
        <w:t xml:space="preserve"> When the NR RACH-Less HO timer expires, UE considers the NR RACH-Less HO as failed and fallback to perform CBRA in the target cell.</w:t>
      </w:r>
      <w:r w:rsidRPr="001F074D">
        <w:fldChar w:fldCharType="end"/>
      </w:r>
    </w:p>
    <w:p w14:paraId="02F02A68" w14:textId="3ECADC5B" w:rsidR="008C1E02" w:rsidRPr="001F074D" w:rsidRDefault="001F074D" w:rsidP="008C1E02">
      <w:pPr>
        <w:spacing w:before="120" w:after="0"/>
      </w:pPr>
      <w:r w:rsidRPr="001F074D">
        <w:fldChar w:fldCharType="begin"/>
      </w:r>
      <w:r w:rsidRPr="001F074D">
        <w:instrText xml:space="preserve"> REF _Ref536803030 \h  \* MERGEFORMAT </w:instrText>
      </w:r>
      <w:r w:rsidRPr="001F074D">
        <w:fldChar w:fldCharType="separate"/>
      </w:r>
      <w:r w:rsidR="001D3914" w:rsidRPr="001D3914">
        <w:rPr>
          <w:b/>
          <w:bCs/>
          <w:iCs/>
        </w:rPr>
        <w:t>Proposal 6. RAN2 should discuss whether RACH-Less HO support should be extended to HO scenarios, where the target TA</w:t>
      </w:r>
      <w:r w:rsidR="001D3914" w:rsidRPr="00923FC3">
        <w:rPr>
          <w:b/>
          <w:bCs/>
          <w:iCs/>
        </w:rPr>
        <w:t xml:space="preserve"> is not the same as source TA or </w:t>
      </w:r>
      <w:proofErr w:type="spellStart"/>
      <w:r w:rsidR="001D3914" w:rsidRPr="00923FC3">
        <w:rPr>
          <w:b/>
          <w:bCs/>
          <w:iCs/>
        </w:rPr>
        <w:t>targetTA</w:t>
      </w:r>
      <w:proofErr w:type="spellEnd"/>
      <w:r w:rsidR="001D3914" w:rsidRPr="00923FC3">
        <w:rPr>
          <w:b/>
          <w:bCs/>
          <w:iCs/>
        </w:rPr>
        <w:t xml:space="preserve"> is not zero, and, send </w:t>
      </w:r>
      <w:proofErr w:type="gramStart"/>
      <w:r w:rsidR="001D3914" w:rsidRPr="00923FC3">
        <w:rPr>
          <w:b/>
          <w:bCs/>
          <w:iCs/>
        </w:rPr>
        <w:t>an</w:t>
      </w:r>
      <w:proofErr w:type="gramEnd"/>
      <w:r w:rsidR="001D3914" w:rsidRPr="00923FC3">
        <w:rPr>
          <w:b/>
          <w:bCs/>
          <w:iCs/>
        </w:rPr>
        <w:t xml:space="preserve"> LS to RAN1/RAN4 on the feasibility of target cell </w:t>
      </w:r>
      <w:r w:rsidR="001D3914" w:rsidRPr="002511A6">
        <w:rPr>
          <w:b/>
          <w:bCs/>
        </w:rPr>
        <w:t>TA calculation by the UE</w:t>
      </w:r>
      <w:r w:rsidR="001D3914" w:rsidRPr="001D3914">
        <w:rPr>
          <w:b/>
          <w:bCs/>
          <w:iCs/>
        </w:rPr>
        <w:t>.</w:t>
      </w:r>
      <w:r w:rsidRPr="001F074D">
        <w:fldChar w:fldCharType="end"/>
      </w:r>
      <w:r w:rsidRPr="001F074D">
        <w:t xml:space="preserve"> </w:t>
      </w:r>
    </w:p>
    <w:p w14:paraId="52978C3B" w14:textId="7A7A67A3" w:rsidR="008C1E02" w:rsidRDefault="001D3914" w:rsidP="008C1E02">
      <w:pPr>
        <w:pStyle w:val="Heading1"/>
      </w:pPr>
      <w:r>
        <w:t xml:space="preserve">4. </w:t>
      </w:r>
      <w:r w:rsidR="008C1E02">
        <w:t>References</w:t>
      </w:r>
    </w:p>
    <w:p w14:paraId="1AEB92F9" w14:textId="77777777" w:rsidR="008C1E02" w:rsidRDefault="008C1E02" w:rsidP="008C1E02">
      <w:pPr>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p w14:paraId="6E4F32E0" w14:textId="77777777" w:rsidR="00412E17" w:rsidRDefault="00412E17"/>
    <w:sectPr w:rsidR="00412E17" w:rsidSect="00FC4A3E">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55BD2" w14:textId="77777777" w:rsidR="00950731" w:rsidRDefault="00950731">
      <w:pPr>
        <w:spacing w:after="0"/>
      </w:pPr>
      <w:r>
        <w:separator/>
      </w:r>
    </w:p>
  </w:endnote>
  <w:endnote w:type="continuationSeparator" w:id="0">
    <w:p w14:paraId="31856CBA" w14:textId="77777777" w:rsidR="00950731" w:rsidRDefault="009507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70ED2" w14:textId="77777777" w:rsidR="007F626A" w:rsidRDefault="003769B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D2B6C" w14:textId="77777777" w:rsidR="00950731" w:rsidRDefault="00950731">
      <w:pPr>
        <w:spacing w:after="0"/>
      </w:pPr>
      <w:r>
        <w:separator/>
      </w:r>
    </w:p>
  </w:footnote>
  <w:footnote w:type="continuationSeparator" w:id="0">
    <w:p w14:paraId="2CDF044F" w14:textId="77777777" w:rsidR="00950731" w:rsidRDefault="009507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81C8C"/>
    <w:multiLevelType w:val="hybridMultilevel"/>
    <w:tmpl w:val="D6ECC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217971"/>
    <w:multiLevelType w:val="hybridMultilevel"/>
    <w:tmpl w:val="97261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206B50"/>
    <w:multiLevelType w:val="hybridMultilevel"/>
    <w:tmpl w:val="463827E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3" w15:restartNumberingAfterBreak="0">
    <w:nsid w:val="1E0971A1"/>
    <w:multiLevelType w:val="hybridMultilevel"/>
    <w:tmpl w:val="0B4EF58C"/>
    <w:lvl w:ilvl="0" w:tplc="C1008DFE">
      <w:start w:val="1"/>
      <w:numFmt w:val="decimal"/>
      <w:pStyle w:val="Observation"/>
      <w:lvlText w:val="Observation %1."/>
      <w:lvlJc w:val="left"/>
      <w:pPr>
        <w:ind w:left="360" w:hanging="360"/>
      </w:pPr>
      <w:rPr>
        <w:rFonts w:ascii="Times New Roman" w:hAnsi="Times New Roman" w:cs="Times New Roman" w:hint="default"/>
        <w:b/>
        <w:color w:val="000000"/>
      </w:rPr>
    </w:lvl>
    <w:lvl w:ilvl="1" w:tplc="04090019">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4"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9DC41E1"/>
    <w:multiLevelType w:val="hybridMultilevel"/>
    <w:tmpl w:val="24A42246"/>
    <w:lvl w:ilvl="0" w:tplc="ABF8B39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CFE4347"/>
    <w:multiLevelType w:val="hybridMultilevel"/>
    <w:tmpl w:val="823245E8"/>
    <w:lvl w:ilvl="0" w:tplc="671276EA">
      <w:start w:val="1"/>
      <w:numFmt w:val="bullet"/>
      <w:lvlText w:val="•"/>
      <w:lvlJc w:val="left"/>
      <w:pPr>
        <w:tabs>
          <w:tab w:val="num" w:pos="720"/>
        </w:tabs>
        <w:ind w:left="720" w:hanging="360"/>
      </w:pPr>
      <w:rPr>
        <w:rFonts w:ascii="Arial" w:hAnsi="Arial" w:hint="default"/>
      </w:rPr>
    </w:lvl>
    <w:lvl w:ilvl="1" w:tplc="6194016E">
      <w:start w:val="249"/>
      <w:numFmt w:val="bullet"/>
      <w:lvlText w:val="◦"/>
      <w:lvlJc w:val="left"/>
      <w:pPr>
        <w:tabs>
          <w:tab w:val="num" w:pos="1440"/>
        </w:tabs>
        <w:ind w:left="1440" w:hanging="360"/>
      </w:pPr>
      <w:rPr>
        <w:rFonts w:ascii="Microsoft Sans Serif" w:hAnsi="Microsoft Sans Serif" w:hint="default"/>
      </w:rPr>
    </w:lvl>
    <w:lvl w:ilvl="2" w:tplc="213C5952">
      <w:start w:val="249"/>
      <w:numFmt w:val="bullet"/>
      <w:lvlText w:val="•"/>
      <w:lvlJc w:val="left"/>
      <w:pPr>
        <w:tabs>
          <w:tab w:val="num" w:pos="2160"/>
        </w:tabs>
        <w:ind w:left="2160" w:hanging="360"/>
      </w:pPr>
      <w:rPr>
        <w:rFonts w:ascii="Microsoft Sans Serif" w:hAnsi="Microsoft Sans Serif" w:hint="default"/>
      </w:rPr>
    </w:lvl>
    <w:lvl w:ilvl="3" w:tplc="1160E28A" w:tentative="1">
      <w:start w:val="1"/>
      <w:numFmt w:val="bullet"/>
      <w:lvlText w:val="•"/>
      <w:lvlJc w:val="left"/>
      <w:pPr>
        <w:tabs>
          <w:tab w:val="num" w:pos="2880"/>
        </w:tabs>
        <w:ind w:left="2880" w:hanging="360"/>
      </w:pPr>
      <w:rPr>
        <w:rFonts w:ascii="Arial" w:hAnsi="Arial" w:hint="default"/>
      </w:rPr>
    </w:lvl>
    <w:lvl w:ilvl="4" w:tplc="54B2960E" w:tentative="1">
      <w:start w:val="1"/>
      <w:numFmt w:val="bullet"/>
      <w:lvlText w:val="•"/>
      <w:lvlJc w:val="left"/>
      <w:pPr>
        <w:tabs>
          <w:tab w:val="num" w:pos="3600"/>
        </w:tabs>
        <w:ind w:left="3600" w:hanging="360"/>
      </w:pPr>
      <w:rPr>
        <w:rFonts w:ascii="Arial" w:hAnsi="Arial" w:hint="default"/>
      </w:rPr>
    </w:lvl>
    <w:lvl w:ilvl="5" w:tplc="1B943E5A" w:tentative="1">
      <w:start w:val="1"/>
      <w:numFmt w:val="bullet"/>
      <w:lvlText w:val="•"/>
      <w:lvlJc w:val="left"/>
      <w:pPr>
        <w:tabs>
          <w:tab w:val="num" w:pos="4320"/>
        </w:tabs>
        <w:ind w:left="4320" w:hanging="360"/>
      </w:pPr>
      <w:rPr>
        <w:rFonts w:ascii="Arial" w:hAnsi="Arial" w:hint="default"/>
      </w:rPr>
    </w:lvl>
    <w:lvl w:ilvl="6" w:tplc="8C9A73DE" w:tentative="1">
      <w:start w:val="1"/>
      <w:numFmt w:val="bullet"/>
      <w:lvlText w:val="•"/>
      <w:lvlJc w:val="left"/>
      <w:pPr>
        <w:tabs>
          <w:tab w:val="num" w:pos="5040"/>
        </w:tabs>
        <w:ind w:left="5040" w:hanging="360"/>
      </w:pPr>
      <w:rPr>
        <w:rFonts w:ascii="Arial" w:hAnsi="Arial" w:hint="default"/>
      </w:rPr>
    </w:lvl>
    <w:lvl w:ilvl="7" w:tplc="A086BE82" w:tentative="1">
      <w:start w:val="1"/>
      <w:numFmt w:val="bullet"/>
      <w:lvlText w:val="•"/>
      <w:lvlJc w:val="left"/>
      <w:pPr>
        <w:tabs>
          <w:tab w:val="num" w:pos="5760"/>
        </w:tabs>
        <w:ind w:left="5760" w:hanging="360"/>
      </w:pPr>
      <w:rPr>
        <w:rFonts w:ascii="Arial" w:hAnsi="Arial" w:hint="default"/>
      </w:rPr>
    </w:lvl>
    <w:lvl w:ilvl="8" w:tplc="2EA2547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6C00479"/>
    <w:multiLevelType w:val="hybridMultilevel"/>
    <w:tmpl w:val="A5A0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2"/>
  </w:num>
  <w:num w:numId="6">
    <w:abstractNumId w:val="2"/>
  </w:num>
  <w:num w:numId="7">
    <w:abstractNumId w:val="5"/>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E02"/>
    <w:rsid w:val="000D4845"/>
    <w:rsid w:val="00160B54"/>
    <w:rsid w:val="0018615F"/>
    <w:rsid w:val="001D3914"/>
    <w:rsid w:val="001F074D"/>
    <w:rsid w:val="002066F1"/>
    <w:rsid w:val="002511A6"/>
    <w:rsid w:val="00260781"/>
    <w:rsid w:val="0029032B"/>
    <w:rsid w:val="002A1236"/>
    <w:rsid w:val="002F172C"/>
    <w:rsid w:val="003769BD"/>
    <w:rsid w:val="003A3537"/>
    <w:rsid w:val="003E43F1"/>
    <w:rsid w:val="00412E17"/>
    <w:rsid w:val="00460F7A"/>
    <w:rsid w:val="004A03B4"/>
    <w:rsid w:val="004C2AB6"/>
    <w:rsid w:val="004C6690"/>
    <w:rsid w:val="004C7B9E"/>
    <w:rsid w:val="004E4BFF"/>
    <w:rsid w:val="004F5CF4"/>
    <w:rsid w:val="00515154"/>
    <w:rsid w:val="00584A13"/>
    <w:rsid w:val="006E27ED"/>
    <w:rsid w:val="007626D2"/>
    <w:rsid w:val="007D1884"/>
    <w:rsid w:val="0086048C"/>
    <w:rsid w:val="008C1E02"/>
    <w:rsid w:val="008E0BC5"/>
    <w:rsid w:val="00923FC3"/>
    <w:rsid w:val="00950731"/>
    <w:rsid w:val="009606F8"/>
    <w:rsid w:val="00993E0C"/>
    <w:rsid w:val="009A786D"/>
    <w:rsid w:val="009C58DB"/>
    <w:rsid w:val="00A85A56"/>
    <w:rsid w:val="00AE2566"/>
    <w:rsid w:val="00B3484E"/>
    <w:rsid w:val="00BA79D1"/>
    <w:rsid w:val="00BE0307"/>
    <w:rsid w:val="00C50AB7"/>
    <w:rsid w:val="00C546EE"/>
    <w:rsid w:val="00D129D0"/>
    <w:rsid w:val="00D85684"/>
    <w:rsid w:val="00DE68ED"/>
    <w:rsid w:val="00E34F9F"/>
    <w:rsid w:val="00E67ABE"/>
    <w:rsid w:val="00E83621"/>
    <w:rsid w:val="00EF25DA"/>
    <w:rsid w:val="00F11AD1"/>
    <w:rsid w:val="00F42605"/>
    <w:rsid w:val="00F85BEE"/>
    <w:rsid w:val="00FF7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F257A"/>
  <w15:chartTrackingRefBased/>
  <w15:docId w15:val="{FC37028B-3D81-4525-942C-7D2E1298C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1E0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C1E0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1E02"/>
    <w:rPr>
      <w:rFonts w:ascii="Arial" w:eastAsia="Malgun Gothic" w:hAnsi="Arial" w:cs="Times New Roman"/>
      <w:sz w:val="36"/>
      <w:szCs w:val="20"/>
      <w:lang w:val="en-GB"/>
    </w:rPr>
  </w:style>
  <w:style w:type="paragraph" w:styleId="Footer">
    <w:name w:val="footer"/>
    <w:basedOn w:val="Normal"/>
    <w:link w:val="FooterChar"/>
    <w:rsid w:val="008C1E02"/>
    <w:pPr>
      <w:widowControl w:val="0"/>
      <w:spacing w:after="0"/>
      <w:jc w:val="center"/>
    </w:pPr>
    <w:rPr>
      <w:rFonts w:ascii="Arial" w:hAnsi="Arial"/>
      <w:b/>
      <w:i/>
      <w:noProof/>
      <w:sz w:val="18"/>
    </w:rPr>
  </w:style>
  <w:style w:type="character" w:customStyle="1" w:styleId="FooterChar">
    <w:name w:val="Footer Char"/>
    <w:basedOn w:val="DefaultParagraphFont"/>
    <w:link w:val="Footer"/>
    <w:rsid w:val="008C1E02"/>
    <w:rPr>
      <w:rFonts w:ascii="Arial" w:eastAsia="Malgun Gothic" w:hAnsi="Arial" w:cs="Times New Roman"/>
      <w:b/>
      <w:i/>
      <w:noProof/>
      <w:sz w:val="18"/>
      <w:szCs w:val="20"/>
      <w:lang w:val="en-GB"/>
    </w:rPr>
  </w:style>
  <w:style w:type="paragraph" w:customStyle="1" w:styleId="B1">
    <w:name w:val="B1"/>
    <w:basedOn w:val="Normal"/>
    <w:link w:val="B1Char"/>
    <w:qFormat/>
    <w:rsid w:val="008C1E02"/>
    <w:pPr>
      <w:ind w:left="568" w:hanging="284"/>
    </w:pPr>
    <w:rPr>
      <w:lang w:eastAsia="x-none"/>
    </w:rPr>
  </w:style>
  <w:style w:type="character" w:customStyle="1" w:styleId="B1Char">
    <w:name w:val="B1 Char"/>
    <w:link w:val="B1"/>
    <w:rsid w:val="008C1E0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8C1E0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8C1E0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8C1E0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8C1E02"/>
    <w:rPr>
      <w:rFonts w:ascii="Arial" w:eastAsia="MS Mincho" w:hAnsi="Arial" w:cs="Times New Roman"/>
      <w:sz w:val="20"/>
      <w:szCs w:val="20"/>
      <w:lang w:val="en-GB"/>
    </w:rPr>
  </w:style>
  <w:style w:type="paragraph" w:styleId="ListParagraph">
    <w:name w:val="List Paragraph"/>
    <w:basedOn w:val="Normal"/>
    <w:uiPriority w:val="34"/>
    <w:qFormat/>
    <w:rsid w:val="008C1E02"/>
    <w:pPr>
      <w:ind w:left="720"/>
      <w:contextualSpacing/>
    </w:pPr>
  </w:style>
  <w:style w:type="paragraph" w:styleId="Caption">
    <w:name w:val="caption"/>
    <w:basedOn w:val="Normal"/>
    <w:next w:val="Normal"/>
    <w:uiPriority w:val="35"/>
    <w:unhideWhenUsed/>
    <w:qFormat/>
    <w:rsid w:val="008C1E02"/>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C50AB7"/>
    <w:rPr>
      <w:sz w:val="16"/>
      <w:szCs w:val="16"/>
    </w:rPr>
  </w:style>
  <w:style w:type="paragraph" w:styleId="CommentText">
    <w:name w:val="annotation text"/>
    <w:basedOn w:val="Normal"/>
    <w:link w:val="CommentTextChar"/>
    <w:uiPriority w:val="99"/>
    <w:semiHidden/>
    <w:unhideWhenUsed/>
    <w:rsid w:val="00C50AB7"/>
  </w:style>
  <w:style w:type="character" w:customStyle="1" w:styleId="CommentTextChar">
    <w:name w:val="Comment Text Char"/>
    <w:basedOn w:val="DefaultParagraphFont"/>
    <w:link w:val="CommentText"/>
    <w:uiPriority w:val="99"/>
    <w:semiHidden/>
    <w:rsid w:val="00C50AB7"/>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50AB7"/>
    <w:rPr>
      <w:b/>
      <w:bCs/>
    </w:rPr>
  </w:style>
  <w:style w:type="character" w:customStyle="1" w:styleId="CommentSubjectChar">
    <w:name w:val="Comment Subject Char"/>
    <w:basedOn w:val="CommentTextChar"/>
    <w:link w:val="CommentSubject"/>
    <w:uiPriority w:val="99"/>
    <w:semiHidden/>
    <w:rsid w:val="00C50AB7"/>
    <w:rPr>
      <w:rFonts w:ascii="Times New Roman" w:eastAsia="Malgun Gothic" w:hAnsi="Times New Roman" w:cs="Times New Roman"/>
      <w:b/>
      <w:bCs/>
      <w:sz w:val="20"/>
      <w:szCs w:val="20"/>
      <w:lang w:val="en-GB"/>
    </w:rPr>
  </w:style>
  <w:style w:type="paragraph" w:styleId="BalloonText">
    <w:name w:val="Balloon Text"/>
    <w:basedOn w:val="Normal"/>
    <w:link w:val="BalloonTextChar"/>
    <w:uiPriority w:val="99"/>
    <w:semiHidden/>
    <w:unhideWhenUsed/>
    <w:rsid w:val="00C50A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0AB7"/>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871215">
      <w:bodyDiv w:val="1"/>
      <w:marLeft w:val="0"/>
      <w:marRight w:val="0"/>
      <w:marTop w:val="0"/>
      <w:marBottom w:val="0"/>
      <w:divBdr>
        <w:top w:val="none" w:sz="0" w:space="0" w:color="auto"/>
        <w:left w:val="none" w:sz="0" w:space="0" w:color="auto"/>
        <w:bottom w:val="none" w:sz="0" w:space="0" w:color="auto"/>
        <w:right w:val="none" w:sz="0" w:space="0" w:color="auto"/>
      </w:divBdr>
    </w:div>
    <w:div w:id="185873517">
      <w:bodyDiv w:val="1"/>
      <w:marLeft w:val="0"/>
      <w:marRight w:val="0"/>
      <w:marTop w:val="0"/>
      <w:marBottom w:val="0"/>
      <w:divBdr>
        <w:top w:val="none" w:sz="0" w:space="0" w:color="auto"/>
        <w:left w:val="none" w:sz="0" w:space="0" w:color="auto"/>
        <w:bottom w:val="none" w:sz="0" w:space="0" w:color="auto"/>
        <w:right w:val="none" w:sz="0" w:space="0" w:color="auto"/>
      </w:divBdr>
      <w:divsChild>
        <w:div w:id="306053729">
          <w:marLeft w:val="274"/>
          <w:marRight w:val="0"/>
          <w:marTop w:val="240"/>
          <w:marBottom w:val="0"/>
          <w:divBdr>
            <w:top w:val="none" w:sz="0" w:space="0" w:color="auto"/>
            <w:left w:val="none" w:sz="0" w:space="0" w:color="auto"/>
            <w:bottom w:val="none" w:sz="0" w:space="0" w:color="auto"/>
            <w:right w:val="none" w:sz="0" w:space="0" w:color="auto"/>
          </w:divBdr>
        </w:div>
        <w:div w:id="559557470">
          <w:marLeft w:val="533"/>
          <w:marRight w:val="0"/>
          <w:marTop w:val="0"/>
          <w:marBottom w:val="0"/>
          <w:divBdr>
            <w:top w:val="none" w:sz="0" w:space="0" w:color="auto"/>
            <w:left w:val="none" w:sz="0" w:space="0" w:color="auto"/>
            <w:bottom w:val="none" w:sz="0" w:space="0" w:color="auto"/>
            <w:right w:val="none" w:sz="0" w:space="0" w:color="auto"/>
          </w:divBdr>
        </w:div>
        <w:div w:id="1200363398">
          <w:marLeft w:val="806"/>
          <w:marRight w:val="0"/>
          <w:marTop w:val="0"/>
          <w:marBottom w:val="0"/>
          <w:divBdr>
            <w:top w:val="none" w:sz="0" w:space="0" w:color="auto"/>
            <w:left w:val="none" w:sz="0" w:space="0" w:color="auto"/>
            <w:bottom w:val="none" w:sz="0" w:space="0" w:color="auto"/>
            <w:right w:val="none" w:sz="0" w:space="0" w:color="auto"/>
          </w:divBdr>
        </w:div>
      </w:divsChild>
    </w:div>
    <w:div w:id="1140266001">
      <w:bodyDiv w:val="1"/>
      <w:marLeft w:val="0"/>
      <w:marRight w:val="0"/>
      <w:marTop w:val="0"/>
      <w:marBottom w:val="0"/>
      <w:divBdr>
        <w:top w:val="none" w:sz="0" w:space="0" w:color="auto"/>
        <w:left w:val="none" w:sz="0" w:space="0" w:color="auto"/>
        <w:bottom w:val="none" w:sz="0" w:space="0" w:color="auto"/>
        <w:right w:val="none" w:sz="0" w:space="0" w:color="auto"/>
      </w:divBdr>
    </w:div>
    <w:div w:id="1336684912">
      <w:bodyDiv w:val="1"/>
      <w:marLeft w:val="0"/>
      <w:marRight w:val="0"/>
      <w:marTop w:val="0"/>
      <w:marBottom w:val="0"/>
      <w:divBdr>
        <w:top w:val="none" w:sz="0" w:space="0" w:color="auto"/>
        <w:left w:val="none" w:sz="0" w:space="0" w:color="auto"/>
        <w:bottom w:val="none" w:sz="0" w:space="0" w:color="auto"/>
        <w:right w:val="none" w:sz="0" w:space="0" w:color="auto"/>
      </w:divBdr>
      <w:divsChild>
        <w:div w:id="1251905">
          <w:marLeft w:val="533"/>
          <w:marRight w:val="0"/>
          <w:marTop w:val="0"/>
          <w:marBottom w:val="0"/>
          <w:divBdr>
            <w:top w:val="none" w:sz="0" w:space="0" w:color="auto"/>
            <w:left w:val="none" w:sz="0" w:space="0" w:color="auto"/>
            <w:bottom w:val="none" w:sz="0" w:space="0" w:color="auto"/>
            <w:right w:val="none" w:sz="0" w:space="0" w:color="auto"/>
          </w:divBdr>
        </w:div>
      </w:divsChild>
    </w:div>
    <w:div w:id="1348211821">
      <w:bodyDiv w:val="1"/>
      <w:marLeft w:val="0"/>
      <w:marRight w:val="0"/>
      <w:marTop w:val="0"/>
      <w:marBottom w:val="0"/>
      <w:divBdr>
        <w:top w:val="none" w:sz="0" w:space="0" w:color="auto"/>
        <w:left w:val="none" w:sz="0" w:space="0" w:color="auto"/>
        <w:bottom w:val="none" w:sz="0" w:space="0" w:color="auto"/>
        <w:right w:val="none" w:sz="0" w:space="0" w:color="auto"/>
      </w:divBdr>
    </w:div>
    <w:div w:id="2063597692">
      <w:bodyDiv w:val="1"/>
      <w:marLeft w:val="0"/>
      <w:marRight w:val="0"/>
      <w:marTop w:val="0"/>
      <w:marBottom w:val="0"/>
      <w:divBdr>
        <w:top w:val="none" w:sz="0" w:space="0" w:color="auto"/>
        <w:left w:val="none" w:sz="0" w:space="0" w:color="auto"/>
        <w:bottom w:val="none" w:sz="0" w:space="0" w:color="auto"/>
        <w:right w:val="none" w:sz="0" w:space="0" w:color="auto"/>
      </w:divBdr>
      <w:divsChild>
        <w:div w:id="175585608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E0111-EE73-4C87-8D81-FF4885E2A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1476</Words>
  <Characters>8418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2019-02-15T00:20:00Z</dcterms:created>
  <dcterms:modified xsi:type="dcterms:W3CDTF">2019-02-15T00:20:00Z</dcterms:modified>
</cp:coreProperties>
</file>