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bookmarkStart w:id="0" w:name="_GoBack"/>
      <w:bookmarkEnd w:id="0"/>
    </w:p>
    <w:p w14:paraId="52A81B13" w14:textId="6A0F01C4"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8C1833" w:rsidRPr="008C1833">
        <w:rPr>
          <w:rFonts w:ascii="Arial" w:hAnsi="Arial" w:cs="Arial"/>
          <w:b/>
          <w:bCs/>
          <w:color w:val="000000"/>
          <w:sz w:val="26"/>
          <w:szCs w:val="26"/>
        </w:rPr>
        <w:t>R2-1900362</w:t>
      </w:r>
    </w:p>
    <w:p w14:paraId="16238052" w14:textId="77777777" w:rsidR="00384962" w:rsidRDefault="00384962"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74228CBA"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C3687">
        <w:rPr>
          <w:rFonts w:ascii="Arial" w:eastAsia="MS Mincho" w:hAnsi="Arial" w:cs="Arial"/>
          <w:b/>
          <w:bCs/>
          <w:sz w:val="24"/>
        </w:rPr>
        <w:t>11.9.2</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44D5E38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Low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77777777"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7FB4D30" w14:textId="2EB90B55" w:rsidR="00384962" w:rsidRDefault="001C3687" w:rsidP="00384962">
      <w:pPr>
        <w:pStyle w:val="Heading1"/>
        <w:numPr>
          <w:ilvl w:val="0"/>
          <w:numId w:val="1"/>
        </w:numPr>
        <w:pBdr>
          <w:top w:val="single" w:sz="12" w:space="2" w:color="auto"/>
        </w:pBdr>
      </w:pPr>
      <w:r>
        <w:t xml:space="preserve">Introduction </w:t>
      </w:r>
    </w:p>
    <w:p w14:paraId="36314019" w14:textId="0BF475F4" w:rsidR="001C3687" w:rsidRDefault="00133766" w:rsidP="00133766">
      <w:r>
        <w:t xml:space="preserve">The justification of </w:t>
      </w:r>
      <w:r w:rsidR="00384962" w:rsidRPr="005809C8">
        <w:t>New WI “NR mobility enhancements” [1]</w:t>
      </w:r>
      <w:r>
        <w:t xml:space="preserve"> </w:t>
      </w:r>
      <w:r w:rsidR="001C3687">
        <w:t>has the below justification:</w:t>
      </w:r>
    </w:p>
    <w:p w14:paraId="5385D061" w14:textId="3C5DBC5A" w:rsidR="00384962" w:rsidRDefault="00133766" w:rsidP="000E372E">
      <w:pPr>
        <w:ind w:left="720"/>
      </w:pPr>
      <w:r w:rsidRPr="00133766">
        <w:t>“</w:t>
      </w: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2FE89EA0" w14:textId="0C9EE572" w:rsidR="00133766" w:rsidRDefault="00133766" w:rsidP="00133766">
      <w: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13B9B36A" w14:textId="77777777" w:rsidR="00384962" w:rsidRPr="00512905" w:rsidRDefault="00384962" w:rsidP="00384962">
      <w:pPr>
        <w:pStyle w:val="Heading1"/>
        <w:numPr>
          <w:ilvl w:val="0"/>
          <w:numId w:val="1"/>
        </w:numPr>
        <w:pBdr>
          <w:top w:val="single" w:sz="12" w:space="2" w:color="auto"/>
        </w:pBdr>
      </w:pPr>
      <w:r>
        <w:t>Discussion</w:t>
      </w:r>
    </w:p>
    <w:p w14:paraId="744310FB" w14:textId="513DD61A" w:rsidR="00FD559E" w:rsidRDefault="001C3687" w:rsidP="00384962">
      <w:pPr>
        <w:rPr>
          <w:lang w:val="en-US"/>
        </w:rPr>
      </w:pPr>
      <w:r>
        <w:rPr>
          <w:lang w:val="en-US"/>
        </w:rPr>
        <w:t xml:space="preserve">Some of the </w:t>
      </w:r>
      <w:r w:rsidR="008C30BB">
        <w:rPr>
          <w:lang w:val="en-US"/>
        </w:rPr>
        <w:t xml:space="preserve">NR Rel.15 standardized 5QI to QoS characteristics mapping </w:t>
      </w:r>
      <w:r>
        <w:rPr>
          <w:lang w:val="en-US"/>
        </w:rPr>
        <w:t>from</w:t>
      </w:r>
      <w:r w:rsidR="008C30BB">
        <w:rPr>
          <w:lang w:val="en-US"/>
        </w:rPr>
        <w:t xml:space="preserve"> </w:t>
      </w:r>
      <w:r w:rsidR="008C30BB" w:rsidRPr="008C30BB">
        <w:rPr>
          <w:lang w:val="en-US"/>
        </w:rPr>
        <w:t>Table 5.7.4-</w:t>
      </w:r>
      <w:r w:rsidR="008C30BB">
        <w:rPr>
          <w:lang w:val="en-US"/>
        </w:rPr>
        <w:t>1 of [2</w:t>
      </w:r>
      <w:r>
        <w:rPr>
          <w:lang w:val="en-US"/>
        </w:rPr>
        <w:t>]</w:t>
      </w:r>
      <w:r w:rsidR="00FD559E">
        <w:rPr>
          <w:lang w:val="en-US"/>
        </w:rPr>
        <w:t xml:space="preserve"> are provided below. </w:t>
      </w:r>
    </w:p>
    <w:p w14:paraId="0CE8B0DD" w14:textId="77777777" w:rsidR="00FD559E" w:rsidRPr="009E0DE1" w:rsidRDefault="00FD559E" w:rsidP="00FD559E">
      <w:pPr>
        <w:pStyle w:val="TH"/>
        <w:rPr>
          <w:lang w:val="en-GB"/>
        </w:rPr>
      </w:pPr>
      <w:r w:rsidRPr="009E0DE1">
        <w:rPr>
          <w:lang w:val="en-GB"/>
        </w:rPr>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058"/>
        <w:gridCol w:w="910"/>
        <w:gridCol w:w="872"/>
        <w:gridCol w:w="871"/>
        <w:gridCol w:w="1290"/>
        <w:gridCol w:w="1601"/>
        <w:gridCol w:w="1981"/>
      </w:tblGrid>
      <w:tr w:rsidR="00FD559E" w:rsidRPr="009E0DE1" w14:paraId="013EEC1C" w14:textId="77777777" w:rsidTr="00FD559E">
        <w:tc>
          <w:tcPr>
            <w:tcW w:w="982" w:type="dxa"/>
            <w:tcBorders>
              <w:top w:val="single" w:sz="12" w:space="0" w:color="auto"/>
              <w:left w:val="single" w:sz="12" w:space="0" w:color="auto"/>
              <w:bottom w:val="single" w:sz="12" w:space="0" w:color="auto"/>
              <w:right w:val="single" w:sz="12" w:space="0" w:color="auto"/>
            </w:tcBorders>
          </w:tcPr>
          <w:p w14:paraId="55D5D158" w14:textId="77777777" w:rsidR="00FD559E" w:rsidRPr="009E0DE1" w:rsidRDefault="00FD559E" w:rsidP="00174C2D">
            <w:pPr>
              <w:pStyle w:val="TAH"/>
              <w:rPr>
                <w:lang w:val="en-GB"/>
              </w:rPr>
            </w:pPr>
            <w:r w:rsidRPr="009E0DE1">
              <w:rPr>
                <w:lang w:val="en-GB"/>
              </w:rPr>
              <w:t>5QI</w:t>
            </w:r>
          </w:p>
          <w:p w14:paraId="06CD0C9E" w14:textId="77777777" w:rsidR="00FD559E" w:rsidRPr="009E0DE1" w:rsidRDefault="00FD559E" w:rsidP="00174C2D">
            <w:pPr>
              <w:pStyle w:val="TAH"/>
              <w:rPr>
                <w:lang w:val="en-GB"/>
              </w:rPr>
            </w:pPr>
            <w:r w:rsidRPr="009E0DE1">
              <w:rPr>
                <w:lang w:val="en-GB"/>
              </w:rPr>
              <w:t>Value</w:t>
            </w:r>
          </w:p>
        </w:tc>
        <w:tc>
          <w:tcPr>
            <w:tcW w:w="1058" w:type="dxa"/>
            <w:tcBorders>
              <w:top w:val="single" w:sz="12" w:space="0" w:color="auto"/>
              <w:left w:val="single" w:sz="12" w:space="0" w:color="auto"/>
              <w:bottom w:val="single" w:sz="12" w:space="0" w:color="auto"/>
              <w:right w:val="single" w:sz="12" w:space="0" w:color="auto"/>
            </w:tcBorders>
          </w:tcPr>
          <w:p w14:paraId="0369AF3E" w14:textId="77777777" w:rsidR="00FD559E" w:rsidRPr="009E0DE1" w:rsidRDefault="00FD559E" w:rsidP="00174C2D">
            <w:pPr>
              <w:pStyle w:val="TAH"/>
              <w:rPr>
                <w:lang w:val="en-GB"/>
              </w:rPr>
            </w:pPr>
            <w:r w:rsidRPr="009E0DE1">
              <w:rPr>
                <w:lang w:val="en-GB"/>
              </w:rPr>
              <w:t>Resource Type</w:t>
            </w:r>
          </w:p>
        </w:tc>
        <w:tc>
          <w:tcPr>
            <w:tcW w:w="910" w:type="dxa"/>
            <w:tcBorders>
              <w:top w:val="single" w:sz="12" w:space="0" w:color="auto"/>
              <w:left w:val="single" w:sz="12" w:space="0" w:color="auto"/>
              <w:bottom w:val="single" w:sz="12" w:space="0" w:color="auto"/>
              <w:right w:val="single" w:sz="12" w:space="0" w:color="auto"/>
            </w:tcBorders>
          </w:tcPr>
          <w:p w14:paraId="08748696" w14:textId="77777777" w:rsidR="00FD559E" w:rsidRPr="009E0DE1" w:rsidRDefault="00FD559E" w:rsidP="00174C2D">
            <w:pPr>
              <w:pStyle w:val="TAH"/>
              <w:rPr>
                <w:lang w:val="en-GB"/>
              </w:rPr>
            </w:pPr>
            <w:r w:rsidRPr="009E0DE1">
              <w:rPr>
                <w:lang w:val="en-GB"/>
              </w:rPr>
              <w:t>Default Priority Level</w:t>
            </w:r>
          </w:p>
        </w:tc>
        <w:tc>
          <w:tcPr>
            <w:tcW w:w="872" w:type="dxa"/>
            <w:tcBorders>
              <w:top w:val="single" w:sz="12" w:space="0" w:color="auto"/>
              <w:left w:val="single" w:sz="12" w:space="0" w:color="auto"/>
              <w:bottom w:val="single" w:sz="12" w:space="0" w:color="auto"/>
              <w:right w:val="single" w:sz="12" w:space="0" w:color="auto"/>
            </w:tcBorders>
          </w:tcPr>
          <w:p w14:paraId="795BF0A5" w14:textId="77777777" w:rsidR="00FD559E" w:rsidRPr="009E0DE1" w:rsidRDefault="00FD559E" w:rsidP="00174C2D">
            <w:pPr>
              <w:pStyle w:val="TAH"/>
              <w:rPr>
                <w:lang w:val="en-GB"/>
              </w:rPr>
            </w:pPr>
            <w:r w:rsidRPr="009E0DE1">
              <w:rPr>
                <w:lang w:val="en-GB"/>
              </w:rPr>
              <w:t>Packet Delay Budget</w:t>
            </w:r>
          </w:p>
        </w:tc>
        <w:tc>
          <w:tcPr>
            <w:tcW w:w="871" w:type="dxa"/>
            <w:tcBorders>
              <w:top w:val="single" w:sz="12" w:space="0" w:color="auto"/>
              <w:left w:val="single" w:sz="12" w:space="0" w:color="auto"/>
              <w:bottom w:val="single" w:sz="12" w:space="0" w:color="auto"/>
              <w:right w:val="single" w:sz="12" w:space="0" w:color="auto"/>
            </w:tcBorders>
          </w:tcPr>
          <w:p w14:paraId="572BE712" w14:textId="77777777" w:rsidR="00FD559E" w:rsidRPr="009E0DE1" w:rsidRDefault="00FD559E" w:rsidP="00174C2D">
            <w:pPr>
              <w:pStyle w:val="TAH"/>
              <w:rPr>
                <w:lang w:val="en-GB"/>
              </w:rPr>
            </w:pPr>
            <w:r w:rsidRPr="009E0DE1">
              <w:rPr>
                <w:lang w:val="en-GB"/>
              </w:rPr>
              <w:t>Packet Error</w:t>
            </w:r>
          </w:p>
          <w:p w14:paraId="4A4C8491" w14:textId="77777777" w:rsidR="00FD559E" w:rsidRPr="009E0DE1" w:rsidRDefault="00FD559E" w:rsidP="00174C2D">
            <w:pPr>
              <w:pStyle w:val="TAH"/>
              <w:rPr>
                <w:lang w:val="en-GB"/>
              </w:rPr>
            </w:pPr>
            <w:r w:rsidRPr="009E0DE1">
              <w:rPr>
                <w:lang w:val="en-GB"/>
              </w:rPr>
              <w:t xml:space="preserve">Rate </w:t>
            </w:r>
          </w:p>
        </w:tc>
        <w:tc>
          <w:tcPr>
            <w:tcW w:w="1290" w:type="dxa"/>
            <w:tcBorders>
              <w:top w:val="single" w:sz="12" w:space="0" w:color="auto"/>
              <w:left w:val="single" w:sz="12" w:space="0" w:color="auto"/>
              <w:bottom w:val="single" w:sz="12" w:space="0" w:color="auto"/>
              <w:right w:val="single" w:sz="12" w:space="0" w:color="auto"/>
            </w:tcBorders>
          </w:tcPr>
          <w:p w14:paraId="74867F25" w14:textId="77777777" w:rsidR="00FD559E" w:rsidRPr="009E0DE1" w:rsidRDefault="00FD559E" w:rsidP="00174C2D">
            <w:pPr>
              <w:pStyle w:val="TAH"/>
              <w:rPr>
                <w:lang w:val="en-GB"/>
              </w:rPr>
            </w:pPr>
            <w:r w:rsidRPr="009E0DE1">
              <w:rPr>
                <w:lang w:val="en-GB"/>
              </w:rPr>
              <w:t>Default Maximum Data Burst Volume</w:t>
            </w:r>
          </w:p>
          <w:p w14:paraId="66C8B1CA" w14:textId="77777777" w:rsidR="00FD559E" w:rsidRPr="009E0DE1" w:rsidRDefault="00FD559E" w:rsidP="00174C2D">
            <w:pPr>
              <w:pStyle w:val="TAH"/>
              <w:rPr>
                <w:lang w:val="en-GB"/>
              </w:rPr>
            </w:pPr>
            <w:r w:rsidRPr="009E0DE1">
              <w:rPr>
                <w:lang w:val="en-GB"/>
              </w:rPr>
              <w:t>(NOTE 2)</w:t>
            </w:r>
          </w:p>
        </w:tc>
        <w:tc>
          <w:tcPr>
            <w:tcW w:w="1601" w:type="dxa"/>
            <w:tcBorders>
              <w:top w:val="single" w:sz="12" w:space="0" w:color="auto"/>
              <w:left w:val="single" w:sz="12" w:space="0" w:color="auto"/>
              <w:bottom w:val="single" w:sz="12" w:space="0" w:color="auto"/>
              <w:right w:val="single" w:sz="12" w:space="0" w:color="auto"/>
            </w:tcBorders>
          </w:tcPr>
          <w:p w14:paraId="3C597C42" w14:textId="77777777" w:rsidR="00FD559E" w:rsidRPr="009E0DE1" w:rsidRDefault="00FD559E" w:rsidP="00174C2D">
            <w:pPr>
              <w:pStyle w:val="TAH"/>
              <w:rPr>
                <w:lang w:val="en-GB"/>
              </w:rPr>
            </w:pPr>
            <w:r w:rsidRPr="009E0DE1">
              <w:rPr>
                <w:lang w:val="en-GB"/>
              </w:rPr>
              <w:t>Default</w:t>
            </w:r>
          </w:p>
          <w:p w14:paraId="5000BCB4" w14:textId="77777777" w:rsidR="00FD559E" w:rsidRPr="009E0DE1" w:rsidRDefault="00FD559E" w:rsidP="00174C2D">
            <w:pPr>
              <w:pStyle w:val="TAH"/>
              <w:rPr>
                <w:lang w:val="en-GB"/>
              </w:rPr>
            </w:pPr>
            <w:r w:rsidRPr="009E0DE1">
              <w:rPr>
                <w:lang w:val="en-GB"/>
              </w:rPr>
              <w:t>Averaging Window</w:t>
            </w:r>
          </w:p>
        </w:tc>
        <w:tc>
          <w:tcPr>
            <w:tcW w:w="1981" w:type="dxa"/>
            <w:tcBorders>
              <w:top w:val="single" w:sz="12" w:space="0" w:color="auto"/>
              <w:left w:val="single" w:sz="12" w:space="0" w:color="auto"/>
              <w:bottom w:val="single" w:sz="12" w:space="0" w:color="auto"/>
              <w:right w:val="single" w:sz="12" w:space="0" w:color="auto"/>
            </w:tcBorders>
          </w:tcPr>
          <w:p w14:paraId="47541F3B" w14:textId="77777777" w:rsidR="00FD559E" w:rsidRPr="009E0DE1" w:rsidRDefault="00FD559E" w:rsidP="00174C2D">
            <w:pPr>
              <w:pStyle w:val="TAH"/>
              <w:rPr>
                <w:lang w:val="en-GB"/>
              </w:rPr>
            </w:pPr>
            <w:r w:rsidRPr="009E0DE1">
              <w:rPr>
                <w:lang w:val="en-GB"/>
              </w:rPr>
              <w:t>Example Services</w:t>
            </w:r>
          </w:p>
        </w:tc>
      </w:tr>
      <w:tr w:rsidR="00FD559E" w:rsidRPr="009E0DE1" w14:paraId="0136BAB4" w14:textId="77777777" w:rsidTr="00FD559E">
        <w:tc>
          <w:tcPr>
            <w:tcW w:w="982" w:type="dxa"/>
            <w:tcBorders>
              <w:top w:val="single" w:sz="12" w:space="0" w:color="auto"/>
              <w:left w:val="single" w:sz="12" w:space="0" w:color="auto"/>
              <w:bottom w:val="single" w:sz="12" w:space="0" w:color="auto"/>
              <w:right w:val="single" w:sz="12" w:space="0" w:color="auto"/>
            </w:tcBorders>
          </w:tcPr>
          <w:p w14:paraId="76B39C4F" w14:textId="77777777" w:rsidR="00FD559E" w:rsidRPr="00FD559E" w:rsidRDefault="00FD559E" w:rsidP="00FD559E">
            <w:pPr>
              <w:pStyle w:val="TAH"/>
              <w:rPr>
                <w:highlight w:val="yellow"/>
                <w:lang w:val="en-GB"/>
              </w:rPr>
            </w:pPr>
            <w:r w:rsidRPr="00FD559E">
              <w:rPr>
                <w:highlight w:val="yellow"/>
                <w:lang w:val="en-GB"/>
              </w:rPr>
              <w:t>80</w:t>
            </w:r>
          </w:p>
        </w:tc>
        <w:tc>
          <w:tcPr>
            <w:tcW w:w="1058" w:type="dxa"/>
            <w:tcBorders>
              <w:top w:val="single" w:sz="12" w:space="0" w:color="auto"/>
              <w:left w:val="single" w:sz="12" w:space="0" w:color="auto"/>
              <w:bottom w:val="single" w:sz="12" w:space="0" w:color="auto"/>
              <w:right w:val="single" w:sz="12" w:space="0" w:color="auto"/>
            </w:tcBorders>
          </w:tcPr>
          <w:p w14:paraId="63807530" w14:textId="77777777" w:rsidR="00FD559E" w:rsidRPr="00FD559E"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521CA141" w14:textId="77777777" w:rsidR="00FD559E" w:rsidRPr="00FD559E" w:rsidRDefault="00FD559E" w:rsidP="00FD559E">
            <w:pPr>
              <w:pStyle w:val="TAH"/>
              <w:rPr>
                <w:highlight w:val="yellow"/>
                <w:lang w:val="en-GB"/>
              </w:rPr>
            </w:pPr>
            <w:r w:rsidRPr="00FD559E">
              <w:rPr>
                <w:highlight w:val="yellow"/>
                <w:lang w:val="en-GB"/>
              </w:rPr>
              <w:t>68</w:t>
            </w:r>
          </w:p>
        </w:tc>
        <w:tc>
          <w:tcPr>
            <w:tcW w:w="872" w:type="dxa"/>
            <w:tcBorders>
              <w:top w:val="single" w:sz="12" w:space="0" w:color="auto"/>
              <w:left w:val="single" w:sz="12" w:space="0" w:color="auto"/>
              <w:bottom w:val="single" w:sz="12" w:space="0" w:color="auto"/>
              <w:right w:val="single" w:sz="12" w:space="0" w:color="auto"/>
            </w:tcBorders>
          </w:tcPr>
          <w:p w14:paraId="2F632D41" w14:textId="77777777" w:rsidR="00FD559E" w:rsidRPr="00FD559E" w:rsidRDefault="00FD559E" w:rsidP="00FD559E">
            <w:pPr>
              <w:pStyle w:val="TAH"/>
              <w:rPr>
                <w:highlight w:val="yellow"/>
                <w:lang w:val="en-GB"/>
              </w:rPr>
            </w:pPr>
            <w:r w:rsidRPr="00FD559E">
              <w:rPr>
                <w:highlight w:val="yellow"/>
                <w:lang w:val="en-GB"/>
              </w:rPr>
              <w:t>10 </w:t>
            </w:r>
            <w:proofErr w:type="spellStart"/>
            <w:r w:rsidRPr="00FD559E">
              <w:rPr>
                <w:highlight w:val="yellow"/>
                <w:lang w:val="en-GB"/>
              </w:rPr>
              <w:t>ms</w:t>
            </w:r>
            <w:proofErr w:type="spellEnd"/>
          </w:p>
          <w:p w14:paraId="0ACBED02" w14:textId="77777777" w:rsidR="00FD559E" w:rsidRPr="00FD559E" w:rsidRDefault="00FD559E" w:rsidP="00FD559E">
            <w:pPr>
              <w:pStyle w:val="TAH"/>
              <w:rPr>
                <w:highlight w:val="yellow"/>
                <w:lang w:val="en-GB"/>
              </w:rPr>
            </w:pPr>
          </w:p>
        </w:tc>
        <w:tc>
          <w:tcPr>
            <w:tcW w:w="871" w:type="dxa"/>
            <w:tcBorders>
              <w:top w:val="single" w:sz="12" w:space="0" w:color="auto"/>
              <w:left w:val="single" w:sz="12" w:space="0" w:color="auto"/>
              <w:bottom w:val="single" w:sz="12" w:space="0" w:color="auto"/>
              <w:right w:val="single" w:sz="12" w:space="0" w:color="auto"/>
            </w:tcBorders>
          </w:tcPr>
          <w:p w14:paraId="4C5029C3" w14:textId="77777777" w:rsidR="00FD559E" w:rsidRPr="00FD559E" w:rsidRDefault="00FD559E" w:rsidP="00FD559E">
            <w:pPr>
              <w:pStyle w:val="TAH"/>
              <w:rPr>
                <w:highlight w:val="yellow"/>
                <w:lang w:val="en-GB"/>
              </w:rPr>
            </w:pPr>
            <w:r w:rsidRPr="00FD559E">
              <w:rPr>
                <w:highlight w:val="yellow"/>
                <w:lang w:val="en-GB"/>
              </w:rPr>
              <w:t>10-6</w:t>
            </w:r>
          </w:p>
        </w:tc>
        <w:tc>
          <w:tcPr>
            <w:tcW w:w="1290" w:type="dxa"/>
            <w:tcBorders>
              <w:top w:val="single" w:sz="12" w:space="0" w:color="auto"/>
              <w:left w:val="single" w:sz="12" w:space="0" w:color="auto"/>
              <w:bottom w:val="single" w:sz="12" w:space="0" w:color="auto"/>
              <w:right w:val="single" w:sz="12" w:space="0" w:color="auto"/>
            </w:tcBorders>
          </w:tcPr>
          <w:p w14:paraId="3A5EF4FB" w14:textId="77777777" w:rsidR="00FD559E" w:rsidRPr="00FD559E" w:rsidRDefault="00FD559E" w:rsidP="00FD559E">
            <w:pPr>
              <w:pStyle w:val="TAH"/>
              <w:rPr>
                <w:highlight w:val="yellow"/>
                <w:lang w:val="en-GB"/>
              </w:rPr>
            </w:pPr>
            <w:r w:rsidRPr="00FD559E">
              <w:rPr>
                <w:highlight w:val="yellow"/>
                <w:lang w:val="en-GB"/>
              </w:rPr>
              <w:t>N/A</w:t>
            </w:r>
          </w:p>
        </w:tc>
        <w:tc>
          <w:tcPr>
            <w:tcW w:w="1601" w:type="dxa"/>
            <w:tcBorders>
              <w:top w:val="single" w:sz="12" w:space="0" w:color="auto"/>
              <w:left w:val="single" w:sz="12" w:space="0" w:color="auto"/>
              <w:bottom w:val="single" w:sz="12" w:space="0" w:color="auto"/>
              <w:right w:val="single" w:sz="12" w:space="0" w:color="auto"/>
            </w:tcBorders>
          </w:tcPr>
          <w:p w14:paraId="67E92489" w14:textId="77777777" w:rsidR="00FD559E" w:rsidRPr="00FD559E" w:rsidRDefault="00FD559E" w:rsidP="00FD559E">
            <w:pPr>
              <w:pStyle w:val="TAH"/>
              <w:rPr>
                <w:highlight w:val="yellow"/>
                <w:lang w:val="en-GB"/>
              </w:rPr>
            </w:pPr>
            <w:r w:rsidRPr="00FD559E">
              <w:rPr>
                <w:highlight w:val="yellow"/>
                <w:lang w:val="en-GB"/>
              </w:rPr>
              <w:t>N/A</w:t>
            </w:r>
          </w:p>
        </w:tc>
        <w:tc>
          <w:tcPr>
            <w:tcW w:w="1981" w:type="dxa"/>
            <w:tcBorders>
              <w:top w:val="single" w:sz="12" w:space="0" w:color="auto"/>
              <w:left w:val="single" w:sz="12" w:space="0" w:color="auto"/>
              <w:bottom w:val="single" w:sz="12" w:space="0" w:color="auto"/>
              <w:right w:val="single" w:sz="12" w:space="0" w:color="auto"/>
            </w:tcBorders>
          </w:tcPr>
          <w:p w14:paraId="762B966D" w14:textId="77777777" w:rsidR="00FD559E" w:rsidRPr="00FD559E" w:rsidRDefault="00FD559E" w:rsidP="00FD559E">
            <w:pPr>
              <w:pStyle w:val="TAH"/>
              <w:rPr>
                <w:highlight w:val="yellow"/>
                <w:lang w:val="en-GB"/>
              </w:rPr>
            </w:pPr>
            <w:r w:rsidRPr="00FD559E">
              <w:rPr>
                <w:highlight w:val="yellow"/>
                <w:lang w:val="en-GB"/>
              </w:rPr>
              <w:t xml:space="preserve">Low Latency </w:t>
            </w:r>
            <w:proofErr w:type="spellStart"/>
            <w:r w:rsidRPr="00FD559E">
              <w:rPr>
                <w:highlight w:val="yellow"/>
                <w:lang w:val="en-GB"/>
              </w:rPr>
              <w:t>eMBB</w:t>
            </w:r>
            <w:proofErr w:type="spellEnd"/>
            <w:r w:rsidRPr="00FD559E">
              <w:rPr>
                <w:highlight w:val="yellow"/>
                <w:lang w:val="en-GB"/>
              </w:rPr>
              <w:t xml:space="preserve"> applications Augmented Reality</w:t>
            </w:r>
          </w:p>
        </w:tc>
      </w:tr>
      <w:tr w:rsidR="00FD559E" w:rsidRPr="009E0DE1" w14:paraId="623797CA" w14:textId="77777777" w:rsidTr="00FD559E">
        <w:tc>
          <w:tcPr>
            <w:tcW w:w="982" w:type="dxa"/>
            <w:tcBorders>
              <w:top w:val="single" w:sz="12" w:space="0" w:color="auto"/>
              <w:left w:val="single" w:sz="12" w:space="0" w:color="auto"/>
              <w:bottom w:val="single" w:sz="12" w:space="0" w:color="auto"/>
              <w:right w:val="single" w:sz="12" w:space="0" w:color="auto"/>
            </w:tcBorders>
          </w:tcPr>
          <w:p w14:paraId="2BA53C78" w14:textId="77777777" w:rsidR="00FD559E" w:rsidRPr="0089028B" w:rsidRDefault="00FD559E" w:rsidP="00FD559E">
            <w:pPr>
              <w:pStyle w:val="TAH"/>
              <w:rPr>
                <w:highlight w:val="yellow"/>
                <w:lang w:val="en-GB"/>
              </w:rPr>
            </w:pPr>
            <w:r w:rsidRPr="0089028B">
              <w:rPr>
                <w:highlight w:val="yellow"/>
                <w:lang w:val="en-GB"/>
              </w:rPr>
              <w:t>81</w:t>
            </w:r>
          </w:p>
        </w:tc>
        <w:tc>
          <w:tcPr>
            <w:tcW w:w="1058" w:type="dxa"/>
            <w:tcBorders>
              <w:top w:val="single" w:sz="12" w:space="0" w:color="auto"/>
              <w:left w:val="single" w:sz="12" w:space="0" w:color="auto"/>
              <w:bottom w:val="single" w:sz="12" w:space="0" w:color="auto"/>
              <w:right w:val="single" w:sz="12" w:space="0" w:color="auto"/>
            </w:tcBorders>
          </w:tcPr>
          <w:p w14:paraId="7D0DA075" w14:textId="77777777" w:rsidR="00FD559E" w:rsidRPr="0089028B" w:rsidRDefault="00FD559E" w:rsidP="00FD559E">
            <w:pPr>
              <w:pStyle w:val="TAH"/>
              <w:rPr>
                <w:highlight w:val="yellow"/>
                <w:lang w:val="en-GB"/>
              </w:rPr>
            </w:pPr>
            <w:r w:rsidRPr="0089028B">
              <w:rPr>
                <w:highlight w:val="yellow"/>
                <w:lang w:val="en-GB"/>
              </w:rPr>
              <w:t>Delay Critical GBR</w:t>
            </w:r>
          </w:p>
        </w:tc>
        <w:tc>
          <w:tcPr>
            <w:tcW w:w="910" w:type="dxa"/>
            <w:tcBorders>
              <w:top w:val="single" w:sz="12" w:space="0" w:color="auto"/>
              <w:left w:val="single" w:sz="12" w:space="0" w:color="auto"/>
              <w:bottom w:val="single" w:sz="12" w:space="0" w:color="auto"/>
              <w:right w:val="single" w:sz="12" w:space="0" w:color="auto"/>
            </w:tcBorders>
          </w:tcPr>
          <w:p w14:paraId="0ED19E2F" w14:textId="77777777" w:rsidR="00FD559E" w:rsidRPr="0089028B" w:rsidRDefault="00FD559E" w:rsidP="00FD559E">
            <w:pPr>
              <w:pStyle w:val="TAH"/>
              <w:rPr>
                <w:highlight w:val="yellow"/>
                <w:lang w:val="en-GB"/>
              </w:rPr>
            </w:pPr>
            <w:r w:rsidRPr="0089028B">
              <w:rPr>
                <w:highlight w:val="yellow"/>
                <w:lang w:val="en-GB"/>
              </w:rPr>
              <w:t>11</w:t>
            </w:r>
          </w:p>
        </w:tc>
        <w:tc>
          <w:tcPr>
            <w:tcW w:w="872" w:type="dxa"/>
            <w:tcBorders>
              <w:top w:val="single" w:sz="12" w:space="0" w:color="auto"/>
              <w:left w:val="single" w:sz="12" w:space="0" w:color="auto"/>
              <w:bottom w:val="single" w:sz="12" w:space="0" w:color="auto"/>
              <w:right w:val="single" w:sz="12" w:space="0" w:color="auto"/>
            </w:tcBorders>
          </w:tcPr>
          <w:p w14:paraId="1AAE1BB6" w14:textId="77777777" w:rsidR="00FD559E" w:rsidRPr="0089028B" w:rsidRDefault="00FD559E" w:rsidP="00FD559E">
            <w:pPr>
              <w:pStyle w:val="TAH"/>
              <w:rPr>
                <w:highlight w:val="yellow"/>
                <w:lang w:val="en-GB"/>
              </w:rPr>
            </w:pPr>
            <w:r w:rsidRPr="0089028B">
              <w:rPr>
                <w:highlight w:val="yellow"/>
                <w:lang w:val="en-GB"/>
              </w:rPr>
              <w:t>5 </w:t>
            </w:r>
            <w:proofErr w:type="spellStart"/>
            <w:r w:rsidRPr="0089028B">
              <w:rPr>
                <w:highlight w:val="yellow"/>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469D628"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0B49897C" w14:textId="77777777" w:rsidR="00FD559E" w:rsidRPr="0089028B" w:rsidRDefault="00FD559E" w:rsidP="00FD559E">
            <w:pPr>
              <w:pStyle w:val="TAH"/>
              <w:rPr>
                <w:highlight w:val="yellow"/>
                <w:lang w:val="en-GB"/>
              </w:rPr>
            </w:pPr>
            <w:r w:rsidRPr="0089028B">
              <w:rPr>
                <w:highlight w:val="yellow"/>
                <w:lang w:val="en-GB"/>
              </w:rPr>
              <w:t>160 B</w:t>
            </w:r>
          </w:p>
        </w:tc>
        <w:tc>
          <w:tcPr>
            <w:tcW w:w="1601" w:type="dxa"/>
            <w:tcBorders>
              <w:top w:val="single" w:sz="12" w:space="0" w:color="auto"/>
              <w:left w:val="single" w:sz="12" w:space="0" w:color="auto"/>
              <w:bottom w:val="single" w:sz="12" w:space="0" w:color="auto"/>
              <w:right w:val="single" w:sz="12" w:space="0" w:color="auto"/>
            </w:tcBorders>
          </w:tcPr>
          <w:p w14:paraId="1F2C226E"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B319B44" w14:textId="77777777" w:rsidR="00FD559E" w:rsidRPr="0089028B" w:rsidRDefault="00FD559E" w:rsidP="00FD559E">
            <w:pPr>
              <w:pStyle w:val="TAH"/>
              <w:rPr>
                <w:highlight w:val="yellow"/>
                <w:lang w:val="en-GB"/>
              </w:rPr>
            </w:pPr>
            <w:r w:rsidRPr="0089028B">
              <w:rPr>
                <w:highlight w:val="yellow"/>
                <w:lang w:val="en-GB"/>
              </w:rPr>
              <w:t>Remote control</w:t>
            </w:r>
          </w:p>
          <w:p w14:paraId="391E8095" w14:textId="77777777" w:rsidR="00FD559E" w:rsidRPr="0089028B" w:rsidRDefault="00FD559E" w:rsidP="00FD559E">
            <w:pPr>
              <w:pStyle w:val="TAH"/>
              <w:rPr>
                <w:highlight w:val="yellow"/>
                <w:lang w:val="en-GB"/>
              </w:rPr>
            </w:pPr>
            <w:r w:rsidRPr="0089028B">
              <w:rPr>
                <w:highlight w:val="yellow"/>
                <w:lang w:val="en-GB"/>
              </w:rPr>
              <w:t>(see TS 22.261 [2])</w:t>
            </w:r>
          </w:p>
        </w:tc>
      </w:tr>
      <w:tr w:rsidR="00FD559E" w:rsidRPr="009E0DE1" w14:paraId="07E366A6" w14:textId="77777777" w:rsidTr="00FD559E">
        <w:tc>
          <w:tcPr>
            <w:tcW w:w="982" w:type="dxa"/>
            <w:tcBorders>
              <w:top w:val="single" w:sz="12" w:space="0" w:color="auto"/>
              <w:left w:val="single" w:sz="12" w:space="0" w:color="auto"/>
              <w:bottom w:val="single" w:sz="12" w:space="0" w:color="auto"/>
              <w:right w:val="single" w:sz="12" w:space="0" w:color="auto"/>
            </w:tcBorders>
          </w:tcPr>
          <w:p w14:paraId="09C6FB0D" w14:textId="77777777" w:rsidR="00FD559E" w:rsidRPr="0089028B" w:rsidRDefault="00FD559E" w:rsidP="00FD559E">
            <w:pPr>
              <w:pStyle w:val="TAH"/>
              <w:rPr>
                <w:highlight w:val="yellow"/>
                <w:lang w:val="en-GB"/>
              </w:rPr>
            </w:pPr>
            <w:r w:rsidRPr="0089028B">
              <w:rPr>
                <w:highlight w:val="yellow"/>
                <w:lang w:val="en-GB"/>
              </w:rPr>
              <w:t>82</w:t>
            </w:r>
          </w:p>
        </w:tc>
        <w:tc>
          <w:tcPr>
            <w:tcW w:w="1058" w:type="dxa"/>
            <w:tcBorders>
              <w:top w:val="single" w:sz="12" w:space="0" w:color="auto"/>
              <w:left w:val="single" w:sz="12" w:space="0" w:color="auto"/>
              <w:bottom w:val="single" w:sz="12" w:space="0" w:color="auto"/>
              <w:right w:val="single" w:sz="12" w:space="0" w:color="auto"/>
            </w:tcBorders>
          </w:tcPr>
          <w:p w14:paraId="3199CCF5" w14:textId="77777777" w:rsidR="00FD559E" w:rsidRPr="0089028B"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7458A56C" w14:textId="77777777" w:rsidR="00FD559E" w:rsidRPr="0089028B" w:rsidRDefault="00FD559E" w:rsidP="00FD559E">
            <w:pPr>
              <w:pStyle w:val="TAH"/>
              <w:rPr>
                <w:highlight w:val="yellow"/>
                <w:lang w:val="en-GB"/>
              </w:rPr>
            </w:pPr>
            <w:r w:rsidRPr="0089028B">
              <w:rPr>
                <w:highlight w:val="yellow"/>
                <w:lang w:val="en-GB"/>
              </w:rPr>
              <w:t>12</w:t>
            </w:r>
          </w:p>
        </w:tc>
        <w:tc>
          <w:tcPr>
            <w:tcW w:w="872" w:type="dxa"/>
            <w:tcBorders>
              <w:top w:val="single" w:sz="12" w:space="0" w:color="auto"/>
              <w:left w:val="single" w:sz="12" w:space="0" w:color="auto"/>
              <w:bottom w:val="single" w:sz="12" w:space="0" w:color="auto"/>
              <w:right w:val="single" w:sz="12" w:space="0" w:color="auto"/>
            </w:tcBorders>
          </w:tcPr>
          <w:p w14:paraId="07CF18F3" w14:textId="77777777" w:rsidR="00FD559E" w:rsidRPr="0089028B" w:rsidRDefault="00FD559E" w:rsidP="00FD559E">
            <w:pPr>
              <w:pStyle w:val="TAH"/>
              <w:rPr>
                <w:highlight w:val="yellow"/>
                <w:lang w:val="en-GB"/>
              </w:rPr>
            </w:pPr>
            <w:r w:rsidRPr="0089028B">
              <w:rPr>
                <w:highlight w:val="yellow"/>
                <w:lang w:val="en-GB"/>
              </w:rPr>
              <w:t>10 </w:t>
            </w:r>
            <w:proofErr w:type="spellStart"/>
            <w:r w:rsidRPr="0089028B">
              <w:rPr>
                <w:highlight w:val="yellow"/>
                <w:lang w:val="en-GB"/>
              </w:rPr>
              <w:t>ms</w:t>
            </w:r>
            <w:proofErr w:type="spellEnd"/>
          </w:p>
          <w:p w14:paraId="2EFCC75E" w14:textId="77777777" w:rsidR="00FD559E" w:rsidRPr="0089028B" w:rsidRDefault="00FD559E" w:rsidP="00FD559E">
            <w:pPr>
              <w:pStyle w:val="TAH"/>
              <w:rPr>
                <w:highlight w:val="yellow"/>
                <w:lang w:val="en-GB"/>
              </w:rPr>
            </w:pPr>
            <w:r w:rsidRPr="0089028B">
              <w:rPr>
                <w:highlight w:val="yellow"/>
                <w:lang w:val="en-GB"/>
              </w:rPr>
              <w:t>NOTE 5</w:t>
            </w:r>
          </w:p>
        </w:tc>
        <w:tc>
          <w:tcPr>
            <w:tcW w:w="871" w:type="dxa"/>
            <w:tcBorders>
              <w:top w:val="single" w:sz="12" w:space="0" w:color="auto"/>
              <w:left w:val="single" w:sz="12" w:space="0" w:color="auto"/>
              <w:bottom w:val="single" w:sz="12" w:space="0" w:color="auto"/>
              <w:right w:val="single" w:sz="12" w:space="0" w:color="auto"/>
            </w:tcBorders>
          </w:tcPr>
          <w:p w14:paraId="3279379E"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6F577366" w14:textId="77777777" w:rsidR="00FD559E" w:rsidRPr="0089028B" w:rsidRDefault="00FD559E" w:rsidP="00FD559E">
            <w:pPr>
              <w:pStyle w:val="TAH"/>
              <w:rPr>
                <w:highlight w:val="yellow"/>
                <w:lang w:val="en-GB"/>
              </w:rPr>
            </w:pPr>
            <w:r w:rsidRPr="0089028B">
              <w:rPr>
                <w:highlight w:val="yellow"/>
                <w:lang w:val="en-GB"/>
              </w:rPr>
              <w:t>320 B</w:t>
            </w:r>
          </w:p>
        </w:tc>
        <w:tc>
          <w:tcPr>
            <w:tcW w:w="1601" w:type="dxa"/>
            <w:tcBorders>
              <w:top w:val="single" w:sz="12" w:space="0" w:color="auto"/>
              <w:left w:val="single" w:sz="12" w:space="0" w:color="auto"/>
              <w:bottom w:val="single" w:sz="12" w:space="0" w:color="auto"/>
              <w:right w:val="single" w:sz="12" w:space="0" w:color="auto"/>
            </w:tcBorders>
          </w:tcPr>
          <w:p w14:paraId="08F30971"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EBDF16A" w14:textId="77777777" w:rsidR="00FD559E" w:rsidRPr="0089028B" w:rsidRDefault="00FD559E" w:rsidP="00FD559E">
            <w:pPr>
              <w:pStyle w:val="TAH"/>
              <w:rPr>
                <w:highlight w:val="yellow"/>
                <w:lang w:val="en-GB"/>
              </w:rPr>
            </w:pPr>
            <w:r w:rsidRPr="0089028B">
              <w:rPr>
                <w:highlight w:val="yellow"/>
                <w:lang w:val="en-GB"/>
              </w:rPr>
              <w:t>Intelligent transport systems</w:t>
            </w:r>
          </w:p>
        </w:tc>
      </w:tr>
      <w:tr w:rsidR="00FD559E" w:rsidRPr="009E0DE1" w14:paraId="2A7865B2" w14:textId="77777777" w:rsidTr="00FD559E">
        <w:tc>
          <w:tcPr>
            <w:tcW w:w="982" w:type="dxa"/>
            <w:tcBorders>
              <w:top w:val="single" w:sz="12" w:space="0" w:color="auto"/>
              <w:left w:val="single" w:sz="12" w:space="0" w:color="auto"/>
              <w:bottom w:val="single" w:sz="12" w:space="0" w:color="auto"/>
              <w:right w:val="single" w:sz="12" w:space="0" w:color="auto"/>
            </w:tcBorders>
          </w:tcPr>
          <w:p w14:paraId="39E59A97" w14:textId="77777777" w:rsidR="00FD559E" w:rsidRPr="009E0DE1" w:rsidRDefault="00FD559E" w:rsidP="00FD559E">
            <w:pPr>
              <w:pStyle w:val="TAH"/>
              <w:rPr>
                <w:lang w:val="en-GB"/>
              </w:rPr>
            </w:pPr>
            <w:r w:rsidRPr="009E0DE1">
              <w:rPr>
                <w:lang w:val="en-GB"/>
              </w:rPr>
              <w:t>83</w:t>
            </w:r>
          </w:p>
        </w:tc>
        <w:tc>
          <w:tcPr>
            <w:tcW w:w="1058" w:type="dxa"/>
            <w:tcBorders>
              <w:top w:val="single" w:sz="12" w:space="0" w:color="auto"/>
              <w:left w:val="single" w:sz="12" w:space="0" w:color="auto"/>
              <w:bottom w:val="single" w:sz="12" w:space="0" w:color="auto"/>
              <w:right w:val="single" w:sz="12" w:space="0" w:color="auto"/>
            </w:tcBorders>
          </w:tcPr>
          <w:p w14:paraId="386853BF"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15618568" w14:textId="77777777" w:rsidR="00FD559E" w:rsidRPr="009E0DE1" w:rsidRDefault="00FD559E" w:rsidP="00FD559E">
            <w:pPr>
              <w:pStyle w:val="TAH"/>
              <w:rPr>
                <w:lang w:val="en-GB"/>
              </w:rPr>
            </w:pPr>
            <w:r w:rsidRPr="009E0DE1">
              <w:rPr>
                <w:lang w:val="en-GB"/>
              </w:rPr>
              <w:t>13</w:t>
            </w:r>
          </w:p>
        </w:tc>
        <w:tc>
          <w:tcPr>
            <w:tcW w:w="872" w:type="dxa"/>
            <w:tcBorders>
              <w:top w:val="single" w:sz="12" w:space="0" w:color="auto"/>
              <w:left w:val="single" w:sz="12" w:space="0" w:color="auto"/>
              <w:bottom w:val="single" w:sz="12" w:space="0" w:color="auto"/>
              <w:right w:val="single" w:sz="12" w:space="0" w:color="auto"/>
            </w:tcBorders>
          </w:tcPr>
          <w:p w14:paraId="5947910A" w14:textId="77777777" w:rsidR="00FD559E" w:rsidRPr="009E0DE1" w:rsidRDefault="00FD559E" w:rsidP="00FD559E">
            <w:pPr>
              <w:pStyle w:val="TAH"/>
              <w:rPr>
                <w:lang w:val="en-GB"/>
              </w:rPr>
            </w:pPr>
            <w:r w:rsidRPr="009E0DE1">
              <w:rPr>
                <w:lang w:val="en-GB"/>
              </w:rPr>
              <w:t>20 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994178F" w14:textId="77777777" w:rsidR="00FD559E" w:rsidRPr="009E0DE1" w:rsidRDefault="00FD559E" w:rsidP="00FD559E">
            <w:pPr>
              <w:pStyle w:val="TAH"/>
              <w:rPr>
                <w:lang w:val="en-GB"/>
              </w:rPr>
            </w:pPr>
            <w:r w:rsidRPr="009E0DE1">
              <w:rPr>
                <w:lang w:val="en-GB"/>
              </w:rPr>
              <w:t>10</w:t>
            </w:r>
            <w:r w:rsidRPr="00FD559E">
              <w:rPr>
                <w:lang w:val="en-GB"/>
              </w:rPr>
              <w:t>-5</w:t>
            </w:r>
          </w:p>
        </w:tc>
        <w:tc>
          <w:tcPr>
            <w:tcW w:w="1290" w:type="dxa"/>
            <w:tcBorders>
              <w:top w:val="single" w:sz="12" w:space="0" w:color="auto"/>
              <w:left w:val="single" w:sz="12" w:space="0" w:color="auto"/>
              <w:bottom w:val="single" w:sz="12" w:space="0" w:color="auto"/>
              <w:right w:val="single" w:sz="12" w:space="0" w:color="auto"/>
            </w:tcBorders>
          </w:tcPr>
          <w:p w14:paraId="31588425" w14:textId="77777777" w:rsidR="00FD559E" w:rsidRPr="009E0DE1" w:rsidRDefault="00FD559E" w:rsidP="00FD559E">
            <w:pPr>
              <w:pStyle w:val="TAH"/>
              <w:rPr>
                <w:lang w:val="en-GB"/>
              </w:rPr>
            </w:pPr>
            <w:r w:rsidRPr="009E0DE1">
              <w:rPr>
                <w:lang w:val="en-GB"/>
              </w:rPr>
              <w:t>640 B</w:t>
            </w:r>
          </w:p>
          <w:p w14:paraId="2BD245F3" w14:textId="77777777" w:rsidR="00FD559E" w:rsidRPr="009E0DE1" w:rsidRDefault="00FD559E" w:rsidP="00FD559E">
            <w:pPr>
              <w:pStyle w:val="TAH"/>
              <w:rPr>
                <w:lang w:val="en-GB"/>
              </w:rPr>
            </w:pPr>
          </w:p>
        </w:tc>
        <w:tc>
          <w:tcPr>
            <w:tcW w:w="1601" w:type="dxa"/>
            <w:tcBorders>
              <w:top w:val="single" w:sz="12" w:space="0" w:color="auto"/>
              <w:left w:val="single" w:sz="12" w:space="0" w:color="auto"/>
              <w:bottom w:val="single" w:sz="12" w:space="0" w:color="auto"/>
              <w:right w:val="single" w:sz="12" w:space="0" w:color="auto"/>
            </w:tcBorders>
          </w:tcPr>
          <w:p w14:paraId="3CD25232"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BA8169D" w14:textId="77777777" w:rsidR="00FD559E" w:rsidRPr="009E0DE1" w:rsidRDefault="00FD559E" w:rsidP="00FD559E">
            <w:pPr>
              <w:pStyle w:val="TAH"/>
              <w:rPr>
                <w:lang w:val="en-GB"/>
              </w:rPr>
            </w:pPr>
            <w:r w:rsidRPr="009E0DE1">
              <w:rPr>
                <w:lang w:val="en-GB"/>
              </w:rPr>
              <w:t>Intelligent Transport Systems</w:t>
            </w:r>
          </w:p>
        </w:tc>
      </w:tr>
      <w:tr w:rsidR="00FD559E" w:rsidRPr="009E0DE1" w14:paraId="6EB522E8" w14:textId="77777777" w:rsidTr="00FD559E">
        <w:tc>
          <w:tcPr>
            <w:tcW w:w="982" w:type="dxa"/>
            <w:tcBorders>
              <w:top w:val="single" w:sz="12" w:space="0" w:color="auto"/>
              <w:left w:val="single" w:sz="12" w:space="0" w:color="auto"/>
              <w:bottom w:val="single" w:sz="12" w:space="0" w:color="auto"/>
              <w:right w:val="single" w:sz="12" w:space="0" w:color="auto"/>
            </w:tcBorders>
          </w:tcPr>
          <w:p w14:paraId="67E21D6D" w14:textId="77777777" w:rsidR="00FD559E" w:rsidRPr="009E0DE1" w:rsidRDefault="00FD559E" w:rsidP="00FD559E">
            <w:pPr>
              <w:pStyle w:val="TAH"/>
              <w:rPr>
                <w:lang w:val="en-GB"/>
              </w:rPr>
            </w:pPr>
            <w:r w:rsidRPr="009E0DE1">
              <w:rPr>
                <w:lang w:val="en-GB"/>
              </w:rPr>
              <w:t>84</w:t>
            </w:r>
          </w:p>
        </w:tc>
        <w:tc>
          <w:tcPr>
            <w:tcW w:w="1058" w:type="dxa"/>
            <w:tcBorders>
              <w:top w:val="single" w:sz="12" w:space="0" w:color="auto"/>
              <w:left w:val="single" w:sz="12" w:space="0" w:color="auto"/>
              <w:bottom w:val="single" w:sz="12" w:space="0" w:color="auto"/>
              <w:right w:val="single" w:sz="12" w:space="0" w:color="auto"/>
            </w:tcBorders>
          </w:tcPr>
          <w:p w14:paraId="688FCE8A"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FF36C35" w14:textId="77777777" w:rsidR="00FD559E" w:rsidRPr="009E0DE1" w:rsidRDefault="00FD559E" w:rsidP="00FD559E">
            <w:pPr>
              <w:pStyle w:val="TAH"/>
              <w:rPr>
                <w:lang w:val="en-GB"/>
              </w:rPr>
            </w:pPr>
            <w:r w:rsidRPr="009E0DE1">
              <w:rPr>
                <w:lang w:val="en-GB"/>
              </w:rPr>
              <w:t>19</w:t>
            </w:r>
          </w:p>
        </w:tc>
        <w:tc>
          <w:tcPr>
            <w:tcW w:w="872" w:type="dxa"/>
            <w:tcBorders>
              <w:top w:val="single" w:sz="12" w:space="0" w:color="auto"/>
              <w:left w:val="single" w:sz="12" w:space="0" w:color="auto"/>
              <w:bottom w:val="single" w:sz="12" w:space="0" w:color="auto"/>
              <w:right w:val="single" w:sz="12" w:space="0" w:color="auto"/>
            </w:tcBorders>
          </w:tcPr>
          <w:p w14:paraId="688B128E"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3A53C19B"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3A371FFD" w14:textId="77777777" w:rsidR="00FD559E" w:rsidRPr="009E0DE1" w:rsidRDefault="00FD559E" w:rsidP="00FD559E">
            <w:pPr>
              <w:pStyle w:val="TAH"/>
              <w:rPr>
                <w:lang w:val="en-GB"/>
              </w:rPr>
            </w:pPr>
            <w:r w:rsidRPr="009E0DE1">
              <w:rPr>
                <w:lang w:val="en-GB"/>
              </w:rPr>
              <w:t>255 B</w:t>
            </w:r>
          </w:p>
        </w:tc>
        <w:tc>
          <w:tcPr>
            <w:tcW w:w="1601" w:type="dxa"/>
            <w:tcBorders>
              <w:top w:val="single" w:sz="12" w:space="0" w:color="auto"/>
              <w:left w:val="single" w:sz="12" w:space="0" w:color="auto"/>
              <w:bottom w:val="single" w:sz="12" w:space="0" w:color="auto"/>
              <w:right w:val="single" w:sz="12" w:space="0" w:color="auto"/>
            </w:tcBorders>
          </w:tcPr>
          <w:p w14:paraId="6FD30E17"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0ED078C0" w14:textId="77777777" w:rsidR="00FD559E" w:rsidRPr="009E0DE1" w:rsidRDefault="00FD559E" w:rsidP="00FD559E">
            <w:pPr>
              <w:pStyle w:val="TAH"/>
              <w:rPr>
                <w:lang w:val="en-GB"/>
              </w:rPr>
            </w:pPr>
            <w:r w:rsidRPr="009E0DE1">
              <w:rPr>
                <w:lang w:val="en-GB"/>
              </w:rPr>
              <w:t>Discrete Automation</w:t>
            </w:r>
          </w:p>
        </w:tc>
      </w:tr>
      <w:tr w:rsidR="00FD559E" w:rsidRPr="009E0DE1" w14:paraId="28C4228B" w14:textId="77777777" w:rsidTr="00FD559E">
        <w:tc>
          <w:tcPr>
            <w:tcW w:w="982" w:type="dxa"/>
            <w:tcBorders>
              <w:top w:val="single" w:sz="12" w:space="0" w:color="auto"/>
              <w:left w:val="single" w:sz="12" w:space="0" w:color="auto"/>
              <w:bottom w:val="single" w:sz="12" w:space="0" w:color="auto"/>
              <w:right w:val="single" w:sz="12" w:space="0" w:color="auto"/>
            </w:tcBorders>
          </w:tcPr>
          <w:p w14:paraId="36091139" w14:textId="77777777" w:rsidR="00FD559E" w:rsidRPr="009E0DE1" w:rsidRDefault="00FD559E" w:rsidP="00FD559E">
            <w:pPr>
              <w:pStyle w:val="TAH"/>
              <w:rPr>
                <w:lang w:val="en-GB"/>
              </w:rPr>
            </w:pPr>
            <w:r w:rsidRPr="009E0DE1">
              <w:rPr>
                <w:lang w:val="en-GB"/>
              </w:rPr>
              <w:t>85</w:t>
            </w:r>
          </w:p>
        </w:tc>
        <w:tc>
          <w:tcPr>
            <w:tcW w:w="1058" w:type="dxa"/>
            <w:tcBorders>
              <w:top w:val="single" w:sz="12" w:space="0" w:color="auto"/>
              <w:left w:val="single" w:sz="12" w:space="0" w:color="auto"/>
              <w:bottom w:val="single" w:sz="12" w:space="0" w:color="auto"/>
              <w:right w:val="single" w:sz="12" w:space="0" w:color="auto"/>
            </w:tcBorders>
          </w:tcPr>
          <w:p w14:paraId="14E683C3"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A599153" w14:textId="77777777" w:rsidR="00FD559E" w:rsidRPr="009E0DE1" w:rsidRDefault="00FD559E" w:rsidP="00FD559E">
            <w:pPr>
              <w:pStyle w:val="TAH"/>
              <w:rPr>
                <w:lang w:val="en-GB"/>
              </w:rPr>
            </w:pPr>
            <w:r w:rsidRPr="009E0DE1">
              <w:rPr>
                <w:lang w:val="en-GB"/>
              </w:rPr>
              <w:t>22</w:t>
            </w:r>
          </w:p>
        </w:tc>
        <w:tc>
          <w:tcPr>
            <w:tcW w:w="872" w:type="dxa"/>
            <w:tcBorders>
              <w:top w:val="single" w:sz="12" w:space="0" w:color="auto"/>
              <w:left w:val="single" w:sz="12" w:space="0" w:color="auto"/>
              <w:bottom w:val="single" w:sz="12" w:space="0" w:color="auto"/>
              <w:right w:val="single" w:sz="12" w:space="0" w:color="auto"/>
            </w:tcBorders>
          </w:tcPr>
          <w:p w14:paraId="092913EB"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07EDCE07"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4905AA19" w14:textId="77777777" w:rsidR="00FD559E" w:rsidRPr="009E0DE1" w:rsidRDefault="00FD559E" w:rsidP="00FD559E">
            <w:pPr>
              <w:pStyle w:val="TAH"/>
              <w:rPr>
                <w:lang w:val="en-GB"/>
              </w:rPr>
            </w:pPr>
            <w:r w:rsidRPr="009E0DE1">
              <w:rPr>
                <w:lang w:val="en-GB"/>
              </w:rPr>
              <w:t>1358 B</w:t>
            </w:r>
          </w:p>
          <w:p w14:paraId="795B6CD3" w14:textId="77777777" w:rsidR="00FD559E" w:rsidRPr="009E0DE1" w:rsidRDefault="00FD559E" w:rsidP="00FD559E">
            <w:pPr>
              <w:pStyle w:val="TAH"/>
              <w:rPr>
                <w:lang w:val="en-GB"/>
              </w:rPr>
            </w:pPr>
            <w:r w:rsidRPr="009E0DE1">
              <w:rPr>
                <w:lang w:val="en-GB"/>
              </w:rPr>
              <w:t>NOTE 3</w:t>
            </w:r>
          </w:p>
        </w:tc>
        <w:tc>
          <w:tcPr>
            <w:tcW w:w="1601" w:type="dxa"/>
            <w:tcBorders>
              <w:top w:val="single" w:sz="12" w:space="0" w:color="auto"/>
              <w:left w:val="single" w:sz="12" w:space="0" w:color="auto"/>
              <w:bottom w:val="single" w:sz="12" w:space="0" w:color="auto"/>
              <w:right w:val="single" w:sz="12" w:space="0" w:color="auto"/>
            </w:tcBorders>
          </w:tcPr>
          <w:p w14:paraId="436AE27F"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680081C" w14:textId="77777777" w:rsidR="00FD559E" w:rsidRPr="009E0DE1" w:rsidRDefault="00FD559E" w:rsidP="00FD559E">
            <w:pPr>
              <w:pStyle w:val="TAH"/>
              <w:rPr>
                <w:lang w:val="en-GB"/>
              </w:rPr>
            </w:pPr>
            <w:r w:rsidRPr="009E0DE1">
              <w:rPr>
                <w:lang w:val="en-GB"/>
              </w:rPr>
              <w:t>Discrete Automation</w:t>
            </w:r>
          </w:p>
        </w:tc>
      </w:tr>
    </w:tbl>
    <w:p w14:paraId="655870B5" w14:textId="076DF874" w:rsidR="00FD559E" w:rsidRDefault="00FD559E" w:rsidP="00384962">
      <w:pPr>
        <w:rPr>
          <w:lang w:val="en-US"/>
        </w:rPr>
      </w:pPr>
    </w:p>
    <w:p w14:paraId="690FDACF" w14:textId="40B3E12F" w:rsidR="00FD559E" w:rsidRDefault="00FD559E" w:rsidP="00384962">
      <w:pPr>
        <w:rPr>
          <w:lang w:val="en-US"/>
        </w:rPr>
      </w:pPr>
      <w:r>
        <w:rPr>
          <w:lang w:val="en-US"/>
        </w:rPr>
        <w:t xml:space="preserve">As highlighted in the table, the Augmented Reality type of services </w:t>
      </w:r>
      <w:r w:rsidR="003018E9">
        <w:rPr>
          <w:lang w:val="en-US"/>
        </w:rPr>
        <w:t>and other I</w:t>
      </w:r>
      <w:r w:rsidR="00363763">
        <w:rPr>
          <w:lang w:val="en-US"/>
        </w:rPr>
        <w:t xml:space="preserve">ndustrial </w:t>
      </w:r>
      <w:r w:rsidR="003018E9">
        <w:rPr>
          <w:lang w:val="en-US"/>
        </w:rPr>
        <w:t xml:space="preserve">IOT services </w:t>
      </w:r>
      <w:r>
        <w:rPr>
          <w:lang w:val="en-US"/>
        </w:rPr>
        <w:t>have a low latency and a high reliability requirement.</w:t>
      </w:r>
    </w:p>
    <w:p w14:paraId="3EBC0176" w14:textId="76B77C7C" w:rsidR="00FD559E" w:rsidRDefault="00FD559E" w:rsidP="00FD559E">
      <w:pPr>
        <w:pStyle w:val="Caption"/>
        <w:rPr>
          <w:b/>
          <w:i w:val="0"/>
          <w:color w:val="auto"/>
          <w:sz w:val="20"/>
          <w:szCs w:val="20"/>
        </w:rPr>
      </w:pPr>
      <w:bookmarkStart w:id="2" w:name="_Ref535328378"/>
      <w:bookmarkStart w:id="3" w:name="_Ref535492997"/>
      <w:r w:rsidRPr="00FD559E">
        <w:rPr>
          <w:b/>
          <w:i w:val="0"/>
          <w:color w:val="auto"/>
          <w:sz w:val="20"/>
          <w:szCs w:val="20"/>
        </w:rPr>
        <w:lastRenderedPageBreak/>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NR Rel.15 standardized 5QI to QoS characteristics mapping table has examples of services</w:t>
      </w:r>
      <w:r w:rsidR="00A4168B">
        <w:rPr>
          <w:b/>
          <w:i w:val="0"/>
          <w:color w:val="auto"/>
          <w:sz w:val="20"/>
          <w:szCs w:val="20"/>
        </w:rPr>
        <w:t xml:space="preserve"> (e.g. 5QI value – 80, Augmented Reality)</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2"/>
      <w:r w:rsidR="00A4168B">
        <w:rPr>
          <w:b/>
          <w:i w:val="0"/>
          <w:color w:val="auto"/>
          <w:sz w:val="20"/>
          <w:szCs w:val="20"/>
        </w:rPr>
        <w:t>.</w:t>
      </w:r>
      <w:bookmarkEnd w:id="3"/>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4" w:name="_Ref535328383"/>
      <w:bookmarkStart w:id="5"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4"/>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5"/>
    </w:p>
    <w:p w14:paraId="4040A5C4" w14:textId="2448774B" w:rsidR="003018E9" w:rsidRDefault="003564D5" w:rsidP="00FD559E">
      <w:r>
        <w:t>In Rel.15</w:t>
      </w:r>
      <w:r w:rsidR="003018E9">
        <w:t xml:space="preserve"> NR,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1C3687">
        <w:t>[3]</w:t>
      </w:r>
      <w:r w:rsidR="00E87BB8">
        <w:t xml:space="preserve"> for PDCP SN handling</w:t>
      </w:r>
      <w:r w:rsidR="0022646E">
        <w:t>.</w:t>
      </w:r>
    </w:p>
    <w:p w14:paraId="6D401C8A" w14:textId="77777777" w:rsidR="0022646E" w:rsidRPr="000365ED" w:rsidRDefault="0022646E" w:rsidP="0022646E">
      <w:pPr>
        <w:ind w:left="568"/>
        <w:rPr>
          <w:b/>
        </w:rPr>
      </w:pPr>
      <w:r w:rsidRPr="000365ED">
        <w:rPr>
          <w:b/>
        </w:rPr>
        <w:t>For RLC-AM bearers</w:t>
      </w:r>
      <w:r w:rsidRPr="000365ED">
        <w:t>:</w:t>
      </w:r>
    </w:p>
    <w:p w14:paraId="4F93DCB2" w14:textId="77777777" w:rsidR="0022646E" w:rsidRPr="000365ED" w:rsidRDefault="0022646E" w:rsidP="0022646E">
      <w:pPr>
        <w:pStyle w:val="B1"/>
        <w:ind w:left="1136"/>
      </w:pPr>
      <w:r w:rsidRPr="000365ED">
        <w:t>-</w:t>
      </w:r>
      <w:r w:rsidRPr="000365ED">
        <w:tab/>
      </w:r>
      <w:r w:rsidRPr="00483A26">
        <w:rPr>
          <w:highlight w:val="yellow"/>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768672F3" w14:textId="77777777" w:rsidR="0022646E" w:rsidRPr="000365ED" w:rsidRDefault="0022646E" w:rsidP="0022646E">
      <w:pPr>
        <w:pStyle w:val="B1"/>
        <w:ind w:left="1136"/>
      </w:pPr>
      <w:r w:rsidRPr="000365ED">
        <w:t>-</w:t>
      </w:r>
      <w:r w:rsidRPr="000365ED">
        <w:tab/>
        <w:t>For security synchronisation, HFN is also maintained and the source gNB provides to the target one reference HFN for the UL and one for the DL i.e. HFN and corresponding SN.</w:t>
      </w:r>
    </w:p>
    <w:p w14:paraId="1EF4CFC3" w14:textId="44A8FCBB" w:rsidR="0022646E" w:rsidRDefault="0022646E" w:rsidP="0022646E">
      <w:pPr>
        <w:pStyle w:val="B1"/>
        <w:ind w:left="1136"/>
      </w:pPr>
      <w:r w:rsidRPr="000365ED">
        <w:t>-</w:t>
      </w:r>
      <w:r w:rsidRPr="000365ED">
        <w:tab/>
        <w:t>In both the UE and the target gNB, a window-based mechanism is used for duplication detection and reordering.</w:t>
      </w:r>
    </w:p>
    <w:p w14:paraId="383943B7" w14:textId="77777777" w:rsidR="0022646E" w:rsidRPr="000365ED" w:rsidRDefault="0022646E" w:rsidP="0022646E">
      <w:pPr>
        <w:ind w:left="568"/>
      </w:pPr>
      <w:r w:rsidRPr="000365ED">
        <w:rPr>
          <w:b/>
        </w:rPr>
        <w:t>For RLC-UM bearers</w:t>
      </w:r>
      <w:r w:rsidRPr="000365ED">
        <w:t>:</w:t>
      </w:r>
    </w:p>
    <w:p w14:paraId="07E7995A" w14:textId="77777777" w:rsidR="0022646E" w:rsidRPr="000365ED" w:rsidRDefault="0022646E" w:rsidP="0022646E">
      <w:pPr>
        <w:pStyle w:val="B1"/>
        <w:ind w:left="1136"/>
      </w:pPr>
      <w:r w:rsidRPr="000365ED">
        <w:t>-</w:t>
      </w:r>
      <w:r w:rsidRPr="000365ED">
        <w:tab/>
      </w:r>
      <w:r w:rsidRPr="0022646E">
        <w:rPr>
          <w:highlight w:val="yellow"/>
        </w:rPr>
        <w:t>The PDCP SN and HFN are reset in the target gNB;</w:t>
      </w:r>
    </w:p>
    <w:p w14:paraId="5AF2CB50" w14:textId="77777777" w:rsidR="0022646E" w:rsidRPr="000365ED" w:rsidRDefault="0022646E" w:rsidP="0022646E">
      <w:pPr>
        <w:pStyle w:val="B1"/>
        <w:ind w:left="1136"/>
      </w:pPr>
      <w:r w:rsidRPr="000365ED">
        <w:t>-</w:t>
      </w:r>
      <w:r w:rsidRPr="000365ED">
        <w:tab/>
        <w:t>No PDCP SDUs are retransmitted in the target gNB;</w:t>
      </w:r>
    </w:p>
    <w:p w14:paraId="30BB149A" w14:textId="1B2A911C" w:rsidR="00F34D37" w:rsidRDefault="0022646E" w:rsidP="00F34D37">
      <w:pPr>
        <w:pStyle w:val="B1"/>
        <w:ind w:left="1136"/>
      </w:pPr>
      <w:r w:rsidRPr="000365ED">
        <w:t>-</w:t>
      </w:r>
      <w:r w:rsidRPr="000365ED">
        <w:tab/>
        <w:t>The target gNB prioritises all downlink SDAP SDUs forwarded by the source gNB over the data from the core network;</w:t>
      </w:r>
    </w:p>
    <w:p w14:paraId="3CE1A521" w14:textId="3799E834" w:rsidR="009710D9" w:rsidRDefault="00E11C27" w:rsidP="009710D9">
      <w:pPr>
        <w:pStyle w:val="Caption"/>
        <w:rPr>
          <w:b/>
          <w:i w:val="0"/>
          <w:color w:val="auto"/>
          <w:sz w:val="20"/>
          <w:szCs w:val="20"/>
        </w:rPr>
      </w:pPr>
      <w:bookmarkStart w:id="6" w:name="_Ref535334979"/>
      <w:bookmarkStart w:id="7" w:name="_Ref535335377"/>
      <w:bookmarkStart w:id="8"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gNB for RLC-UM bearers during a</w:t>
      </w:r>
      <w:r w:rsidR="00A4168B">
        <w:rPr>
          <w:b/>
          <w:i w:val="0"/>
          <w:color w:val="auto"/>
          <w:sz w:val="20"/>
          <w:szCs w:val="20"/>
        </w:rPr>
        <w:t xml:space="preserve">n NR </w:t>
      </w:r>
      <w:r>
        <w:rPr>
          <w:b/>
          <w:i w:val="0"/>
          <w:color w:val="auto"/>
          <w:sz w:val="20"/>
          <w:szCs w:val="20"/>
        </w:rPr>
        <w:t>Rel.15 H</w:t>
      </w:r>
      <w:bookmarkEnd w:id="6"/>
      <w:r w:rsidR="009710D9">
        <w:rPr>
          <w:b/>
          <w:i w:val="0"/>
          <w:color w:val="auto"/>
          <w:sz w:val="20"/>
          <w:szCs w:val="20"/>
        </w:rPr>
        <w:t>O</w:t>
      </w:r>
      <w:bookmarkEnd w:id="7"/>
      <w:r w:rsidR="00A4168B">
        <w:rPr>
          <w:b/>
          <w:i w:val="0"/>
          <w:color w:val="auto"/>
          <w:sz w:val="20"/>
          <w:szCs w:val="20"/>
        </w:rPr>
        <w:t>.</w:t>
      </w:r>
      <w:bookmarkEnd w:id="8"/>
    </w:p>
    <w:p w14:paraId="344D1586" w14:textId="0A4E05F3" w:rsidR="00E11C27" w:rsidRDefault="00483A26" w:rsidP="00FD559E">
      <w:r>
        <w:t xml:space="preserve">As highlighted above, Rel.15 assumes that PDCP SN continuity is only essential for RLC AM. However, </w:t>
      </w:r>
      <w:r w:rsidR="00F34D37">
        <w:t xml:space="preserve">as we discussed in </w:t>
      </w:r>
      <w:r w:rsidR="001C3687">
        <w:t>[4]</w:t>
      </w:r>
      <w:r w:rsidR="00F34D37">
        <w:t xml:space="preserve">, UE can receive DL data simultaneously on both source connection and target connection during an MBB HO. Also, UE does not reset the PDCP entity and maintains a common PDCP entity to support reordering/duplicate discard function at the PDCP layer for both RLC AM and RLC UM DRBs during an MBB HO. </w:t>
      </w:r>
    </w:p>
    <w:p w14:paraId="345CF56D" w14:textId="309C0512"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MBB HO</w:t>
      </w:r>
      <w:r>
        <w:t xml:space="preserve">, the target gNB should not reset the PDCP SN for RLC-UM bearers. Instead, the source gNB and target gNB should support PDCP SN continuity </w:t>
      </w:r>
      <w:r w:rsidR="00E11C27">
        <w:t xml:space="preserve">for the RLC-UM bearers during MBB HO to avoid packet </w:t>
      </w:r>
      <w:r w:rsidR="003428ED">
        <w:t>losses due</w:t>
      </w:r>
      <w:r w:rsidR="00E11C27">
        <w:t xml:space="preserve"> to PDCP SN reset. </w:t>
      </w:r>
    </w:p>
    <w:p w14:paraId="1A94EEA9" w14:textId="3C829200" w:rsidR="00682FE0" w:rsidRPr="00682FE0" w:rsidRDefault="00682FE0" w:rsidP="00682FE0">
      <w:pPr>
        <w:pStyle w:val="Caption"/>
        <w:rPr>
          <w:b/>
          <w:i w:val="0"/>
          <w:color w:val="auto"/>
          <w:sz w:val="20"/>
          <w:szCs w:val="20"/>
        </w:rPr>
      </w:pPr>
      <w:bookmarkStart w:id="9"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Inter-CU MBB HO without any PDCP reestablishment, we are proposing that UE supports a common PDCP entity to handle the source cell and target cell RLC AM/RLC UM bearers during MBB HO.</w:t>
      </w:r>
      <w:bookmarkEnd w:id="9"/>
      <w:r w:rsidRPr="00682FE0">
        <w:rPr>
          <w:b/>
          <w:i w:val="0"/>
          <w:color w:val="auto"/>
          <w:sz w:val="20"/>
          <w:szCs w:val="20"/>
        </w:rPr>
        <w:t xml:space="preserve">  </w:t>
      </w:r>
    </w:p>
    <w:p w14:paraId="04084BD9" w14:textId="277D461A" w:rsidR="00682FE0" w:rsidRPr="00B971F7" w:rsidRDefault="00B971F7" w:rsidP="00B971F7">
      <w:pPr>
        <w:pStyle w:val="Caption"/>
        <w:rPr>
          <w:b/>
          <w:i w:val="0"/>
          <w:color w:val="auto"/>
          <w:sz w:val="20"/>
          <w:szCs w:val="20"/>
        </w:rPr>
      </w:pPr>
      <w:bookmarkStart w:id="10"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bookmarkEnd w:id="10"/>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1"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1"/>
    </w:p>
    <w:p w14:paraId="55C205B4" w14:textId="630DE454" w:rsidR="00E11C27" w:rsidRPr="003428ED" w:rsidRDefault="00E11C27" w:rsidP="00E11C27">
      <w:pPr>
        <w:pStyle w:val="Caption"/>
        <w:rPr>
          <w:b/>
          <w:i w:val="0"/>
          <w:color w:val="auto"/>
          <w:sz w:val="20"/>
          <w:szCs w:val="20"/>
        </w:rPr>
      </w:pPr>
      <w:bookmarkStart w:id="12" w:name="_Ref535334985"/>
      <w:bookmarkStart w:id="13"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an MBB HO</w:t>
      </w:r>
      <w:bookmarkEnd w:id="12"/>
      <w:r w:rsidR="00A4168B">
        <w:rPr>
          <w:b/>
          <w:i w:val="0"/>
          <w:color w:val="auto"/>
          <w:sz w:val="20"/>
          <w:szCs w:val="20"/>
        </w:rPr>
        <w:t>.</w:t>
      </w:r>
      <w:bookmarkEnd w:id="13"/>
      <w:r w:rsidR="003428ED" w:rsidRPr="003428ED">
        <w:rPr>
          <w:b/>
          <w:i w:val="0"/>
          <w:color w:val="auto"/>
          <w:sz w:val="20"/>
          <w:szCs w:val="20"/>
        </w:rPr>
        <w:t xml:space="preserve"> </w:t>
      </w:r>
    </w:p>
    <w:p w14:paraId="606DC9A2" w14:textId="77777777" w:rsidR="00384962" w:rsidRDefault="00384962" w:rsidP="00384962">
      <w:pPr>
        <w:pStyle w:val="Heading1"/>
      </w:pPr>
      <w:r>
        <w:lastRenderedPageBreak/>
        <w:t>3. Conclusion</w:t>
      </w:r>
    </w:p>
    <w:p w14:paraId="6EDD448F" w14:textId="4165AA4C" w:rsidR="00384962" w:rsidRDefault="00384962" w:rsidP="00384962">
      <w:pPr>
        <w:spacing w:before="120" w:after="0"/>
      </w:pPr>
      <w:bookmarkStart w:id="14" w:name="_Hlk512894710"/>
      <w:r>
        <w:t>Based on the above discussions, we recommend RAN2 discusses the following observations and proposals:</w:t>
      </w:r>
      <w:bookmarkEnd w:id="14"/>
    </w:p>
    <w:p w14:paraId="61AAFA8D" w14:textId="16AC7625" w:rsidR="003428ED" w:rsidRDefault="00A4168B" w:rsidP="00384962">
      <w:pPr>
        <w:spacing w:before="120" w:after="0"/>
      </w:pPr>
      <w:r>
        <w:fldChar w:fldCharType="begin"/>
      </w:r>
      <w:r>
        <w:instrText xml:space="preserve"> REF _Ref535492997 \h </w:instrText>
      </w:r>
      <w:r w:rsidR="001C3687">
        <w:instrText xml:space="preserve"> \* MERGEFORMAT </w:instrText>
      </w:r>
      <w:r>
        <w:fldChar w:fldCharType="separate"/>
      </w:r>
      <w:r w:rsidR="005A7152" w:rsidRPr="00FD559E">
        <w:rPr>
          <w:b/>
        </w:rPr>
        <w:t xml:space="preserve">Observation </w:t>
      </w:r>
      <w:r w:rsidR="005A7152" w:rsidRPr="000E372E">
        <w:rPr>
          <w:b/>
          <w:noProof/>
        </w:rPr>
        <w:t>1</w:t>
      </w:r>
      <w:r w:rsidR="005A7152" w:rsidRPr="00FD559E">
        <w:rPr>
          <w:b/>
        </w:rPr>
        <w:t>. NR Rel.15 standardized 5QI to QoS characteristics mapping table has examples of services</w:t>
      </w:r>
      <w:r w:rsidR="005A7152">
        <w:rPr>
          <w:b/>
        </w:rPr>
        <w:t xml:space="preserve"> (e.g. 5QI value – 80, Augmented Reality)</w:t>
      </w:r>
      <w:r w:rsidR="005A7152" w:rsidRPr="00FD559E">
        <w:rPr>
          <w:b/>
        </w:rPr>
        <w:t xml:space="preserve"> </w:t>
      </w:r>
      <w:r w:rsidR="005A7152">
        <w:rPr>
          <w:b/>
        </w:rPr>
        <w:t>that need</w:t>
      </w:r>
      <w:r w:rsidR="005A7152" w:rsidRPr="00FD559E">
        <w:rPr>
          <w:b/>
        </w:rPr>
        <w:t xml:space="preserve"> low latency and high reliability</w:t>
      </w:r>
      <w:r w:rsidR="005A7152">
        <w:rPr>
          <w:b/>
        </w:rPr>
        <w:t>.</w:t>
      </w:r>
      <w:r>
        <w:fldChar w:fldCharType="end"/>
      </w:r>
    </w:p>
    <w:p w14:paraId="0E5F1A89" w14:textId="749B92D7" w:rsidR="00A4168B" w:rsidRPr="005A7152" w:rsidRDefault="00A4168B" w:rsidP="00384962">
      <w:pPr>
        <w:spacing w:before="120" w:after="0"/>
      </w:pPr>
      <w:r w:rsidRPr="005A7152">
        <w:fldChar w:fldCharType="begin"/>
      </w:r>
      <w:r w:rsidRPr="005A7152">
        <w:instrText xml:space="preserve"> REF _Ref535493001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2</w:t>
      </w:r>
      <w:r w:rsidR="005A7152" w:rsidRPr="005A7152">
        <w:rPr>
          <w:b/>
        </w:rPr>
        <w:t>. Low latency and high reliability services should use RLC UM for the associated DRBs due to small PDB not allowing the RLC AM retransmission latencies.</w:t>
      </w:r>
      <w:r w:rsidRPr="005A7152">
        <w:fldChar w:fldCharType="end"/>
      </w:r>
    </w:p>
    <w:p w14:paraId="57863908" w14:textId="56989384" w:rsidR="00A4168B" w:rsidRDefault="00A4168B" w:rsidP="00384962">
      <w:pPr>
        <w:spacing w:before="120" w:after="0"/>
      </w:pPr>
      <w:r w:rsidRPr="005A7152">
        <w:fldChar w:fldCharType="begin"/>
      </w:r>
      <w:r w:rsidRPr="005A7152">
        <w:instrText xml:space="preserve"> REF _Ref535493005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3</w:t>
      </w:r>
      <w:r w:rsidR="005A7152" w:rsidRPr="005A7152">
        <w:rPr>
          <w:b/>
        </w:rPr>
        <w:t>. PDCP SN and HFN are reset in the target gNB for RLC-UM bearers during an NR Rel.15 HO.</w:t>
      </w:r>
      <w:r w:rsidRPr="005A7152">
        <w:fldChar w:fldCharType="end"/>
      </w:r>
    </w:p>
    <w:p w14:paraId="36600CFD" w14:textId="7B4C71D2" w:rsidR="00B971F7" w:rsidRPr="00B971F7" w:rsidRDefault="00B971F7" w:rsidP="00384962">
      <w:pPr>
        <w:spacing w:before="120" w:after="0"/>
        <w:rPr>
          <w:b/>
        </w:rPr>
      </w:pPr>
      <w:r w:rsidRPr="00B971F7">
        <w:rPr>
          <w:b/>
        </w:rPr>
        <w:fldChar w:fldCharType="begin"/>
      </w:r>
      <w:r w:rsidRPr="00B971F7">
        <w:rPr>
          <w:b/>
        </w:rPr>
        <w:instrText xml:space="preserve"> REF _Ref536803019 \h </w:instrText>
      </w:r>
      <w:r>
        <w:rPr>
          <w:b/>
        </w:rPr>
        <w:instrText xml:space="preserve"> \* MERGEFORMAT </w:instrText>
      </w:r>
      <w:r w:rsidRPr="00B971F7">
        <w:rPr>
          <w:b/>
        </w:rPr>
      </w:r>
      <w:r w:rsidRPr="00B971F7">
        <w:rPr>
          <w:b/>
        </w:rPr>
        <w:fldChar w:fldCharType="separate"/>
      </w:r>
      <w:r w:rsidRPr="00B971F7">
        <w:rPr>
          <w:b/>
        </w:rPr>
        <w:t>Observation 4. To handle the security key change during Inter-CU MBB HO without any PDCP reestablishment, we are proposing that UE supports a common PDCP entity to handle the source cell and target cell RLC AM/RLC UM bearers during MBB HO.</w:t>
      </w:r>
      <w:r w:rsidRPr="00B971F7">
        <w:rPr>
          <w:b/>
        </w:rPr>
        <w:fldChar w:fldCharType="end"/>
      </w:r>
    </w:p>
    <w:p w14:paraId="5DD2ADD8" w14:textId="3EB77070" w:rsidR="00B971F7" w:rsidRPr="00B971F7" w:rsidRDefault="00B971F7" w:rsidP="00384962">
      <w:pPr>
        <w:spacing w:before="120" w:after="0"/>
        <w:rPr>
          <w:b/>
        </w:rPr>
      </w:pPr>
      <w:r w:rsidRPr="00B971F7">
        <w:rPr>
          <w:b/>
        </w:rPr>
        <w:fldChar w:fldCharType="begin"/>
      </w:r>
      <w:r w:rsidRPr="00B971F7">
        <w:rPr>
          <w:b/>
        </w:rPr>
        <w:instrText xml:space="preserve"> REF _Ref536803020 \h </w:instrText>
      </w:r>
      <w:r>
        <w:rPr>
          <w:b/>
        </w:rPr>
        <w:instrText xml:space="preserve"> \* MERGEFORMAT </w:instrText>
      </w:r>
      <w:r w:rsidRPr="00B971F7">
        <w:rPr>
          <w:b/>
        </w:rPr>
      </w:r>
      <w:r w:rsidRPr="00B971F7">
        <w:rPr>
          <w:b/>
        </w:rPr>
        <w:fldChar w:fldCharType="separate"/>
      </w:r>
      <w:r w:rsidRPr="00B971F7">
        <w:rPr>
          <w:b/>
        </w:rPr>
        <w:t>Observation 5. 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r w:rsidRPr="00B971F7">
        <w:rPr>
          <w:b/>
        </w:rPr>
        <w:fldChar w:fldCharType="end"/>
      </w:r>
    </w:p>
    <w:p w14:paraId="445E8F01" w14:textId="1E6148F0" w:rsidR="00B971F7" w:rsidRPr="00B971F7" w:rsidRDefault="00B971F7" w:rsidP="00384962">
      <w:pPr>
        <w:spacing w:before="120" w:after="0"/>
        <w:rPr>
          <w:b/>
        </w:rPr>
      </w:pPr>
      <w:r w:rsidRPr="00B971F7">
        <w:rPr>
          <w:b/>
        </w:rPr>
        <w:fldChar w:fldCharType="begin"/>
      </w:r>
      <w:r w:rsidRPr="00B971F7">
        <w:rPr>
          <w:b/>
        </w:rPr>
        <w:instrText xml:space="preserve"> REF _Ref536803021 \h </w:instrText>
      </w:r>
      <w:r>
        <w:rPr>
          <w:b/>
        </w:rPr>
        <w:instrText xml:space="preserve"> \* MERGEFORMAT </w:instrText>
      </w:r>
      <w:r w:rsidRPr="00B971F7">
        <w:rPr>
          <w:b/>
        </w:rPr>
      </w:r>
      <w:r w:rsidRPr="00B971F7">
        <w:rPr>
          <w:b/>
        </w:rPr>
        <w:fldChar w:fldCharType="separate"/>
      </w:r>
      <w:r w:rsidRPr="00B971F7">
        <w:rPr>
          <w:b/>
        </w:rPr>
        <w:t>Observation 6. Packet loss for the RLC UM bearers during MBB HO is not suitable for the low latency and high reliability services.</w:t>
      </w:r>
      <w:r w:rsidRPr="00B971F7">
        <w:rPr>
          <w:b/>
        </w:rPr>
        <w:fldChar w:fldCharType="end"/>
      </w:r>
    </w:p>
    <w:p w14:paraId="389533C0" w14:textId="52E19EE7" w:rsidR="005A7152" w:rsidRPr="003428ED" w:rsidRDefault="00A4168B" w:rsidP="00384962">
      <w:pPr>
        <w:spacing w:before="120" w:after="0"/>
      </w:pPr>
      <w:r>
        <w:fldChar w:fldCharType="begin"/>
      </w:r>
      <w:r>
        <w:instrText xml:space="preserve"> REF _Ref535493019 \h </w:instrText>
      </w:r>
      <w:r>
        <w:fldChar w:fldCharType="separate"/>
      </w:r>
      <w:r w:rsidR="005A7152" w:rsidRPr="003428ED">
        <w:rPr>
          <w:b/>
        </w:rPr>
        <w:t xml:space="preserve">Proposal </w:t>
      </w:r>
      <w:r w:rsidR="005A7152" w:rsidRPr="003428ED">
        <w:rPr>
          <w:b/>
          <w:noProof/>
        </w:rPr>
        <w:t>1</w:t>
      </w:r>
      <w:r w:rsidR="005A7152" w:rsidRPr="003428ED">
        <w:rPr>
          <w:b/>
        </w:rPr>
        <w:t xml:space="preserve">. </w:t>
      </w:r>
      <w:r w:rsidR="005A7152">
        <w:rPr>
          <w:b/>
        </w:rPr>
        <w:t xml:space="preserve">Support </w:t>
      </w:r>
      <w:r w:rsidR="005A7152" w:rsidRPr="003428ED">
        <w:rPr>
          <w:b/>
        </w:rPr>
        <w:t>PDCP SN continuity for</w:t>
      </w:r>
      <w:r w:rsidR="005A7152">
        <w:rPr>
          <w:b/>
        </w:rPr>
        <w:t xml:space="preserve"> both RLC-AM and</w:t>
      </w:r>
      <w:r w:rsidR="005A7152" w:rsidRPr="003428ED">
        <w:rPr>
          <w:b/>
        </w:rPr>
        <w:t xml:space="preserve"> RLC-UM bearers during an MBB HO</w:t>
      </w:r>
      <w:r w:rsidR="005A7152">
        <w:rPr>
          <w:b/>
        </w:rPr>
        <w:t>.</w:t>
      </w:r>
      <w:r>
        <w:fldChar w:fldCharType="end"/>
      </w:r>
    </w:p>
    <w:p w14:paraId="608E3638" w14:textId="6E561A04" w:rsidR="00384962" w:rsidRDefault="001C3687" w:rsidP="00384962">
      <w:pPr>
        <w:pStyle w:val="Heading1"/>
      </w:pPr>
      <w:r>
        <w:t xml:space="preserve">4. </w:t>
      </w:r>
      <w:r w:rsidR="00384962">
        <w:t>References</w:t>
      </w:r>
    </w:p>
    <w:p w14:paraId="4AC2FA27" w14:textId="77777777"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978DB8A" w14:textId="7263B00C" w:rsidR="00412E17" w:rsidRDefault="00384962" w:rsidP="00364642">
      <w:pPr>
        <w:ind w:left="1350" w:hanging="1350"/>
        <w:rPr>
          <w:rFonts w:ascii="Arial" w:hAnsi="Arial" w:cs="Arial"/>
          <w:bCs/>
        </w:rPr>
      </w:pPr>
      <w:r>
        <w:rPr>
          <w:rFonts w:ascii="Arial" w:hAnsi="Arial" w:cs="Arial"/>
          <w:bCs/>
        </w:rPr>
        <w:t>[2]</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7565BD4F" w14:textId="53C41614" w:rsidR="003428ED" w:rsidRDefault="003428ED" w:rsidP="003428ED">
      <w:pPr>
        <w:ind w:left="1350" w:hanging="1350"/>
        <w:rPr>
          <w:rFonts w:ascii="Arial" w:hAnsi="Arial" w:cs="Arial"/>
          <w:bCs/>
        </w:rPr>
      </w:pPr>
      <w:r>
        <w:rPr>
          <w:rFonts w:ascii="Arial" w:hAnsi="Arial" w:cs="Arial"/>
          <w:bCs/>
        </w:rPr>
        <w:t xml:space="preserve">[3]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77777777" w:rsidR="001C3687" w:rsidRDefault="003428ED" w:rsidP="003428ED">
      <w:pPr>
        <w:ind w:left="1350" w:hanging="1350"/>
        <w:rPr>
          <w:rFonts w:ascii="Arial" w:hAnsi="Arial" w:cs="Arial"/>
          <w:bCs/>
        </w:rPr>
      </w:pPr>
      <w:r>
        <w:rPr>
          <w:rFonts w:ascii="Arial" w:hAnsi="Arial" w:cs="Arial"/>
          <w:bCs/>
        </w:rPr>
        <w:t xml:space="preserve">[4] </w:t>
      </w:r>
      <w:r w:rsidR="001C3687" w:rsidRPr="001C3687">
        <w:rPr>
          <w:rFonts w:ascii="Arial" w:hAnsi="Arial" w:cs="Arial"/>
          <w:bCs/>
        </w:rPr>
        <w:t>R2-1900360</w:t>
      </w:r>
      <w:r w:rsidR="001C3687">
        <w:rPr>
          <w:rFonts w:ascii="Arial" w:hAnsi="Arial" w:cs="Arial"/>
          <w:bCs/>
        </w:rPr>
        <w:t xml:space="preserve"> </w:t>
      </w:r>
      <w:r w:rsidR="001C3687" w:rsidRPr="001C3687">
        <w:rPr>
          <w:rFonts w:ascii="Arial" w:hAnsi="Arial" w:cs="Arial"/>
          <w:bCs/>
        </w:rPr>
        <w:t>User Plane changes to minimize the mobility interruption during Make-Before-Break</w:t>
      </w:r>
    </w:p>
    <w:p w14:paraId="248FEA10" w14:textId="6E46F0B3" w:rsidR="003428ED" w:rsidRPr="00384962" w:rsidRDefault="001C3687" w:rsidP="003428ED">
      <w:pPr>
        <w:ind w:left="1350" w:hanging="1350"/>
        <w:rPr>
          <w:rFonts w:ascii="Arial" w:hAnsi="Arial" w:cs="Arial"/>
          <w:bCs/>
        </w:rPr>
      </w:pPr>
      <w:r w:rsidRPr="001C3687">
        <w:rPr>
          <w:rFonts w:ascii="Arial" w:hAnsi="Arial" w:cs="Arial"/>
          <w:bCs/>
        </w:rPr>
        <w:t>(MBB) HO</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057B" w14:textId="77777777" w:rsidR="00872E7E" w:rsidRDefault="00EE5E0A">
      <w:pPr>
        <w:spacing w:after="0"/>
      </w:pPr>
      <w:r>
        <w:separator/>
      </w:r>
    </w:p>
  </w:endnote>
  <w:endnote w:type="continuationSeparator" w:id="0">
    <w:p w14:paraId="3CB0B697" w14:textId="77777777" w:rsidR="00872E7E" w:rsidRDefault="00EE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38FA" w14:textId="77777777" w:rsidR="00872E7E" w:rsidRDefault="00EE5E0A">
      <w:pPr>
        <w:spacing w:after="0"/>
      </w:pPr>
      <w:r>
        <w:separator/>
      </w:r>
    </w:p>
  </w:footnote>
  <w:footnote w:type="continuationSeparator" w:id="0">
    <w:p w14:paraId="31D45707" w14:textId="77777777" w:rsidR="00872E7E" w:rsidRDefault="00EE5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E372E"/>
    <w:rsid w:val="00133766"/>
    <w:rsid w:val="001C3687"/>
    <w:rsid w:val="0022646E"/>
    <w:rsid w:val="002C3AC2"/>
    <w:rsid w:val="003018E9"/>
    <w:rsid w:val="003428ED"/>
    <w:rsid w:val="003564D5"/>
    <w:rsid w:val="00363763"/>
    <w:rsid w:val="00364642"/>
    <w:rsid w:val="00384962"/>
    <w:rsid w:val="00412E17"/>
    <w:rsid w:val="00483A26"/>
    <w:rsid w:val="004A03B4"/>
    <w:rsid w:val="00515154"/>
    <w:rsid w:val="0053106A"/>
    <w:rsid w:val="005A7152"/>
    <w:rsid w:val="00674AB1"/>
    <w:rsid w:val="00682FE0"/>
    <w:rsid w:val="00710B73"/>
    <w:rsid w:val="00711FCE"/>
    <w:rsid w:val="00871F3F"/>
    <w:rsid w:val="00872E7E"/>
    <w:rsid w:val="0089028B"/>
    <w:rsid w:val="008C1833"/>
    <w:rsid w:val="008C30BB"/>
    <w:rsid w:val="009710D9"/>
    <w:rsid w:val="009A01F4"/>
    <w:rsid w:val="009F6DFC"/>
    <w:rsid w:val="00A4168B"/>
    <w:rsid w:val="00A72176"/>
    <w:rsid w:val="00B67D68"/>
    <w:rsid w:val="00B971F7"/>
    <w:rsid w:val="00E11C27"/>
    <w:rsid w:val="00E87BB8"/>
    <w:rsid w:val="00EE5E0A"/>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E9D2D-0243-47C5-99E5-28A4A20B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2019-02-15T00:19:00Z</dcterms:created>
  <dcterms:modified xsi:type="dcterms:W3CDTF">2019-02-15T00:19:00Z</dcterms:modified>
</cp:coreProperties>
</file>