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401DBF">
      <w:pPr>
        <w:pStyle w:val="a4"/>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#105</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sidRPr="00FE126A">
        <w:rPr>
          <w:sz w:val="22"/>
          <w:szCs w:val="22"/>
          <w:lang w:val="en-GB"/>
        </w:rPr>
        <w:t>R2-1</w:t>
      </w:r>
      <w:r w:rsidRPr="00796045">
        <w:rPr>
          <w:rFonts w:eastAsia="宋体" w:hint="eastAsia"/>
          <w:sz w:val="22"/>
          <w:szCs w:val="22"/>
          <w:lang w:val="en-GB" w:eastAsia="zh-CN"/>
        </w:rPr>
        <w:t>90</w:t>
      </w:r>
      <w:r w:rsidR="007E28FF">
        <w:rPr>
          <w:rFonts w:eastAsia="宋体"/>
          <w:sz w:val="22"/>
          <w:szCs w:val="22"/>
          <w:lang w:val="en-GB" w:eastAsia="zh-CN"/>
        </w:rPr>
        <w:t>0153</w:t>
      </w:r>
    </w:p>
    <w:p w:rsidR="00401DBF" w:rsidRPr="006E5751" w:rsidRDefault="00401DBF" w:rsidP="00401DBF">
      <w:pPr>
        <w:pStyle w:val="a4"/>
        <w:rPr>
          <w:rFonts w:eastAsiaTheme="minorEastAsia" w:hint="eastAsia"/>
          <w:lang w:val="en-GB" w:eastAsia="zh-CN"/>
        </w:rPr>
      </w:pPr>
      <w:r w:rsidRPr="00796045">
        <w:rPr>
          <w:rFonts w:eastAsia="宋体" w:hint="eastAsia"/>
          <w:sz w:val="22"/>
          <w:szCs w:val="22"/>
          <w:lang w:val="en-GB" w:eastAsia="zh-CN"/>
        </w:rPr>
        <w:t>Athens</w:t>
      </w:r>
      <w:r w:rsidRPr="007B33E4">
        <w:rPr>
          <w:sz w:val="22"/>
          <w:szCs w:val="22"/>
          <w:lang w:val="en-GB"/>
        </w:rPr>
        <w:t xml:space="preserve">, </w:t>
      </w:r>
      <w:r w:rsidRPr="00796045">
        <w:rPr>
          <w:rFonts w:eastAsia="宋体" w:hint="eastAsia"/>
          <w:sz w:val="22"/>
          <w:szCs w:val="22"/>
          <w:lang w:val="en-GB" w:eastAsia="zh-CN"/>
        </w:rPr>
        <w:t>G</w:t>
      </w:r>
      <w:r w:rsidR="007E28FF">
        <w:rPr>
          <w:rFonts w:eastAsia="宋体"/>
          <w:sz w:val="22"/>
          <w:szCs w:val="22"/>
          <w:lang w:val="en-GB" w:eastAsia="zh-CN"/>
        </w:rPr>
        <w:t>reece</w:t>
      </w:r>
      <w:r w:rsidRPr="007B33E4">
        <w:rPr>
          <w:sz w:val="22"/>
          <w:szCs w:val="22"/>
          <w:lang w:val="en-GB"/>
        </w:rPr>
        <w:t xml:space="preserve">, </w:t>
      </w:r>
      <w:r w:rsidRPr="00796045">
        <w:rPr>
          <w:rFonts w:eastAsia="宋体" w:hint="eastAsia"/>
          <w:sz w:val="22"/>
          <w:szCs w:val="22"/>
          <w:lang w:val="en-GB" w:eastAsia="zh-CN"/>
        </w:rPr>
        <w:t>25</w:t>
      </w:r>
      <w:r w:rsidRPr="009A4783">
        <w:rPr>
          <w:sz w:val="22"/>
          <w:szCs w:val="22"/>
          <w:vertAlign w:val="superscript"/>
          <w:lang w:val="en-GB"/>
        </w:rPr>
        <w:t>th</w:t>
      </w:r>
      <w:r w:rsidRPr="00796045">
        <w:rPr>
          <w:rFonts w:eastAsia="宋体"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sidRPr="00796045">
        <w:rPr>
          <w:rFonts w:eastAsia="宋体" w:hint="eastAsia"/>
          <w:sz w:val="22"/>
          <w:szCs w:val="22"/>
          <w:lang w:val="en-GB" w:eastAsia="zh-CN"/>
        </w:rPr>
        <w:t>1</w:t>
      </w:r>
      <w:r w:rsidRPr="00796045">
        <w:rPr>
          <w:rFonts w:eastAsia="宋体" w:hint="eastAsia"/>
          <w:sz w:val="22"/>
          <w:szCs w:val="22"/>
          <w:vertAlign w:val="superscript"/>
          <w:lang w:val="en-GB" w:eastAsia="zh-CN"/>
        </w:rPr>
        <w:t>st</w:t>
      </w:r>
      <w:r w:rsidRPr="00796045">
        <w:rPr>
          <w:rFonts w:eastAsia="宋体" w:hint="eastAsia"/>
          <w:sz w:val="22"/>
          <w:szCs w:val="22"/>
          <w:lang w:val="en-GB" w:eastAsia="zh-CN"/>
        </w:rPr>
        <w:t xml:space="preserve"> Mar</w:t>
      </w:r>
      <w:r w:rsidRPr="007B33E4">
        <w:rPr>
          <w:sz w:val="22"/>
          <w:szCs w:val="22"/>
          <w:lang w:val="en-GB"/>
        </w:rPr>
        <w:t xml:space="preserve"> 201</w:t>
      </w:r>
      <w:r w:rsidR="006E5751">
        <w:rPr>
          <w:rFonts w:eastAsiaTheme="minorEastAsia" w:hint="eastAsia"/>
          <w:sz w:val="22"/>
          <w:szCs w:val="22"/>
          <w:lang w:val="en-GB" w:eastAsia="zh-CN"/>
        </w:rPr>
        <w:t>9</w:t>
      </w:r>
      <w:bookmarkStart w:id="0" w:name="_GoBack"/>
      <w:bookmarkEnd w:id="0"/>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E64728">
        <w:rPr>
          <w:rFonts w:cs="Arial"/>
          <w:sz w:val="22"/>
          <w:szCs w:val="22"/>
        </w:rPr>
        <w:t>SPS and Configured Grant periodicities</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w:t>
      </w:r>
      <w:r w:rsidR="00B16840">
        <w:rPr>
          <w:rFonts w:eastAsia="宋体" w:cs="Arial" w:hint="eastAsia"/>
          <w:sz w:val="22"/>
          <w:szCs w:val="22"/>
          <w:lang w:eastAsia="zh-CN"/>
        </w:rPr>
        <w:t>1.7.</w:t>
      </w:r>
      <w:r w:rsidR="00401DBF">
        <w:rPr>
          <w:rFonts w:eastAsia="宋体" w:cs="Arial"/>
          <w:sz w:val="22"/>
          <w:szCs w:val="22"/>
          <w:lang w:eastAsia="zh-CN"/>
        </w:rPr>
        <w:t>2.2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528762725"/>
      <w:r w:rsidRPr="00D62F40">
        <w:rPr>
          <w:szCs w:val="28"/>
        </w:rPr>
        <w:t>Introduction</w:t>
      </w:r>
      <w:bookmarkEnd w:id="4"/>
    </w:p>
    <w:p w:rsidR="00FD29B6" w:rsidRDefault="00FD29B6" w:rsidP="00735AF5">
      <w:pPr>
        <w:pStyle w:val="a0"/>
        <w:rPr>
          <w:rFonts w:eastAsiaTheme="minorEastAsia"/>
          <w:lang w:eastAsia="zh-CN"/>
        </w:rPr>
      </w:pPr>
      <w:bookmarkStart w:id="5" w:name="OLE_LINK1"/>
      <w:bookmarkStart w:id="6" w:name="OLE_LINK2"/>
      <w:r>
        <w:rPr>
          <w:rFonts w:eastAsia="宋体"/>
          <w:lang w:eastAsia="zh-CN"/>
        </w:rPr>
        <w:t xml:space="preserve">It is expected that SPS and Configured Grants (CG) will play a key role in serving the various co-existing traffic types expected in TSN networks </w:t>
      </w:r>
      <w:r>
        <w:rPr>
          <w:rFonts w:eastAsia="宋体"/>
          <w:lang w:eastAsia="zh-CN"/>
        </w:rPr>
        <w:fldChar w:fldCharType="begin"/>
      </w:r>
      <w:r>
        <w:rPr>
          <w:rFonts w:eastAsia="宋体"/>
          <w:lang w:eastAsia="zh-CN"/>
        </w:rPr>
        <w:instrText xml:space="preserve"> REF _Ref859876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One first consequence is the requirement to support multiple active CG configurations per BWP per Serving Cell agreed in RAN1 </w:t>
      </w:r>
      <w:r>
        <w:rPr>
          <w:rFonts w:eastAsiaTheme="minorEastAsia"/>
          <w:lang w:eastAsia="zh-CN"/>
        </w:rPr>
        <w:fldChar w:fldCharType="begin"/>
      </w:r>
      <w:r>
        <w:rPr>
          <w:rFonts w:eastAsia="宋体"/>
          <w:lang w:eastAsia="zh-CN"/>
        </w:rPr>
        <w:instrText xml:space="preserve"> REF _Ref524946288 \r \h </w:instrText>
      </w:r>
      <w:r>
        <w:rPr>
          <w:rFonts w:eastAsiaTheme="minorEastAsia"/>
          <w:lang w:eastAsia="zh-CN"/>
        </w:rPr>
      </w:r>
      <w:r>
        <w:rPr>
          <w:rFonts w:eastAsiaTheme="minorEastAsia"/>
          <w:lang w:eastAsia="zh-CN"/>
        </w:rPr>
        <w:fldChar w:fldCharType="separate"/>
      </w:r>
      <w:r>
        <w:rPr>
          <w:rFonts w:eastAsia="宋体"/>
          <w:lang w:eastAsia="zh-CN"/>
        </w:rPr>
        <w:t>[2]</w:t>
      </w:r>
      <w:r>
        <w:rPr>
          <w:rFonts w:eastAsiaTheme="minorEastAsia"/>
          <w:lang w:eastAsia="zh-CN"/>
        </w:rPr>
        <w:fldChar w:fldCharType="end"/>
      </w:r>
      <w:r>
        <w:rPr>
          <w:rFonts w:eastAsiaTheme="minorEastAsia"/>
          <w:lang w:eastAsia="zh-CN"/>
        </w:rPr>
        <w:t>, which we</w:t>
      </w:r>
      <w:r>
        <w:rPr>
          <w:rFonts w:eastAsiaTheme="minorEastAsia" w:hint="eastAsia"/>
          <w:lang w:eastAsia="zh-CN"/>
        </w:rPr>
        <w:t xml:space="preserve"> </w:t>
      </w:r>
      <w:r>
        <w:rPr>
          <w:rFonts w:eastAsiaTheme="minorEastAsia"/>
          <w:lang w:eastAsia="zh-CN"/>
        </w:rPr>
        <w:t xml:space="preserve">propose extending to SPS as well in </w:t>
      </w:r>
      <w:r>
        <w:rPr>
          <w:rFonts w:eastAsiaTheme="minorEastAsia"/>
          <w:lang w:eastAsia="zh-CN"/>
        </w:rPr>
        <w:fldChar w:fldCharType="begin"/>
      </w:r>
      <w:r>
        <w:rPr>
          <w:rFonts w:eastAsiaTheme="minorEastAsia"/>
          <w:lang w:eastAsia="zh-CN"/>
        </w:rPr>
        <w:instrText xml:space="preserve"> REF _Ref859987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w:t>
      </w:r>
      <w:r w:rsidR="00045108">
        <w:rPr>
          <w:rFonts w:eastAsiaTheme="minorEastAsia"/>
          <w:lang w:eastAsia="zh-CN"/>
        </w:rPr>
        <w:t xml:space="preserve"> Another impact is the need to map IEEE 802.1Qbv schedules and cycle times to SPS/CG periodicities </w:t>
      </w:r>
      <w:r w:rsidR="00045108">
        <w:rPr>
          <w:rFonts w:eastAsiaTheme="minorEastAsia"/>
          <w:lang w:eastAsia="zh-CN"/>
        </w:rPr>
        <w:fldChar w:fldCharType="begin"/>
      </w:r>
      <w:r w:rsidR="00045108">
        <w:rPr>
          <w:rFonts w:eastAsiaTheme="minorEastAsia"/>
          <w:lang w:eastAsia="zh-CN"/>
        </w:rPr>
        <w:instrText xml:space="preserve"> REF _Ref859876 \r \h </w:instrText>
      </w:r>
      <w:r w:rsidR="00045108">
        <w:rPr>
          <w:rFonts w:eastAsiaTheme="minorEastAsia"/>
          <w:lang w:eastAsia="zh-CN"/>
        </w:rPr>
      </w:r>
      <w:r w:rsidR="00045108">
        <w:rPr>
          <w:rFonts w:eastAsiaTheme="minorEastAsia"/>
          <w:lang w:eastAsia="zh-CN"/>
        </w:rPr>
        <w:fldChar w:fldCharType="separate"/>
      </w:r>
      <w:r w:rsidR="00045108">
        <w:rPr>
          <w:rFonts w:eastAsiaTheme="minorEastAsia"/>
          <w:lang w:eastAsia="zh-CN"/>
        </w:rPr>
        <w:t>[1]</w:t>
      </w:r>
      <w:r w:rsidR="00045108">
        <w:rPr>
          <w:rFonts w:eastAsiaTheme="minorEastAsia"/>
          <w:lang w:eastAsia="zh-CN"/>
        </w:rPr>
        <w:fldChar w:fldCharType="end"/>
      </w:r>
      <w:r w:rsidR="00045108">
        <w:rPr>
          <w:rFonts w:eastAsiaTheme="minorEastAsia"/>
          <w:lang w:eastAsia="zh-CN"/>
        </w:rPr>
        <w:t>.</w:t>
      </w:r>
    </w:p>
    <w:p w:rsidR="00D50048" w:rsidRDefault="00D50048" w:rsidP="00053401">
      <w:pPr>
        <w:pStyle w:val="a0"/>
        <w:spacing w:before="120"/>
        <w:rPr>
          <w:rFonts w:eastAsiaTheme="minorEastAsia"/>
          <w:lang w:eastAsia="zh-CN"/>
        </w:rPr>
      </w:pPr>
      <w:r>
        <w:rPr>
          <w:rFonts w:eastAsiaTheme="minorEastAsia"/>
          <w:lang w:eastAsia="zh-CN"/>
        </w:rPr>
        <w:t xml:space="preserve">In this contribution we analyze the impact of </w:t>
      </w:r>
      <w:r w:rsidR="00045108">
        <w:rPr>
          <w:rFonts w:eastAsiaTheme="minorEastAsia"/>
          <w:lang w:eastAsia="zh-CN"/>
        </w:rPr>
        <w:t>IIoT traffic requirements on SPS/CG periodicities</w:t>
      </w:r>
      <w:r>
        <w:rPr>
          <w:rFonts w:eastAsiaTheme="minorEastAsia"/>
          <w:lang w:eastAsia="zh-CN"/>
        </w:rPr>
        <w:t xml:space="preserve">. </w:t>
      </w:r>
    </w:p>
    <w:bookmarkEnd w:id="5"/>
    <w:bookmarkEnd w:id="6"/>
    <w:p w:rsidR="00E3725B" w:rsidRDefault="00E3725B" w:rsidP="00E3725B">
      <w:pPr>
        <w:pStyle w:val="1"/>
        <w:jc w:val="both"/>
      </w:pPr>
      <w:r w:rsidRPr="00AA54B6">
        <w:rPr>
          <w:rFonts w:hint="eastAsia"/>
        </w:rPr>
        <w:t>Discussion</w:t>
      </w:r>
    </w:p>
    <w:p w:rsidR="00045108" w:rsidRDefault="00045108" w:rsidP="00045108">
      <w:pPr>
        <w:pStyle w:val="a0"/>
        <w:rPr>
          <w:lang w:eastAsia="zh-CN"/>
        </w:rPr>
      </w:pPr>
      <w:r>
        <w:rPr>
          <w:lang w:eastAsia="zh-CN"/>
        </w:rPr>
        <w:t>Given we support upgrading Rel-15 SPS configurability to the same flexibility as configured grants, we only focus on CG periodicities in this contribution, provided it should equally apply to SPS.</w:t>
      </w:r>
    </w:p>
    <w:p w:rsidR="002A6EA3" w:rsidRPr="006D5573" w:rsidRDefault="00045108" w:rsidP="005967B6">
      <w:pPr>
        <w:pStyle w:val="a0"/>
        <w:rPr>
          <w:lang w:eastAsia="zh-CN"/>
        </w:rPr>
      </w:pPr>
      <w:r w:rsidRPr="00045108">
        <w:rPr>
          <w:lang w:eastAsia="zh-CN"/>
        </w:rPr>
        <w:t xml:space="preserve">Rel-15 periodicity is defined as </w:t>
      </w:r>
      <w:r w:rsidRPr="00045108">
        <w:rPr>
          <w:lang w:val="en-GB" w:eastAsia="zh-CN"/>
        </w:rPr>
        <w:t xml:space="preserve">2, 7, n*14 symbols </w:t>
      </w:r>
      <w:r w:rsidR="005967B6">
        <w:rPr>
          <w:lang w:val="en-GB" w:eastAsia="zh-CN"/>
        </w:rPr>
        <w:t xml:space="preserve">(= </w:t>
      </w:r>
      <w:r w:rsidR="005967B6" w:rsidRPr="00045108">
        <w:rPr>
          <w:lang w:val="en-GB" w:eastAsia="zh-CN"/>
        </w:rPr>
        <w:t>n*</w:t>
      </w:r>
      <w:r w:rsidR="005967B6">
        <w:rPr>
          <w:lang w:val="en-GB" w:eastAsia="zh-CN"/>
        </w:rPr>
        <w:t xml:space="preserve">slot) </w:t>
      </w:r>
      <w:r w:rsidRPr="00045108">
        <w:rPr>
          <w:lang w:val="en-GB" w:eastAsia="zh-CN"/>
        </w:rPr>
        <w:t>in RRC spec</w:t>
      </w:r>
      <w:r>
        <w:rPr>
          <w:lang w:val="en-GB" w:eastAsia="zh-CN"/>
        </w:rPr>
        <w:t>ification</w:t>
      </w:r>
      <w:r w:rsidRPr="00045108">
        <w:rPr>
          <w:lang w:val="en-GB" w:eastAsia="zh-CN"/>
        </w:rPr>
        <w:t>, thus guaranteeing slot-aligned periods</w:t>
      </w:r>
      <w:r>
        <w:rPr>
          <w:lang w:val="en-GB" w:eastAsia="zh-CN"/>
        </w:rPr>
        <w:t xml:space="preserve">. </w:t>
      </w:r>
      <w:r w:rsidR="00624776" w:rsidRPr="00045108">
        <w:rPr>
          <w:lang w:eastAsia="zh-CN"/>
        </w:rPr>
        <w:t xml:space="preserve">The lower range of the CG periodicity ≥ 500 µs provides limited granularity: 500, </w:t>
      </w:r>
      <w:r w:rsidR="00624776" w:rsidRPr="006D5573">
        <w:rPr>
          <w:lang w:eastAsia="zh-CN"/>
        </w:rPr>
        <w:t xml:space="preserve">625, </w:t>
      </w:r>
      <w:r w:rsidR="00F60E2F">
        <w:rPr>
          <w:lang w:eastAsia="zh-CN"/>
        </w:rPr>
        <w:t>750, 875, 1000</w:t>
      </w:r>
      <w:r w:rsidR="00624776" w:rsidRPr="006D5573">
        <w:rPr>
          <w:lang w:eastAsia="zh-CN"/>
        </w:rPr>
        <w:t xml:space="preserve"> µs, </w:t>
      </w:r>
      <w:r w:rsidR="00F60E2F">
        <w:rPr>
          <w:lang w:eastAsia="zh-CN"/>
        </w:rPr>
        <w:t>etc,</w:t>
      </w:r>
      <w:r w:rsidR="00624776" w:rsidRPr="006D5573">
        <w:rPr>
          <w:lang w:eastAsia="zh-CN"/>
        </w:rPr>
        <w:t xml:space="preserve"> </w:t>
      </w:r>
      <w:r w:rsidR="005967B6" w:rsidRPr="006D5573">
        <w:rPr>
          <w:lang w:eastAsia="zh-CN"/>
        </w:rPr>
        <w:t xml:space="preserve">as shown in </w:t>
      </w:r>
      <w:r w:rsidR="006D5573" w:rsidRPr="006D5573">
        <w:rPr>
          <w:lang w:eastAsia="zh-CN"/>
        </w:rPr>
        <w:fldChar w:fldCharType="begin"/>
      </w:r>
      <w:r w:rsidR="006D5573" w:rsidRPr="006D5573">
        <w:rPr>
          <w:lang w:eastAsia="zh-CN"/>
        </w:rPr>
        <w:instrText xml:space="preserve"> REF _Ref897608 \h  \* MERGEFORMAT </w:instrText>
      </w:r>
      <w:r w:rsidR="006D5573" w:rsidRPr="006D5573">
        <w:rPr>
          <w:lang w:eastAsia="zh-CN"/>
        </w:rPr>
      </w:r>
      <w:r w:rsidR="006D5573" w:rsidRPr="006D5573">
        <w:rPr>
          <w:lang w:eastAsia="zh-CN"/>
        </w:rPr>
        <w:fldChar w:fldCharType="separate"/>
      </w:r>
      <w:r w:rsidR="006D5573" w:rsidRPr="006D5573">
        <w:t xml:space="preserve">Table </w:t>
      </w:r>
      <w:r w:rsidR="006D5573" w:rsidRPr="006D5573">
        <w:rPr>
          <w:noProof/>
        </w:rPr>
        <w:t>1</w:t>
      </w:r>
      <w:r w:rsidR="006D5573" w:rsidRPr="006D5573">
        <w:rPr>
          <w:lang w:eastAsia="zh-CN"/>
        </w:rPr>
        <w:fldChar w:fldCharType="end"/>
      </w:r>
      <w:r w:rsidR="007E28FF">
        <w:rPr>
          <w:lang w:eastAsia="zh-CN"/>
        </w:rPr>
        <w:t xml:space="preserve"> up to n = 10</w:t>
      </w:r>
      <w:r w:rsidR="00624776" w:rsidRPr="006D5573">
        <w:rPr>
          <w:lang w:eastAsia="zh-CN"/>
        </w:rPr>
        <w:t>.</w:t>
      </w:r>
    </w:p>
    <w:p w:rsidR="002A6EA3" w:rsidRDefault="00624776" w:rsidP="00F60E2F">
      <w:pPr>
        <w:pStyle w:val="a0"/>
        <w:numPr>
          <w:ilvl w:val="0"/>
          <w:numId w:val="13"/>
        </w:numPr>
        <w:rPr>
          <w:lang w:eastAsia="zh-CN"/>
        </w:rPr>
      </w:pPr>
      <w:r w:rsidRPr="00045108">
        <w:rPr>
          <w:lang w:eastAsia="zh-CN"/>
        </w:rPr>
        <w:t>Note the lower values of Rel-15 (31.25 and 62.5) are for FR2 only.</w:t>
      </w:r>
    </w:p>
    <w:p w:rsidR="005967B6" w:rsidRPr="006D5573" w:rsidRDefault="005967B6" w:rsidP="006D5573">
      <w:pPr>
        <w:pStyle w:val="a5"/>
        <w:jc w:val="center"/>
        <w:rPr>
          <w:b/>
        </w:rPr>
      </w:pPr>
      <w:bookmarkStart w:id="7" w:name="_Ref897608"/>
      <w:r w:rsidRPr="006D5573">
        <w:rPr>
          <w:b/>
        </w:rPr>
        <w:t xml:space="preserve">Table </w:t>
      </w:r>
      <w:r w:rsidRPr="006D5573">
        <w:rPr>
          <w:b/>
        </w:rPr>
        <w:fldChar w:fldCharType="begin"/>
      </w:r>
      <w:r w:rsidRPr="006D5573">
        <w:rPr>
          <w:b/>
        </w:rPr>
        <w:instrText xml:space="preserve"> SEQ Table \* ARABIC </w:instrText>
      </w:r>
      <w:r w:rsidRPr="006D5573">
        <w:rPr>
          <w:b/>
        </w:rPr>
        <w:fldChar w:fldCharType="separate"/>
      </w:r>
      <w:r w:rsidRPr="006D5573">
        <w:rPr>
          <w:b/>
          <w:noProof/>
        </w:rPr>
        <w:t>1</w:t>
      </w:r>
      <w:r w:rsidRPr="006D5573">
        <w:rPr>
          <w:b/>
        </w:rPr>
        <w:fldChar w:fldCharType="end"/>
      </w:r>
      <w:bookmarkEnd w:id="7"/>
      <w:r w:rsidRPr="006D5573">
        <w:rPr>
          <w:b/>
        </w:rPr>
        <w:t xml:space="preserve">: </w:t>
      </w:r>
      <w:r w:rsidR="00AF0850">
        <w:rPr>
          <w:b/>
        </w:rPr>
        <w:t xml:space="preserve">Rel-15 </w:t>
      </w:r>
      <w:r w:rsidR="006D5573" w:rsidRPr="006D5573">
        <w:rPr>
          <w:b/>
        </w:rPr>
        <w:t>C</w:t>
      </w:r>
      <w:r w:rsidR="006D5573">
        <w:rPr>
          <w:b/>
        </w:rPr>
        <w:t xml:space="preserve">G periodicities </w:t>
      </w:r>
      <w:r w:rsidR="007E28FF">
        <w:rPr>
          <w:b/>
        </w:rPr>
        <w:t xml:space="preserve">(low range) </w:t>
      </w:r>
      <w:r w:rsidR="006D5573">
        <w:rPr>
          <w:b/>
        </w:rPr>
        <w:t xml:space="preserve">for the 5 supported </w:t>
      </w:r>
      <w:r w:rsidR="006D5573" w:rsidRPr="006D5573">
        <w:rPr>
          <w:b/>
        </w:rPr>
        <w:t>numerologies</w:t>
      </w:r>
    </w:p>
    <w:tbl>
      <w:tblPr>
        <w:tblW w:w="5000" w:type="pct"/>
        <w:tblLook w:val="0000" w:firstRow="0" w:lastRow="0" w:firstColumn="0" w:lastColumn="0" w:noHBand="0" w:noVBand="0"/>
      </w:tblPr>
      <w:tblGrid>
        <w:gridCol w:w="315"/>
        <w:gridCol w:w="592"/>
        <w:gridCol w:w="901"/>
        <w:gridCol w:w="627"/>
        <w:gridCol w:w="581"/>
        <w:gridCol w:w="582"/>
        <w:gridCol w:w="627"/>
        <w:gridCol w:w="581"/>
        <w:gridCol w:w="627"/>
        <w:gridCol w:w="581"/>
        <w:gridCol w:w="627"/>
        <w:gridCol w:w="581"/>
        <w:gridCol w:w="627"/>
        <w:gridCol w:w="673"/>
      </w:tblGrid>
      <w:tr w:rsidR="006D5573" w:rsidRPr="005967B6" w:rsidTr="006D5573">
        <w:trPr>
          <w:trHeight w:val="290"/>
        </w:trPr>
        <w:tc>
          <w:tcPr>
            <w:tcW w:w="183" w:type="pct"/>
            <w:tcBorders>
              <w:top w:val="single" w:sz="6" w:space="0" w:color="C0C0C0"/>
              <w:left w:val="single" w:sz="6" w:space="0" w:color="C0C0C0"/>
              <w:bottom w:val="nil"/>
              <w:right w:val="single" w:sz="6" w:space="0" w:color="C0C0C0"/>
            </w:tcBorders>
            <w:shd w:val="solid" w:color="FFFFCC" w:fill="FFFFFF"/>
            <w:vAlign w:val="center"/>
          </w:tcPr>
          <w:p w:rsidR="006D5573" w:rsidRPr="005967B6" w:rsidRDefault="006D5573" w:rsidP="006D5573">
            <w:pPr>
              <w:autoSpaceDE w:val="0"/>
              <w:autoSpaceDN w:val="0"/>
              <w:adjustRightInd w:val="0"/>
              <w:jc w:val="center"/>
              <w:rPr>
                <w:rFonts w:ascii="Calibri" w:eastAsia="宋体" w:hAnsi="Calibri" w:cs="Calibri"/>
                <w:color w:val="000000"/>
                <w:sz w:val="18"/>
                <w:szCs w:val="22"/>
                <w:lang w:eastAsia="zh-CN"/>
              </w:rPr>
            </w:pPr>
            <w:r>
              <w:rPr>
                <w:rFonts w:ascii="Calibri" w:eastAsia="宋体" w:hAnsi="Calibri" w:cs="Calibri"/>
                <w:color w:val="000000"/>
                <w:sz w:val="18"/>
                <w:szCs w:val="22"/>
                <w:lang w:eastAsia="zh-CN"/>
              </w:rPr>
              <w:t>µ</w:t>
            </w:r>
          </w:p>
        </w:tc>
        <w:tc>
          <w:tcPr>
            <w:tcW w:w="348" w:type="pct"/>
            <w:tcBorders>
              <w:top w:val="single" w:sz="6" w:space="0" w:color="C0C0C0"/>
              <w:left w:val="single" w:sz="6" w:space="0" w:color="C0C0C0"/>
              <w:bottom w:val="nil"/>
              <w:right w:val="single" w:sz="6" w:space="0" w:color="C0C0C0"/>
            </w:tcBorders>
            <w:shd w:val="solid" w:color="FFFFCC" w:fill="FFFFFF"/>
            <w:vAlign w:val="center"/>
          </w:tcPr>
          <w:p w:rsidR="006D5573" w:rsidRPr="005967B6" w:rsidRDefault="006D5573"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df [kHz]</w:t>
            </w:r>
          </w:p>
        </w:tc>
        <w:tc>
          <w:tcPr>
            <w:tcW w:w="4469" w:type="pct"/>
            <w:gridSpan w:val="12"/>
            <w:tcBorders>
              <w:top w:val="single" w:sz="6" w:space="0" w:color="C0C0C0"/>
              <w:left w:val="single" w:sz="6" w:space="0" w:color="C0C0C0"/>
              <w:bottom w:val="single" w:sz="6" w:space="0" w:color="C0C0C0"/>
              <w:right w:val="single" w:sz="6" w:space="0" w:color="C0C0C0"/>
            </w:tcBorders>
            <w:shd w:val="solid" w:color="FFFFCC" w:fill="FFFFFF"/>
            <w:vAlign w:val="center"/>
          </w:tcPr>
          <w:p w:rsidR="006D5573" w:rsidRPr="005967B6" w:rsidRDefault="006D5573"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CG periodicity (us)</w:t>
            </w:r>
          </w:p>
        </w:tc>
      </w:tr>
      <w:tr w:rsidR="006D5573" w:rsidRPr="005967B6" w:rsidTr="006D5573">
        <w:trPr>
          <w:trHeight w:val="290"/>
        </w:trPr>
        <w:tc>
          <w:tcPr>
            <w:tcW w:w="183" w:type="pct"/>
            <w:tcBorders>
              <w:top w:val="nil"/>
              <w:left w:val="single" w:sz="6" w:space="0" w:color="C0C0C0"/>
              <w:bottom w:val="nil"/>
              <w:right w:val="single" w:sz="6" w:space="0" w:color="C0C0C0"/>
            </w:tcBorders>
            <w:shd w:val="solid" w:color="FFFFCC" w:fill="FFFFFF"/>
            <w:vAlign w:val="center"/>
          </w:tcPr>
          <w:p w:rsidR="006D5573" w:rsidRPr="005967B6" w:rsidRDefault="006D5573" w:rsidP="006D5573">
            <w:pPr>
              <w:autoSpaceDE w:val="0"/>
              <w:autoSpaceDN w:val="0"/>
              <w:adjustRightInd w:val="0"/>
              <w:jc w:val="center"/>
              <w:rPr>
                <w:rFonts w:ascii="Calibri" w:eastAsia="宋体" w:hAnsi="Calibri" w:cs="Calibri"/>
                <w:color w:val="000000"/>
                <w:sz w:val="18"/>
                <w:szCs w:val="22"/>
                <w:lang w:eastAsia="zh-CN"/>
              </w:rPr>
            </w:pPr>
          </w:p>
        </w:tc>
        <w:tc>
          <w:tcPr>
            <w:tcW w:w="348" w:type="pct"/>
            <w:tcBorders>
              <w:top w:val="nil"/>
              <w:left w:val="single" w:sz="6" w:space="0" w:color="C0C0C0"/>
              <w:bottom w:val="nil"/>
              <w:right w:val="single" w:sz="6" w:space="0" w:color="C0C0C0"/>
            </w:tcBorders>
            <w:shd w:val="solid" w:color="FFFFCC" w:fill="FFFFFF"/>
            <w:vAlign w:val="center"/>
          </w:tcPr>
          <w:p w:rsidR="006D5573" w:rsidRPr="005967B6" w:rsidRDefault="006D5573" w:rsidP="006D5573">
            <w:pPr>
              <w:autoSpaceDE w:val="0"/>
              <w:autoSpaceDN w:val="0"/>
              <w:adjustRightInd w:val="0"/>
              <w:jc w:val="center"/>
              <w:rPr>
                <w:rFonts w:ascii="Calibri" w:eastAsia="宋体" w:hAnsi="Calibri" w:cs="Calibri"/>
                <w:color w:val="000000"/>
                <w:sz w:val="18"/>
                <w:szCs w:val="22"/>
                <w:lang w:eastAsia="zh-CN"/>
              </w:rPr>
            </w:pPr>
          </w:p>
        </w:tc>
        <w:tc>
          <w:tcPr>
            <w:tcW w:w="897" w:type="pct"/>
            <w:gridSpan w:val="2"/>
            <w:tcBorders>
              <w:top w:val="single" w:sz="6" w:space="0" w:color="C0C0C0"/>
              <w:left w:val="single" w:sz="6" w:space="0" w:color="C0C0C0"/>
              <w:bottom w:val="single" w:sz="6" w:space="0" w:color="C0C0C0"/>
              <w:right w:val="single" w:sz="6" w:space="0" w:color="C0C0C0"/>
            </w:tcBorders>
            <w:shd w:val="solid" w:color="FFFFCC" w:fill="FFFFFF"/>
            <w:vAlign w:val="center"/>
          </w:tcPr>
          <w:p w:rsidR="006D5573" w:rsidRPr="005967B6" w:rsidRDefault="006D5573"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symbols</w:t>
            </w:r>
          </w:p>
        </w:tc>
        <w:tc>
          <w:tcPr>
            <w:tcW w:w="3572" w:type="pct"/>
            <w:gridSpan w:val="10"/>
            <w:tcBorders>
              <w:top w:val="single" w:sz="6" w:space="0" w:color="C0C0C0"/>
              <w:left w:val="single" w:sz="6" w:space="0" w:color="C0C0C0"/>
              <w:bottom w:val="single" w:sz="6" w:space="0" w:color="C0C0C0"/>
              <w:right w:val="single" w:sz="6" w:space="0" w:color="C0C0C0"/>
            </w:tcBorders>
            <w:shd w:val="solid" w:color="FFFFCC" w:fill="FFFFFF"/>
            <w:vAlign w:val="center"/>
          </w:tcPr>
          <w:p w:rsidR="006D5573" w:rsidRPr="005967B6" w:rsidRDefault="006D5573"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slots</w:t>
            </w:r>
          </w:p>
        </w:tc>
      </w:tr>
      <w:tr w:rsidR="006D5573" w:rsidRPr="005967B6" w:rsidTr="006D5573">
        <w:trPr>
          <w:trHeight w:val="290"/>
        </w:trPr>
        <w:tc>
          <w:tcPr>
            <w:tcW w:w="183" w:type="pct"/>
            <w:tcBorders>
              <w:top w:val="nil"/>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p>
        </w:tc>
        <w:tc>
          <w:tcPr>
            <w:tcW w:w="348" w:type="pct"/>
            <w:tcBorders>
              <w:top w:val="nil"/>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p>
        </w:tc>
        <w:tc>
          <w:tcPr>
            <w:tcW w:w="529"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2</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7</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1</w:t>
            </w:r>
          </w:p>
        </w:tc>
        <w:tc>
          <w:tcPr>
            <w:tcW w:w="342"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2</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3</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4</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5</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6</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7</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8</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9</w:t>
            </w:r>
          </w:p>
        </w:tc>
        <w:tc>
          <w:tcPr>
            <w:tcW w:w="395"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10</w:t>
            </w:r>
          </w:p>
        </w:tc>
      </w:tr>
      <w:tr w:rsidR="006D5573" w:rsidRPr="005967B6" w:rsidTr="006D5573">
        <w:trPr>
          <w:trHeight w:val="290"/>
        </w:trPr>
        <w:tc>
          <w:tcPr>
            <w:tcW w:w="183"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0</w:t>
            </w:r>
          </w:p>
        </w:tc>
        <w:tc>
          <w:tcPr>
            <w:tcW w:w="34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15</w:t>
            </w:r>
          </w:p>
        </w:tc>
        <w:tc>
          <w:tcPr>
            <w:tcW w:w="529"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142.8571</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500</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1000</w:t>
            </w:r>
          </w:p>
        </w:tc>
        <w:tc>
          <w:tcPr>
            <w:tcW w:w="342"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2000</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3000</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4000</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5000</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6000</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7000</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8000</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9000</w:t>
            </w:r>
          </w:p>
        </w:tc>
        <w:tc>
          <w:tcPr>
            <w:tcW w:w="395"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10000</w:t>
            </w:r>
          </w:p>
        </w:tc>
      </w:tr>
      <w:tr w:rsidR="006D5573" w:rsidRPr="005967B6" w:rsidTr="006D5573">
        <w:trPr>
          <w:trHeight w:val="290"/>
        </w:trPr>
        <w:tc>
          <w:tcPr>
            <w:tcW w:w="183"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1</w:t>
            </w:r>
          </w:p>
        </w:tc>
        <w:tc>
          <w:tcPr>
            <w:tcW w:w="34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30</w:t>
            </w:r>
          </w:p>
        </w:tc>
        <w:tc>
          <w:tcPr>
            <w:tcW w:w="529"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71.42857</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250</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500</w:t>
            </w:r>
          </w:p>
        </w:tc>
        <w:tc>
          <w:tcPr>
            <w:tcW w:w="342"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1000</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1500</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2000</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2500</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3000</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3500</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4000</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4500</w:t>
            </w:r>
          </w:p>
        </w:tc>
        <w:tc>
          <w:tcPr>
            <w:tcW w:w="395"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5000</w:t>
            </w:r>
          </w:p>
        </w:tc>
      </w:tr>
      <w:tr w:rsidR="006D5573" w:rsidRPr="005967B6" w:rsidTr="006D5573">
        <w:trPr>
          <w:trHeight w:val="290"/>
        </w:trPr>
        <w:tc>
          <w:tcPr>
            <w:tcW w:w="183"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2</w:t>
            </w:r>
          </w:p>
        </w:tc>
        <w:tc>
          <w:tcPr>
            <w:tcW w:w="34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60</w:t>
            </w:r>
          </w:p>
        </w:tc>
        <w:tc>
          <w:tcPr>
            <w:tcW w:w="529"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35.71429</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125</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250</w:t>
            </w:r>
          </w:p>
        </w:tc>
        <w:tc>
          <w:tcPr>
            <w:tcW w:w="342"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500</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750</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1000</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1250</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1500</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1750</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2000</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2250</w:t>
            </w:r>
          </w:p>
        </w:tc>
        <w:tc>
          <w:tcPr>
            <w:tcW w:w="395"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2500</w:t>
            </w:r>
          </w:p>
        </w:tc>
      </w:tr>
      <w:tr w:rsidR="006D5573" w:rsidRPr="005967B6" w:rsidTr="006D5573">
        <w:trPr>
          <w:trHeight w:val="290"/>
        </w:trPr>
        <w:tc>
          <w:tcPr>
            <w:tcW w:w="183"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3</w:t>
            </w:r>
          </w:p>
        </w:tc>
        <w:tc>
          <w:tcPr>
            <w:tcW w:w="34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120</w:t>
            </w:r>
          </w:p>
        </w:tc>
        <w:tc>
          <w:tcPr>
            <w:tcW w:w="529"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17.85714</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62.5</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125</w:t>
            </w:r>
          </w:p>
        </w:tc>
        <w:tc>
          <w:tcPr>
            <w:tcW w:w="342"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250</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375</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500</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625</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750</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875</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1000</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1125</w:t>
            </w:r>
          </w:p>
        </w:tc>
        <w:tc>
          <w:tcPr>
            <w:tcW w:w="395"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1250</w:t>
            </w:r>
          </w:p>
        </w:tc>
      </w:tr>
      <w:tr w:rsidR="006D5573" w:rsidRPr="005967B6" w:rsidTr="006D5573">
        <w:trPr>
          <w:trHeight w:val="290"/>
        </w:trPr>
        <w:tc>
          <w:tcPr>
            <w:tcW w:w="183"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4</w:t>
            </w:r>
          </w:p>
        </w:tc>
        <w:tc>
          <w:tcPr>
            <w:tcW w:w="34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240</w:t>
            </w:r>
          </w:p>
        </w:tc>
        <w:tc>
          <w:tcPr>
            <w:tcW w:w="529"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8.928571</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31.25</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62.5</w:t>
            </w:r>
          </w:p>
        </w:tc>
        <w:tc>
          <w:tcPr>
            <w:tcW w:w="342"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125</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187.5</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250</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312.5</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375</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437.5</w:t>
            </w:r>
          </w:p>
        </w:tc>
        <w:tc>
          <w:tcPr>
            <w:tcW w:w="341"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500</w:t>
            </w:r>
          </w:p>
        </w:tc>
        <w:tc>
          <w:tcPr>
            <w:tcW w:w="368"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562.5</w:t>
            </w:r>
          </w:p>
        </w:tc>
        <w:tc>
          <w:tcPr>
            <w:tcW w:w="395" w:type="pct"/>
            <w:tcBorders>
              <w:top w:val="single" w:sz="6" w:space="0" w:color="C0C0C0"/>
              <w:left w:val="single" w:sz="6" w:space="0" w:color="C0C0C0"/>
              <w:bottom w:val="single" w:sz="6" w:space="0" w:color="C0C0C0"/>
              <w:right w:val="single" w:sz="6" w:space="0" w:color="C0C0C0"/>
            </w:tcBorders>
            <w:shd w:val="solid" w:color="FFFFCC" w:fill="FFFFFF"/>
            <w:vAlign w:val="center"/>
          </w:tcPr>
          <w:p w:rsidR="005967B6" w:rsidRPr="005967B6" w:rsidRDefault="005967B6" w:rsidP="006D5573">
            <w:pPr>
              <w:autoSpaceDE w:val="0"/>
              <w:autoSpaceDN w:val="0"/>
              <w:adjustRightInd w:val="0"/>
              <w:jc w:val="center"/>
              <w:rPr>
                <w:rFonts w:ascii="Calibri" w:eastAsia="宋体" w:hAnsi="Calibri" w:cs="Calibri"/>
                <w:color w:val="000000"/>
                <w:sz w:val="18"/>
                <w:szCs w:val="22"/>
                <w:lang w:eastAsia="zh-CN"/>
              </w:rPr>
            </w:pPr>
            <w:r w:rsidRPr="005967B6">
              <w:rPr>
                <w:rFonts w:ascii="Calibri" w:eastAsia="宋体" w:hAnsi="Calibri" w:cs="Calibri"/>
                <w:color w:val="000000"/>
                <w:sz w:val="18"/>
                <w:szCs w:val="22"/>
                <w:lang w:eastAsia="zh-CN"/>
              </w:rPr>
              <w:t>625</w:t>
            </w:r>
          </w:p>
        </w:tc>
      </w:tr>
    </w:tbl>
    <w:p w:rsidR="005967B6" w:rsidRPr="005967B6" w:rsidRDefault="005967B6" w:rsidP="005967B6">
      <w:pPr>
        <w:rPr>
          <w:lang w:val="en-GB" w:eastAsia="zh-CN"/>
        </w:rPr>
      </w:pPr>
    </w:p>
    <w:p w:rsidR="002A6EA3" w:rsidRDefault="00834E7C" w:rsidP="005967B6">
      <w:pPr>
        <w:pStyle w:val="a0"/>
        <w:rPr>
          <w:lang w:val="en-GB" w:eastAsia="zh-CN"/>
        </w:rPr>
      </w:pPr>
      <w:r>
        <w:rPr>
          <w:lang w:val="en-GB" w:eastAsia="zh-CN"/>
        </w:rPr>
        <w:t>The question is: i</w:t>
      </w:r>
      <w:r w:rsidR="00624776" w:rsidRPr="00045108">
        <w:rPr>
          <w:lang w:val="en-GB" w:eastAsia="zh-CN"/>
        </w:rPr>
        <w:t>s this sufficient for TSN?</w:t>
      </w:r>
      <w:r>
        <w:rPr>
          <w:lang w:val="en-GB" w:eastAsia="zh-CN"/>
        </w:rPr>
        <w:t xml:space="preserve"> In order to answer this question, we need to look further into the cycle times and end-to-end latency requirements of IIoT traffic.</w:t>
      </w:r>
    </w:p>
    <w:p w:rsidR="00153ADA" w:rsidRDefault="00834E7C" w:rsidP="00B16840">
      <w:pPr>
        <w:pStyle w:val="20"/>
        <w:ind w:left="562" w:hanging="562"/>
      </w:pPr>
      <w:bookmarkStart w:id="8" w:name="_Ref901712"/>
      <w:r w:rsidRPr="00834E7C">
        <w:rPr>
          <w:lang w:val="it-IT"/>
        </w:rPr>
        <w:t xml:space="preserve">22.804 requirements on cycle time and </w:t>
      </w:r>
      <w:r w:rsidR="007E28FF">
        <w:rPr>
          <w:lang w:val="it-IT"/>
        </w:rPr>
        <w:t>end-to-end</w:t>
      </w:r>
      <w:r w:rsidRPr="00834E7C">
        <w:rPr>
          <w:lang w:val="it-IT"/>
        </w:rPr>
        <w:t xml:space="preserve"> latency</w:t>
      </w:r>
      <w:bookmarkEnd w:id="8"/>
    </w:p>
    <w:p w:rsidR="006760E3" w:rsidRDefault="006760E3" w:rsidP="00053401">
      <w:pPr>
        <w:pStyle w:val="a0"/>
        <w:rPr>
          <w:lang w:eastAsia="zh-CN"/>
        </w:rPr>
      </w:pPr>
      <w:r>
        <w:rPr>
          <w:lang w:eastAsia="zh-CN"/>
        </w:rPr>
        <w:t xml:space="preserve">Some existing IIoT solutions support very small cycle times, for example </w:t>
      </w:r>
      <w:r w:rsidRPr="006760E3">
        <w:rPr>
          <w:lang w:eastAsia="zh-CN"/>
        </w:rPr>
        <w:t xml:space="preserve">EtherCAT </w:t>
      </w:r>
      <w:r>
        <w:rPr>
          <w:lang w:eastAsia="zh-CN"/>
        </w:rPr>
        <w:t>and PROFINET IRT support</w:t>
      </w:r>
      <w:r w:rsidRPr="006760E3">
        <w:rPr>
          <w:lang w:eastAsia="zh-CN"/>
        </w:rPr>
        <w:t xml:space="preserve"> cycle times as low as</w:t>
      </w:r>
      <w:r>
        <w:rPr>
          <w:lang w:eastAsia="zh-CN"/>
        </w:rPr>
        <w:t xml:space="preserve"> </w:t>
      </w:r>
      <w:r w:rsidRPr="006760E3">
        <w:rPr>
          <w:lang w:eastAsia="zh-CN"/>
        </w:rPr>
        <w:t>12.5 µs</w:t>
      </w:r>
      <w:r>
        <w:rPr>
          <w:lang w:eastAsia="zh-CN"/>
        </w:rPr>
        <w:t xml:space="preserve"> and</w:t>
      </w:r>
      <w:r w:rsidRPr="006760E3">
        <w:rPr>
          <w:lang w:eastAsia="zh-CN"/>
        </w:rPr>
        <w:t xml:space="preserve"> 31.25 µs</w:t>
      </w:r>
      <w:r>
        <w:rPr>
          <w:lang w:eastAsia="zh-CN"/>
        </w:rPr>
        <w:t xml:space="preserve"> respectively. TSN 802.1Qbv also supports very low </w:t>
      </w:r>
      <w:r w:rsidR="00F60E2F">
        <w:rPr>
          <w:lang w:eastAsia="zh-CN"/>
        </w:rPr>
        <w:t>cycle times</w:t>
      </w:r>
      <w:r>
        <w:rPr>
          <w:lang w:eastAsia="zh-CN"/>
        </w:rPr>
        <w:t>.</w:t>
      </w:r>
      <w:r w:rsidR="00F60E2F">
        <w:rPr>
          <w:lang w:eastAsia="zh-CN"/>
        </w:rPr>
        <w:t xml:space="preserve"> </w:t>
      </w:r>
      <w:r>
        <w:rPr>
          <w:lang w:eastAsia="zh-CN"/>
        </w:rPr>
        <w:t>So it should be first checked which lower bound should be considered for this SI.</w:t>
      </w:r>
    </w:p>
    <w:p w:rsidR="003C14D8" w:rsidRDefault="006760E3" w:rsidP="00053401">
      <w:pPr>
        <w:pStyle w:val="a0"/>
        <w:rPr>
          <w:lang w:eastAsia="zh-CN"/>
        </w:rPr>
      </w:pPr>
      <w:r>
        <w:rPr>
          <w:lang w:eastAsia="zh-CN"/>
        </w:rPr>
        <w:t xml:space="preserve">The cycle times </w:t>
      </w:r>
      <w:r w:rsidR="00F60E2F">
        <w:rPr>
          <w:lang w:eastAsia="zh-CN"/>
        </w:rPr>
        <w:t xml:space="preserve">for different </w:t>
      </w:r>
      <w:r w:rsidR="00F60E2F" w:rsidRPr="00F60E2F">
        <w:rPr>
          <w:i/>
          <w:lang w:eastAsia="zh-CN"/>
        </w:rPr>
        <w:t>Factories of the Future</w:t>
      </w:r>
      <w:r w:rsidR="00F60E2F">
        <w:rPr>
          <w:lang w:eastAsia="zh-CN"/>
        </w:rPr>
        <w:t xml:space="preserve"> applications are expressed in Table 5.3.2.1-1 of Section 5.3.2.1:</w:t>
      </w:r>
    </w:p>
    <w:p w:rsidR="00F60E2F" w:rsidRPr="00F60E2F" w:rsidRDefault="00F60E2F" w:rsidP="006760E3">
      <w:pPr>
        <w:pStyle w:val="a0"/>
        <w:keepNext/>
        <w:keepLines/>
        <w:jc w:val="center"/>
        <w:rPr>
          <w:lang w:eastAsia="zh-CN"/>
        </w:rPr>
      </w:pPr>
      <w:r w:rsidRPr="00F60E2F">
        <w:rPr>
          <w:b/>
          <w:bCs/>
          <w:lang w:val="en-GB" w:eastAsia="zh-CN"/>
        </w:rPr>
        <w:lastRenderedPageBreak/>
        <w:t>Table 5.3.2.1-1: Typical characteristics of motion control systems for three major applications</w:t>
      </w:r>
    </w:p>
    <w:tbl>
      <w:tblPr>
        <w:tblW w:w="5000" w:type="pct"/>
        <w:tblCellMar>
          <w:left w:w="0" w:type="dxa"/>
          <w:right w:w="0" w:type="dxa"/>
        </w:tblCellMar>
        <w:tblLook w:val="0420" w:firstRow="1" w:lastRow="0" w:firstColumn="0" w:lastColumn="0" w:noHBand="0" w:noVBand="1"/>
      </w:tblPr>
      <w:tblGrid>
        <w:gridCol w:w="2023"/>
        <w:gridCol w:w="1432"/>
        <w:gridCol w:w="1379"/>
        <w:gridCol w:w="1602"/>
        <w:gridCol w:w="2086"/>
      </w:tblGrid>
      <w:tr w:rsidR="00F60E2F" w:rsidRPr="00F60E2F" w:rsidTr="00F60E2F">
        <w:trPr>
          <w:trHeight w:val="20"/>
        </w:trPr>
        <w:tc>
          <w:tcPr>
            <w:tcW w:w="1187" w:type="pct"/>
            <w:tcBorders>
              <w:top w:val="single" w:sz="8" w:space="0" w:color="000000"/>
              <w:left w:val="single" w:sz="8" w:space="0" w:color="000000"/>
              <w:bottom w:val="single" w:sz="8" w:space="0" w:color="000000"/>
              <w:right w:val="single" w:sz="8" w:space="0" w:color="000000"/>
            </w:tcBorders>
            <w:shd w:val="clear" w:color="auto" w:fill="A5A5A5"/>
            <w:tcMar>
              <w:top w:w="15" w:type="dxa"/>
              <w:left w:w="108" w:type="dxa"/>
              <w:bottom w:w="0" w:type="dxa"/>
              <w:right w:w="108" w:type="dxa"/>
            </w:tcMar>
            <w:vAlign w:val="center"/>
            <w:hideMark/>
          </w:tcPr>
          <w:p w:rsidR="002A6EA3" w:rsidRPr="00F60E2F" w:rsidRDefault="00F60E2F" w:rsidP="00255C10">
            <w:pPr>
              <w:pStyle w:val="a0"/>
              <w:keepNext/>
              <w:keepLines/>
              <w:spacing w:after="0"/>
              <w:rPr>
                <w:sz w:val="18"/>
                <w:lang w:eastAsia="zh-CN"/>
              </w:rPr>
            </w:pPr>
            <w:r w:rsidRPr="00F60E2F">
              <w:rPr>
                <w:b/>
                <w:bCs/>
                <w:sz w:val="18"/>
                <w:lang w:val="en-GB" w:eastAsia="zh-CN"/>
              </w:rPr>
              <w:t>Application</w:t>
            </w:r>
          </w:p>
        </w:tc>
        <w:tc>
          <w:tcPr>
            <w:tcW w:w="840" w:type="pct"/>
            <w:tcBorders>
              <w:top w:val="single" w:sz="8" w:space="0" w:color="000000"/>
              <w:left w:val="single" w:sz="8" w:space="0" w:color="000000"/>
              <w:bottom w:val="single" w:sz="8" w:space="0" w:color="000000"/>
              <w:right w:val="single" w:sz="8" w:space="0" w:color="000000"/>
            </w:tcBorders>
            <w:shd w:val="clear" w:color="auto" w:fill="A5A5A5"/>
            <w:tcMar>
              <w:top w:w="15" w:type="dxa"/>
              <w:left w:w="108" w:type="dxa"/>
              <w:bottom w:w="0" w:type="dxa"/>
              <w:right w:w="108" w:type="dxa"/>
            </w:tcMar>
            <w:vAlign w:val="center"/>
            <w:hideMark/>
          </w:tcPr>
          <w:p w:rsidR="002A6EA3" w:rsidRPr="00F60E2F" w:rsidRDefault="00F60E2F" w:rsidP="00255C10">
            <w:pPr>
              <w:pStyle w:val="a0"/>
              <w:keepNext/>
              <w:keepLines/>
              <w:spacing w:after="0"/>
              <w:rPr>
                <w:sz w:val="18"/>
                <w:lang w:eastAsia="zh-CN"/>
              </w:rPr>
            </w:pPr>
            <w:r w:rsidRPr="00F60E2F">
              <w:rPr>
                <w:b/>
                <w:bCs/>
                <w:sz w:val="18"/>
                <w:lang w:val="en-GB" w:eastAsia="zh-CN"/>
              </w:rPr>
              <w:t># of sensors / actuators</w:t>
            </w:r>
          </w:p>
        </w:tc>
        <w:tc>
          <w:tcPr>
            <w:tcW w:w="809" w:type="pct"/>
            <w:tcBorders>
              <w:top w:val="single" w:sz="8" w:space="0" w:color="000000"/>
              <w:left w:val="single" w:sz="8" w:space="0" w:color="000000"/>
              <w:bottom w:val="single" w:sz="8" w:space="0" w:color="000000"/>
              <w:right w:val="single" w:sz="8" w:space="0" w:color="000000"/>
            </w:tcBorders>
            <w:shd w:val="clear" w:color="auto" w:fill="A5A5A5"/>
            <w:tcMar>
              <w:top w:w="15" w:type="dxa"/>
              <w:left w:w="108" w:type="dxa"/>
              <w:bottom w:w="0" w:type="dxa"/>
              <w:right w:w="108" w:type="dxa"/>
            </w:tcMar>
            <w:vAlign w:val="center"/>
            <w:hideMark/>
          </w:tcPr>
          <w:p w:rsidR="002A6EA3" w:rsidRPr="00F60E2F" w:rsidRDefault="00F60E2F" w:rsidP="00255C10">
            <w:pPr>
              <w:pStyle w:val="a0"/>
              <w:keepNext/>
              <w:keepLines/>
              <w:spacing w:after="0"/>
              <w:rPr>
                <w:sz w:val="18"/>
                <w:lang w:eastAsia="zh-CN"/>
              </w:rPr>
            </w:pPr>
            <w:r w:rsidRPr="00F60E2F">
              <w:rPr>
                <w:b/>
                <w:bCs/>
                <w:sz w:val="18"/>
                <w:lang w:val="en-GB" w:eastAsia="zh-CN"/>
              </w:rPr>
              <w:t>Typical message size</w:t>
            </w:r>
          </w:p>
        </w:tc>
        <w:tc>
          <w:tcPr>
            <w:tcW w:w="940" w:type="pct"/>
            <w:tcBorders>
              <w:top w:val="single" w:sz="8" w:space="0" w:color="000000"/>
              <w:left w:val="single" w:sz="8" w:space="0" w:color="000000"/>
              <w:bottom w:val="single" w:sz="8" w:space="0" w:color="000000"/>
              <w:right w:val="single" w:sz="8" w:space="0" w:color="000000"/>
            </w:tcBorders>
            <w:shd w:val="clear" w:color="auto" w:fill="A5A5A5"/>
            <w:tcMar>
              <w:top w:w="15" w:type="dxa"/>
              <w:left w:w="108" w:type="dxa"/>
              <w:bottom w:w="0" w:type="dxa"/>
              <w:right w:w="108" w:type="dxa"/>
            </w:tcMar>
            <w:vAlign w:val="center"/>
            <w:hideMark/>
          </w:tcPr>
          <w:p w:rsidR="002A6EA3" w:rsidRPr="00F60E2F" w:rsidRDefault="00F60E2F" w:rsidP="00255C10">
            <w:pPr>
              <w:pStyle w:val="a0"/>
              <w:keepNext/>
              <w:keepLines/>
              <w:spacing w:after="0"/>
              <w:rPr>
                <w:sz w:val="18"/>
                <w:lang w:eastAsia="zh-CN"/>
              </w:rPr>
            </w:pPr>
            <w:r w:rsidRPr="00F60E2F">
              <w:rPr>
                <w:b/>
                <w:bCs/>
                <w:sz w:val="18"/>
                <w:lang w:val="en-GB" w:eastAsia="zh-CN"/>
              </w:rPr>
              <w:t xml:space="preserve">Cycle time </w:t>
            </w:r>
            <w:r w:rsidRPr="00F60E2F">
              <w:rPr>
                <w:b/>
                <w:bCs/>
                <w:i/>
                <w:iCs/>
                <w:sz w:val="18"/>
                <w:lang w:val="en-GB" w:eastAsia="zh-CN"/>
              </w:rPr>
              <w:t>T</w:t>
            </w:r>
            <w:r w:rsidRPr="00F60E2F">
              <w:rPr>
                <w:b/>
                <w:bCs/>
                <w:sz w:val="18"/>
                <w:vertAlign w:val="subscript"/>
                <w:lang w:val="en-GB" w:eastAsia="zh-CN"/>
              </w:rPr>
              <w:t>cycle</w:t>
            </w:r>
          </w:p>
        </w:tc>
        <w:tc>
          <w:tcPr>
            <w:tcW w:w="1224" w:type="pct"/>
            <w:tcBorders>
              <w:top w:val="single" w:sz="8" w:space="0" w:color="000000"/>
              <w:left w:val="single" w:sz="8" w:space="0" w:color="000000"/>
              <w:bottom w:val="single" w:sz="8" w:space="0" w:color="000000"/>
              <w:right w:val="single" w:sz="8" w:space="0" w:color="000000"/>
            </w:tcBorders>
            <w:shd w:val="clear" w:color="auto" w:fill="A5A5A5"/>
            <w:tcMar>
              <w:top w:w="15" w:type="dxa"/>
              <w:left w:w="108" w:type="dxa"/>
              <w:bottom w:w="0" w:type="dxa"/>
              <w:right w:w="108" w:type="dxa"/>
            </w:tcMar>
            <w:vAlign w:val="center"/>
            <w:hideMark/>
          </w:tcPr>
          <w:p w:rsidR="002A6EA3" w:rsidRPr="00F60E2F" w:rsidRDefault="00F60E2F" w:rsidP="00255C10">
            <w:pPr>
              <w:pStyle w:val="a0"/>
              <w:keepNext/>
              <w:keepLines/>
              <w:spacing w:after="0"/>
              <w:rPr>
                <w:sz w:val="18"/>
                <w:lang w:eastAsia="zh-CN"/>
              </w:rPr>
            </w:pPr>
            <w:r w:rsidRPr="00F60E2F">
              <w:rPr>
                <w:b/>
                <w:bCs/>
                <w:sz w:val="18"/>
                <w:lang w:val="en-GB" w:eastAsia="zh-CN"/>
              </w:rPr>
              <w:t>Service area</w:t>
            </w:r>
          </w:p>
        </w:tc>
      </w:tr>
      <w:tr w:rsidR="00F60E2F" w:rsidRPr="00F60E2F" w:rsidTr="00F60E2F">
        <w:trPr>
          <w:trHeight w:val="20"/>
        </w:trPr>
        <w:tc>
          <w:tcPr>
            <w:tcW w:w="11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A6EA3" w:rsidRPr="00F60E2F" w:rsidRDefault="00F60E2F" w:rsidP="00255C10">
            <w:pPr>
              <w:pStyle w:val="a0"/>
              <w:keepNext/>
              <w:keepLines/>
              <w:spacing w:after="0"/>
              <w:rPr>
                <w:sz w:val="18"/>
                <w:lang w:eastAsia="zh-CN"/>
              </w:rPr>
            </w:pPr>
            <w:r w:rsidRPr="00F60E2F">
              <w:rPr>
                <w:sz w:val="18"/>
                <w:lang w:val="en-GB" w:eastAsia="zh-CN"/>
              </w:rPr>
              <w:t>Printing Machine</w:t>
            </w:r>
          </w:p>
        </w:tc>
        <w:tc>
          <w:tcPr>
            <w:tcW w:w="8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A6EA3" w:rsidRPr="00F60E2F" w:rsidRDefault="00F60E2F" w:rsidP="00255C10">
            <w:pPr>
              <w:pStyle w:val="a0"/>
              <w:keepNext/>
              <w:keepLines/>
              <w:spacing w:after="0"/>
              <w:rPr>
                <w:sz w:val="18"/>
                <w:lang w:eastAsia="zh-CN"/>
              </w:rPr>
            </w:pPr>
            <w:r w:rsidRPr="00F60E2F">
              <w:rPr>
                <w:sz w:val="18"/>
                <w:lang w:val="en-GB" w:eastAsia="zh-CN"/>
              </w:rPr>
              <w:t>&gt; 100</w:t>
            </w:r>
          </w:p>
        </w:tc>
        <w:tc>
          <w:tcPr>
            <w:tcW w:w="8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A6EA3" w:rsidRPr="00F60E2F" w:rsidRDefault="00F60E2F" w:rsidP="00255C10">
            <w:pPr>
              <w:pStyle w:val="a0"/>
              <w:keepNext/>
              <w:keepLines/>
              <w:spacing w:after="0"/>
              <w:rPr>
                <w:sz w:val="18"/>
                <w:lang w:eastAsia="zh-CN"/>
              </w:rPr>
            </w:pPr>
            <w:r w:rsidRPr="00F60E2F">
              <w:rPr>
                <w:sz w:val="18"/>
                <w:lang w:val="en-GB" w:eastAsia="zh-CN"/>
              </w:rPr>
              <w:t>20 byte</w:t>
            </w:r>
          </w:p>
        </w:tc>
        <w:tc>
          <w:tcPr>
            <w:tcW w:w="9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A6EA3" w:rsidRPr="00F60E2F" w:rsidRDefault="00F60E2F" w:rsidP="00255C10">
            <w:pPr>
              <w:pStyle w:val="a0"/>
              <w:keepNext/>
              <w:keepLines/>
              <w:spacing w:after="0"/>
              <w:rPr>
                <w:sz w:val="18"/>
                <w:lang w:eastAsia="zh-CN"/>
              </w:rPr>
            </w:pPr>
            <w:r w:rsidRPr="00F60E2F">
              <w:rPr>
                <w:sz w:val="18"/>
                <w:lang w:val="en-GB" w:eastAsia="zh-CN"/>
              </w:rPr>
              <w:t>&lt; 2 ms</w:t>
            </w:r>
          </w:p>
        </w:tc>
        <w:tc>
          <w:tcPr>
            <w:tcW w:w="122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A6EA3" w:rsidRPr="00F60E2F" w:rsidRDefault="00F60E2F" w:rsidP="00255C10">
            <w:pPr>
              <w:pStyle w:val="a0"/>
              <w:keepNext/>
              <w:keepLines/>
              <w:spacing w:after="0"/>
              <w:rPr>
                <w:sz w:val="18"/>
                <w:lang w:eastAsia="zh-CN"/>
              </w:rPr>
            </w:pPr>
            <w:r w:rsidRPr="00F60E2F">
              <w:rPr>
                <w:sz w:val="18"/>
                <w:lang w:val="en-GB" w:eastAsia="zh-CN"/>
              </w:rPr>
              <w:t>100 m x 100 m x 30 m</w:t>
            </w:r>
          </w:p>
        </w:tc>
      </w:tr>
      <w:tr w:rsidR="00F60E2F" w:rsidRPr="00F60E2F" w:rsidTr="00F60E2F">
        <w:trPr>
          <w:trHeight w:val="20"/>
        </w:trPr>
        <w:tc>
          <w:tcPr>
            <w:tcW w:w="11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A6EA3" w:rsidRPr="00F60E2F" w:rsidRDefault="00F60E2F" w:rsidP="00255C10">
            <w:pPr>
              <w:pStyle w:val="a0"/>
              <w:keepNext/>
              <w:keepLines/>
              <w:spacing w:after="0"/>
              <w:rPr>
                <w:sz w:val="18"/>
                <w:lang w:eastAsia="zh-CN"/>
              </w:rPr>
            </w:pPr>
            <w:r w:rsidRPr="00F60E2F">
              <w:rPr>
                <w:sz w:val="18"/>
                <w:lang w:val="en-GB" w:eastAsia="zh-CN"/>
              </w:rPr>
              <w:t>Machine Tool</w:t>
            </w:r>
          </w:p>
        </w:tc>
        <w:tc>
          <w:tcPr>
            <w:tcW w:w="8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A6EA3" w:rsidRPr="00F60E2F" w:rsidRDefault="00F60E2F" w:rsidP="00255C10">
            <w:pPr>
              <w:pStyle w:val="a0"/>
              <w:keepNext/>
              <w:keepLines/>
              <w:spacing w:after="0"/>
              <w:rPr>
                <w:sz w:val="18"/>
                <w:lang w:eastAsia="zh-CN"/>
              </w:rPr>
            </w:pPr>
            <w:r w:rsidRPr="00F60E2F">
              <w:rPr>
                <w:sz w:val="18"/>
                <w:lang w:val="en-GB" w:eastAsia="zh-CN"/>
              </w:rPr>
              <w:t>~ 20</w:t>
            </w:r>
          </w:p>
        </w:tc>
        <w:tc>
          <w:tcPr>
            <w:tcW w:w="8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A6EA3" w:rsidRPr="00F60E2F" w:rsidRDefault="00F60E2F" w:rsidP="00255C10">
            <w:pPr>
              <w:pStyle w:val="a0"/>
              <w:keepNext/>
              <w:keepLines/>
              <w:spacing w:after="0"/>
              <w:rPr>
                <w:sz w:val="18"/>
                <w:lang w:eastAsia="zh-CN"/>
              </w:rPr>
            </w:pPr>
            <w:r w:rsidRPr="00F60E2F">
              <w:rPr>
                <w:sz w:val="18"/>
                <w:lang w:val="en-GB" w:eastAsia="zh-CN"/>
              </w:rPr>
              <w:t>50 byte</w:t>
            </w:r>
          </w:p>
        </w:tc>
        <w:tc>
          <w:tcPr>
            <w:tcW w:w="9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A6EA3" w:rsidRPr="00F60E2F" w:rsidRDefault="00F60E2F" w:rsidP="00255C10">
            <w:pPr>
              <w:pStyle w:val="a0"/>
              <w:keepNext/>
              <w:keepLines/>
              <w:spacing w:after="0"/>
              <w:rPr>
                <w:sz w:val="18"/>
                <w:lang w:eastAsia="zh-CN"/>
              </w:rPr>
            </w:pPr>
            <w:r w:rsidRPr="00F60E2F">
              <w:rPr>
                <w:sz w:val="18"/>
                <w:lang w:val="en-GB" w:eastAsia="zh-CN"/>
              </w:rPr>
              <w:t xml:space="preserve">&lt; </w:t>
            </w:r>
            <w:r w:rsidRPr="00F60E2F">
              <w:rPr>
                <w:sz w:val="18"/>
                <w:highlight w:val="yellow"/>
                <w:lang w:val="en-GB" w:eastAsia="zh-CN"/>
              </w:rPr>
              <w:t>0.5 ms</w:t>
            </w:r>
          </w:p>
        </w:tc>
        <w:tc>
          <w:tcPr>
            <w:tcW w:w="122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A6EA3" w:rsidRPr="00F60E2F" w:rsidRDefault="00F60E2F" w:rsidP="00255C10">
            <w:pPr>
              <w:pStyle w:val="a0"/>
              <w:keepNext/>
              <w:keepLines/>
              <w:spacing w:after="0"/>
              <w:rPr>
                <w:sz w:val="18"/>
                <w:lang w:eastAsia="zh-CN"/>
              </w:rPr>
            </w:pPr>
            <w:r w:rsidRPr="00F60E2F">
              <w:rPr>
                <w:sz w:val="18"/>
                <w:lang w:val="en-GB" w:eastAsia="zh-CN"/>
              </w:rPr>
              <w:t>15 m x 15 m x 3 m</w:t>
            </w:r>
          </w:p>
        </w:tc>
      </w:tr>
      <w:tr w:rsidR="00F60E2F" w:rsidRPr="00F60E2F" w:rsidTr="00F60E2F">
        <w:trPr>
          <w:trHeight w:val="20"/>
        </w:trPr>
        <w:tc>
          <w:tcPr>
            <w:tcW w:w="11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A6EA3" w:rsidRPr="00F60E2F" w:rsidRDefault="00F60E2F" w:rsidP="00255C10">
            <w:pPr>
              <w:pStyle w:val="a0"/>
              <w:keepNext/>
              <w:keepLines/>
              <w:spacing w:after="0"/>
              <w:rPr>
                <w:sz w:val="18"/>
                <w:lang w:eastAsia="zh-CN"/>
              </w:rPr>
            </w:pPr>
            <w:r w:rsidRPr="00F60E2F">
              <w:rPr>
                <w:sz w:val="18"/>
                <w:lang w:val="en-GB" w:eastAsia="zh-CN"/>
              </w:rPr>
              <w:t>Packaging Machine</w:t>
            </w:r>
          </w:p>
        </w:tc>
        <w:tc>
          <w:tcPr>
            <w:tcW w:w="8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A6EA3" w:rsidRPr="00F60E2F" w:rsidRDefault="00F60E2F" w:rsidP="00255C10">
            <w:pPr>
              <w:pStyle w:val="a0"/>
              <w:keepNext/>
              <w:keepLines/>
              <w:spacing w:after="0"/>
              <w:rPr>
                <w:sz w:val="18"/>
                <w:lang w:eastAsia="zh-CN"/>
              </w:rPr>
            </w:pPr>
            <w:r w:rsidRPr="00F60E2F">
              <w:rPr>
                <w:sz w:val="18"/>
                <w:lang w:val="en-GB" w:eastAsia="zh-CN"/>
              </w:rPr>
              <w:t>~ 50</w:t>
            </w:r>
          </w:p>
        </w:tc>
        <w:tc>
          <w:tcPr>
            <w:tcW w:w="8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A6EA3" w:rsidRPr="00F60E2F" w:rsidRDefault="00F60E2F" w:rsidP="00255C10">
            <w:pPr>
              <w:pStyle w:val="a0"/>
              <w:keepNext/>
              <w:keepLines/>
              <w:spacing w:after="0"/>
              <w:rPr>
                <w:sz w:val="18"/>
                <w:lang w:eastAsia="zh-CN"/>
              </w:rPr>
            </w:pPr>
            <w:r w:rsidRPr="00F60E2F">
              <w:rPr>
                <w:sz w:val="18"/>
                <w:lang w:val="en-GB" w:eastAsia="zh-CN"/>
              </w:rPr>
              <w:t>40 byte</w:t>
            </w:r>
          </w:p>
        </w:tc>
        <w:tc>
          <w:tcPr>
            <w:tcW w:w="94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A6EA3" w:rsidRPr="00F60E2F" w:rsidRDefault="00F60E2F" w:rsidP="00255C10">
            <w:pPr>
              <w:pStyle w:val="a0"/>
              <w:keepNext/>
              <w:keepLines/>
              <w:spacing w:after="0"/>
              <w:rPr>
                <w:sz w:val="18"/>
                <w:lang w:eastAsia="zh-CN"/>
              </w:rPr>
            </w:pPr>
            <w:r w:rsidRPr="00F60E2F">
              <w:rPr>
                <w:sz w:val="18"/>
                <w:lang w:val="en-GB" w:eastAsia="zh-CN"/>
              </w:rPr>
              <w:t>&lt; 1 ms</w:t>
            </w:r>
          </w:p>
        </w:tc>
        <w:tc>
          <w:tcPr>
            <w:tcW w:w="122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A6EA3" w:rsidRPr="00F60E2F" w:rsidRDefault="00F60E2F" w:rsidP="00255C10">
            <w:pPr>
              <w:pStyle w:val="a0"/>
              <w:keepNext/>
              <w:keepLines/>
              <w:spacing w:after="0"/>
              <w:rPr>
                <w:sz w:val="18"/>
                <w:lang w:eastAsia="zh-CN"/>
              </w:rPr>
            </w:pPr>
            <w:r w:rsidRPr="00F60E2F">
              <w:rPr>
                <w:sz w:val="18"/>
                <w:lang w:val="en-GB" w:eastAsia="zh-CN"/>
              </w:rPr>
              <w:t>10 m x 5 m x 3 m</w:t>
            </w:r>
          </w:p>
        </w:tc>
      </w:tr>
    </w:tbl>
    <w:p w:rsidR="00F60E2F" w:rsidRDefault="00F60E2F" w:rsidP="00255C10">
      <w:pPr>
        <w:pStyle w:val="a0"/>
        <w:spacing w:before="120"/>
        <w:rPr>
          <w:lang w:eastAsia="zh-CN"/>
        </w:rPr>
      </w:pPr>
      <w:r>
        <w:rPr>
          <w:lang w:eastAsia="zh-CN"/>
        </w:rPr>
        <w:t>And then converted into requirements in Section 5.3.2.6:</w:t>
      </w:r>
    </w:p>
    <w:tbl>
      <w:tblPr>
        <w:tblW w:w="5000" w:type="pct"/>
        <w:tblCellMar>
          <w:left w:w="0" w:type="dxa"/>
          <w:right w:w="0" w:type="dxa"/>
        </w:tblCellMar>
        <w:tblLook w:val="04A0" w:firstRow="1" w:lastRow="0" w:firstColumn="1" w:lastColumn="0" w:noHBand="0" w:noVBand="1"/>
      </w:tblPr>
      <w:tblGrid>
        <w:gridCol w:w="1119"/>
        <w:gridCol w:w="5382"/>
        <w:gridCol w:w="1045"/>
        <w:gridCol w:w="904"/>
      </w:tblGrid>
      <w:tr w:rsidR="00F60E2F" w:rsidRPr="00F60E2F" w:rsidTr="006760E3">
        <w:trPr>
          <w:trHeight w:val="20"/>
        </w:trPr>
        <w:tc>
          <w:tcPr>
            <w:tcW w:w="70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2A6EA3" w:rsidRPr="00F60E2F" w:rsidRDefault="00F60E2F" w:rsidP="006760E3">
            <w:pPr>
              <w:pStyle w:val="a0"/>
              <w:spacing w:after="0"/>
              <w:rPr>
                <w:sz w:val="18"/>
                <w:lang w:eastAsia="zh-CN"/>
              </w:rPr>
            </w:pPr>
            <w:r w:rsidRPr="00F60E2F">
              <w:rPr>
                <w:b/>
                <w:bCs/>
                <w:sz w:val="18"/>
                <w:lang w:eastAsia="zh-CN"/>
              </w:rPr>
              <w:t>Reference number</w:t>
            </w:r>
          </w:p>
        </w:tc>
        <w:tc>
          <w:tcPr>
            <w:tcW w:w="3230"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2A6EA3" w:rsidRPr="00F60E2F" w:rsidRDefault="00F60E2F" w:rsidP="006760E3">
            <w:pPr>
              <w:pStyle w:val="a0"/>
              <w:spacing w:after="0"/>
              <w:rPr>
                <w:sz w:val="18"/>
                <w:lang w:eastAsia="zh-CN"/>
              </w:rPr>
            </w:pPr>
            <w:r w:rsidRPr="00F60E2F">
              <w:rPr>
                <w:b/>
                <w:bCs/>
                <w:sz w:val="18"/>
                <w:lang w:eastAsia="zh-CN"/>
              </w:rPr>
              <w:t>Requirement text</w:t>
            </w:r>
          </w:p>
        </w:tc>
        <w:tc>
          <w:tcPr>
            <w:tcW w:w="66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2A6EA3" w:rsidRPr="00F60E2F" w:rsidRDefault="00F60E2F" w:rsidP="006760E3">
            <w:pPr>
              <w:pStyle w:val="a0"/>
              <w:spacing w:after="0"/>
              <w:rPr>
                <w:sz w:val="18"/>
                <w:lang w:eastAsia="zh-CN"/>
              </w:rPr>
            </w:pPr>
            <w:r w:rsidRPr="00F60E2F">
              <w:rPr>
                <w:b/>
                <w:bCs/>
                <w:sz w:val="18"/>
                <w:lang w:eastAsia="zh-CN"/>
              </w:rPr>
              <w:t>Application / transport</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2A6EA3" w:rsidRPr="00F60E2F" w:rsidRDefault="00F60E2F" w:rsidP="006760E3">
            <w:pPr>
              <w:pStyle w:val="a0"/>
              <w:spacing w:after="0"/>
              <w:rPr>
                <w:sz w:val="18"/>
                <w:lang w:eastAsia="zh-CN"/>
              </w:rPr>
            </w:pPr>
            <w:r w:rsidRPr="00F60E2F">
              <w:rPr>
                <w:b/>
                <w:bCs/>
                <w:sz w:val="18"/>
                <w:lang w:eastAsia="zh-CN"/>
              </w:rPr>
              <w:t>Comment</w:t>
            </w:r>
          </w:p>
        </w:tc>
      </w:tr>
      <w:tr w:rsidR="00F60E2F" w:rsidRPr="00F60E2F" w:rsidTr="006760E3">
        <w:trPr>
          <w:trHeight w:val="20"/>
        </w:trPr>
        <w:tc>
          <w:tcPr>
            <w:tcW w:w="70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2A6EA3" w:rsidRPr="00F60E2F" w:rsidRDefault="00F60E2F" w:rsidP="006760E3">
            <w:pPr>
              <w:pStyle w:val="a0"/>
              <w:spacing w:after="0"/>
              <w:rPr>
                <w:sz w:val="18"/>
                <w:lang w:eastAsia="zh-CN"/>
              </w:rPr>
            </w:pPr>
            <w:r w:rsidRPr="00F60E2F">
              <w:rPr>
                <w:i/>
                <w:iCs/>
                <w:sz w:val="18"/>
                <w:lang w:eastAsia="zh-CN"/>
              </w:rPr>
              <w:t>Factories of the Future 2.1</w:t>
            </w:r>
          </w:p>
        </w:tc>
        <w:tc>
          <w:tcPr>
            <w:tcW w:w="3230"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2A6EA3" w:rsidRPr="00F60E2F" w:rsidRDefault="00F60E2F" w:rsidP="006760E3">
            <w:pPr>
              <w:pStyle w:val="a0"/>
              <w:spacing w:after="0"/>
              <w:rPr>
                <w:sz w:val="18"/>
                <w:lang w:eastAsia="zh-CN"/>
              </w:rPr>
            </w:pPr>
            <w:r w:rsidRPr="00F60E2F">
              <w:rPr>
                <w:sz w:val="18"/>
                <w:lang w:eastAsia="zh-CN"/>
              </w:rPr>
              <w:t>The 5G system shall support cyclic traffic with cycle times in the order of 1 ms for a communication group of about 50 UEs and payload sizes of about 40 byte.</w:t>
            </w:r>
          </w:p>
        </w:tc>
        <w:tc>
          <w:tcPr>
            <w:tcW w:w="66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2A6EA3" w:rsidRPr="00F60E2F" w:rsidRDefault="00F60E2F" w:rsidP="006760E3">
            <w:pPr>
              <w:pStyle w:val="a0"/>
              <w:spacing w:after="0"/>
              <w:rPr>
                <w:sz w:val="18"/>
                <w:lang w:eastAsia="zh-CN"/>
              </w:rPr>
            </w:pPr>
            <w:r w:rsidRPr="00F60E2F">
              <w:rPr>
                <w:sz w:val="18"/>
                <w:lang w:eastAsia="zh-CN"/>
              </w:rPr>
              <w:t>T</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2A6EA3" w:rsidRPr="00F60E2F" w:rsidRDefault="00F60E2F" w:rsidP="006760E3">
            <w:pPr>
              <w:pStyle w:val="a0"/>
              <w:spacing w:after="0"/>
              <w:rPr>
                <w:sz w:val="18"/>
                <w:lang w:eastAsia="zh-CN"/>
              </w:rPr>
            </w:pPr>
            <w:r w:rsidRPr="00F60E2F">
              <w:rPr>
                <w:sz w:val="18"/>
                <w:lang w:val="en-GB" w:eastAsia="zh-CN"/>
              </w:rPr>
              <w:t> </w:t>
            </w:r>
          </w:p>
        </w:tc>
      </w:tr>
      <w:tr w:rsidR="00F60E2F" w:rsidRPr="00F60E2F" w:rsidTr="006760E3">
        <w:trPr>
          <w:trHeight w:val="20"/>
        </w:trPr>
        <w:tc>
          <w:tcPr>
            <w:tcW w:w="70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2A6EA3" w:rsidRPr="00F60E2F" w:rsidRDefault="00F60E2F" w:rsidP="006760E3">
            <w:pPr>
              <w:pStyle w:val="a0"/>
              <w:spacing w:after="0"/>
              <w:rPr>
                <w:sz w:val="18"/>
                <w:lang w:eastAsia="zh-CN"/>
              </w:rPr>
            </w:pPr>
            <w:r w:rsidRPr="00F60E2F">
              <w:rPr>
                <w:i/>
                <w:iCs/>
                <w:sz w:val="18"/>
                <w:lang w:eastAsia="zh-CN"/>
              </w:rPr>
              <w:t>Factories of the Future 2.2</w:t>
            </w:r>
          </w:p>
        </w:tc>
        <w:tc>
          <w:tcPr>
            <w:tcW w:w="3230"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2A6EA3" w:rsidRPr="00F60E2F" w:rsidRDefault="00F60E2F" w:rsidP="006760E3">
            <w:pPr>
              <w:pStyle w:val="a0"/>
              <w:spacing w:after="0"/>
              <w:rPr>
                <w:sz w:val="18"/>
                <w:lang w:eastAsia="zh-CN"/>
              </w:rPr>
            </w:pPr>
            <w:r w:rsidRPr="00F60E2F">
              <w:rPr>
                <w:sz w:val="18"/>
                <w:lang w:eastAsia="zh-CN"/>
              </w:rPr>
              <w:t xml:space="preserve">The 5G system shall support cyclic traffic with cycle times in the order of </w:t>
            </w:r>
            <w:r w:rsidRPr="00F60E2F">
              <w:rPr>
                <w:sz w:val="18"/>
                <w:highlight w:val="yellow"/>
                <w:lang w:eastAsia="zh-CN"/>
              </w:rPr>
              <w:t>0,5 ms</w:t>
            </w:r>
            <w:r w:rsidRPr="00F60E2F">
              <w:rPr>
                <w:sz w:val="18"/>
                <w:lang w:eastAsia="zh-CN"/>
              </w:rPr>
              <w:t xml:space="preserve"> for a communication group of about 20 U</w:t>
            </w:r>
            <w:r w:rsidR="006760E3" w:rsidRPr="00F60E2F">
              <w:rPr>
                <w:sz w:val="18"/>
                <w:lang w:eastAsia="zh-CN"/>
              </w:rPr>
              <w:t>e</w:t>
            </w:r>
            <w:r w:rsidRPr="00F60E2F">
              <w:rPr>
                <w:sz w:val="18"/>
                <w:lang w:eastAsia="zh-CN"/>
              </w:rPr>
              <w:t>s and payload sizes of about 50 byte.</w:t>
            </w:r>
          </w:p>
        </w:tc>
        <w:tc>
          <w:tcPr>
            <w:tcW w:w="66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2A6EA3" w:rsidRPr="00F60E2F" w:rsidRDefault="00F60E2F" w:rsidP="006760E3">
            <w:pPr>
              <w:pStyle w:val="a0"/>
              <w:spacing w:after="0"/>
              <w:rPr>
                <w:sz w:val="18"/>
                <w:lang w:eastAsia="zh-CN"/>
              </w:rPr>
            </w:pPr>
            <w:r w:rsidRPr="00F60E2F">
              <w:rPr>
                <w:sz w:val="18"/>
                <w:lang w:eastAsia="zh-CN"/>
              </w:rPr>
              <w:t>T</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2A6EA3" w:rsidRPr="00F60E2F" w:rsidRDefault="00F60E2F" w:rsidP="006760E3">
            <w:pPr>
              <w:pStyle w:val="a0"/>
              <w:spacing w:after="0"/>
              <w:rPr>
                <w:sz w:val="18"/>
                <w:lang w:eastAsia="zh-CN"/>
              </w:rPr>
            </w:pPr>
            <w:r w:rsidRPr="00F60E2F">
              <w:rPr>
                <w:sz w:val="18"/>
                <w:lang w:val="en-GB" w:eastAsia="zh-CN"/>
              </w:rPr>
              <w:t> </w:t>
            </w:r>
          </w:p>
        </w:tc>
      </w:tr>
      <w:tr w:rsidR="00F60E2F" w:rsidRPr="00F60E2F" w:rsidTr="006760E3">
        <w:trPr>
          <w:trHeight w:val="20"/>
        </w:trPr>
        <w:tc>
          <w:tcPr>
            <w:tcW w:w="70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2A6EA3" w:rsidRPr="00F60E2F" w:rsidRDefault="00F60E2F" w:rsidP="006760E3">
            <w:pPr>
              <w:pStyle w:val="a0"/>
              <w:spacing w:after="0"/>
              <w:rPr>
                <w:sz w:val="18"/>
                <w:lang w:eastAsia="zh-CN"/>
              </w:rPr>
            </w:pPr>
            <w:r w:rsidRPr="00F60E2F">
              <w:rPr>
                <w:i/>
                <w:iCs/>
                <w:sz w:val="18"/>
                <w:lang w:eastAsia="zh-CN"/>
              </w:rPr>
              <w:t>Factories of the Future 2.3</w:t>
            </w:r>
          </w:p>
        </w:tc>
        <w:tc>
          <w:tcPr>
            <w:tcW w:w="3230"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2A6EA3" w:rsidRPr="00F60E2F" w:rsidRDefault="00F60E2F" w:rsidP="006760E3">
            <w:pPr>
              <w:pStyle w:val="a0"/>
              <w:spacing w:after="0"/>
              <w:rPr>
                <w:sz w:val="18"/>
                <w:lang w:eastAsia="zh-CN"/>
              </w:rPr>
            </w:pPr>
            <w:r w:rsidRPr="00F60E2F">
              <w:rPr>
                <w:sz w:val="18"/>
                <w:lang w:eastAsia="zh-CN"/>
              </w:rPr>
              <w:t>The 5G system shall support cyclic traffic with cycle times in the order of 2 ms for a communication group of about 100 U</w:t>
            </w:r>
            <w:r w:rsidR="006760E3" w:rsidRPr="00F60E2F">
              <w:rPr>
                <w:sz w:val="18"/>
                <w:lang w:eastAsia="zh-CN"/>
              </w:rPr>
              <w:t>e</w:t>
            </w:r>
            <w:r w:rsidRPr="00F60E2F">
              <w:rPr>
                <w:sz w:val="18"/>
                <w:lang w:eastAsia="zh-CN"/>
              </w:rPr>
              <w:t>s and payload sizes of about 20 byte.</w:t>
            </w:r>
          </w:p>
        </w:tc>
        <w:tc>
          <w:tcPr>
            <w:tcW w:w="664"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2A6EA3" w:rsidRPr="00F60E2F" w:rsidRDefault="00F60E2F" w:rsidP="006760E3">
            <w:pPr>
              <w:pStyle w:val="a0"/>
              <w:spacing w:after="0"/>
              <w:rPr>
                <w:sz w:val="18"/>
                <w:lang w:eastAsia="zh-CN"/>
              </w:rPr>
            </w:pPr>
            <w:r w:rsidRPr="00F60E2F">
              <w:rPr>
                <w:sz w:val="18"/>
                <w:lang w:eastAsia="zh-CN"/>
              </w:rPr>
              <w:t>T</w:t>
            </w:r>
          </w:p>
        </w:tc>
        <w:tc>
          <w:tcPr>
            <w:tcW w:w="398" w:type="pct"/>
            <w:tcBorders>
              <w:top w:val="single" w:sz="8" w:space="0" w:color="000000"/>
              <w:left w:val="single" w:sz="8" w:space="0" w:color="000000"/>
              <w:bottom w:val="single" w:sz="8" w:space="0" w:color="000000"/>
              <w:right w:val="single" w:sz="8" w:space="0" w:color="000000"/>
            </w:tcBorders>
            <w:shd w:val="clear" w:color="auto" w:fill="auto"/>
            <w:tcMar>
              <w:top w:w="15" w:type="dxa"/>
              <w:left w:w="72" w:type="dxa"/>
              <w:bottom w:w="0" w:type="dxa"/>
              <w:right w:w="72" w:type="dxa"/>
            </w:tcMar>
            <w:hideMark/>
          </w:tcPr>
          <w:p w:rsidR="002A6EA3" w:rsidRPr="00F60E2F" w:rsidRDefault="00F60E2F" w:rsidP="006760E3">
            <w:pPr>
              <w:pStyle w:val="a0"/>
              <w:spacing w:after="0"/>
              <w:rPr>
                <w:sz w:val="18"/>
                <w:lang w:eastAsia="zh-CN"/>
              </w:rPr>
            </w:pPr>
            <w:r w:rsidRPr="00F60E2F">
              <w:rPr>
                <w:sz w:val="18"/>
                <w:lang w:val="en-GB" w:eastAsia="zh-CN"/>
              </w:rPr>
              <w:t> </w:t>
            </w:r>
          </w:p>
        </w:tc>
      </w:tr>
    </w:tbl>
    <w:p w:rsidR="00F60E2F" w:rsidRDefault="006760E3" w:rsidP="00255C10">
      <w:pPr>
        <w:pStyle w:val="a0"/>
        <w:spacing w:before="120"/>
        <w:rPr>
          <w:lang w:eastAsia="zh-CN"/>
        </w:rPr>
      </w:pPr>
      <w:r>
        <w:rPr>
          <w:lang w:eastAsia="zh-CN"/>
        </w:rPr>
        <w:t>From the above, a first observation can be derived as follows:</w:t>
      </w:r>
    </w:p>
    <w:p w:rsidR="006760E3" w:rsidRPr="006760E3" w:rsidRDefault="006760E3" w:rsidP="00053401">
      <w:pPr>
        <w:pStyle w:val="a0"/>
        <w:rPr>
          <w:b/>
        </w:rPr>
      </w:pPr>
      <w:r w:rsidRPr="006760E3">
        <w:rPr>
          <w:b/>
          <w:lang w:eastAsia="zh-CN"/>
        </w:rPr>
        <w:t xml:space="preserve">Observation 1: </w:t>
      </w:r>
      <w:r w:rsidRPr="006760E3">
        <w:rPr>
          <w:b/>
        </w:rPr>
        <w:t>The lower end cycle time values of EtherCAT, PROFINET IRT or 802.1Qbv below 500 µs are not in the scope of this SI.</w:t>
      </w:r>
    </w:p>
    <w:p w:rsidR="00255C10" w:rsidRDefault="00255C10" w:rsidP="00053401">
      <w:pPr>
        <w:pStyle w:val="a0"/>
        <w:rPr>
          <w:lang w:eastAsia="zh-CN"/>
        </w:rPr>
      </w:pPr>
      <w:r>
        <w:rPr>
          <w:lang w:eastAsia="zh-CN"/>
        </w:rPr>
        <w:t>Now looking at the end-to-end latency requirements in the merged requirement section</w:t>
      </w:r>
      <w:r w:rsidR="00153A30">
        <w:rPr>
          <w:lang w:eastAsia="zh-CN"/>
        </w:rPr>
        <w:t xml:space="preserve"> 8.1.2</w:t>
      </w:r>
      <w:r>
        <w:rPr>
          <w:lang w:eastAsia="zh-CN"/>
        </w:rPr>
        <w:t>, we can see that the above cycle times for the most stringent IIoT applications con</w:t>
      </w:r>
      <w:r w:rsidR="00153A30">
        <w:rPr>
          <w:lang w:eastAsia="zh-CN"/>
        </w:rPr>
        <w:t>stitute an upper bound for the end-to-end latency:</w:t>
      </w:r>
    </w:p>
    <w:tbl>
      <w:tblPr>
        <w:tblW w:w="5000" w:type="pct"/>
        <w:tblCellMar>
          <w:left w:w="0" w:type="dxa"/>
          <w:right w:w="0" w:type="dxa"/>
        </w:tblCellMar>
        <w:tblLook w:val="04A0" w:firstRow="1" w:lastRow="0" w:firstColumn="1" w:lastColumn="0" w:noHBand="0" w:noVBand="1"/>
      </w:tblPr>
      <w:tblGrid>
        <w:gridCol w:w="1141"/>
        <w:gridCol w:w="713"/>
        <w:gridCol w:w="713"/>
        <w:gridCol w:w="716"/>
        <w:gridCol w:w="718"/>
        <w:gridCol w:w="716"/>
        <w:gridCol w:w="696"/>
        <w:gridCol w:w="686"/>
        <w:gridCol w:w="709"/>
        <w:gridCol w:w="962"/>
        <w:gridCol w:w="712"/>
      </w:tblGrid>
      <w:tr w:rsidR="00153A30" w:rsidRPr="00153A30" w:rsidTr="00153A30">
        <w:trPr>
          <w:trHeight w:val="20"/>
        </w:trPr>
        <w:tc>
          <w:tcPr>
            <w:tcW w:w="1464"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b/>
                <w:bCs/>
                <w:sz w:val="14"/>
                <w:lang w:val="en-GB" w:eastAsia="zh-CN"/>
              </w:rPr>
              <w:t>Characteristic parameter (KPI)</w:t>
            </w:r>
          </w:p>
        </w:tc>
        <w:tc>
          <w:tcPr>
            <w:tcW w:w="2606" w:type="pct"/>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b/>
                <w:bCs/>
                <w:sz w:val="14"/>
                <w:lang w:val="en-GB" w:eastAsia="zh-CN"/>
              </w:rPr>
              <w:t>Influence quantity</w:t>
            </w:r>
          </w:p>
        </w:tc>
        <w:tc>
          <w:tcPr>
            <w:tcW w:w="492"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b/>
                <w:bCs/>
                <w:sz w:val="14"/>
                <w:lang w:val="en-GB" w:eastAsia="zh-CN"/>
              </w:rPr>
              <w:t>Requirement</w:t>
            </w:r>
          </w:p>
        </w:tc>
        <w:tc>
          <w:tcPr>
            <w:tcW w:w="43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b/>
                <w:bCs/>
                <w:sz w:val="14"/>
                <w:lang w:val="en-GB" w:eastAsia="zh-CN"/>
              </w:rPr>
              <w:t>Remark</w:t>
            </w:r>
          </w:p>
        </w:tc>
      </w:tr>
      <w:tr w:rsidR="00153A30" w:rsidRPr="00153A30" w:rsidTr="00153A30">
        <w:trPr>
          <w:trHeight w:val="20"/>
        </w:trPr>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b/>
                <w:bCs/>
                <w:sz w:val="14"/>
                <w:lang w:val="en-GB" w:eastAsia="zh-CN"/>
              </w:rPr>
              <w:t>Communication service availability</w:t>
            </w:r>
          </w:p>
        </w:tc>
        <w:tc>
          <w:tcPr>
            <w:tcW w:w="438"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b/>
                <w:bCs/>
                <w:sz w:val="14"/>
                <w:lang w:val="en-GB" w:eastAsia="zh-CN"/>
              </w:rPr>
              <w:t>End-to-end latency: target value</w:t>
            </w:r>
          </w:p>
        </w:tc>
        <w:tc>
          <w:tcPr>
            <w:tcW w:w="438"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b/>
                <w:bCs/>
                <w:sz w:val="14"/>
                <w:lang w:val="en-GB" w:eastAsia="zh-CN"/>
              </w:rPr>
              <w:t>End-to-end latency: jitter (note)</w:t>
            </w:r>
          </w:p>
        </w:tc>
        <w:tc>
          <w:tcPr>
            <w:tcW w:w="440"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b/>
                <w:bCs/>
                <w:sz w:val="14"/>
                <w:lang w:val="en-GB" w:eastAsia="zh-CN"/>
              </w:rPr>
              <w:t>Message size [byte]</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b/>
                <w:bCs/>
                <w:sz w:val="14"/>
                <w:lang w:val="en-GB" w:eastAsia="zh-CN"/>
              </w:rPr>
              <w:t>Transfer interval: target value</w:t>
            </w:r>
          </w:p>
        </w:tc>
        <w:tc>
          <w:tcPr>
            <w:tcW w:w="440"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b/>
                <w:bCs/>
                <w:sz w:val="14"/>
                <w:lang w:val="en-GB" w:eastAsia="zh-CN"/>
              </w:rPr>
              <w:t>Survival time</w:t>
            </w:r>
          </w:p>
        </w:tc>
        <w:tc>
          <w:tcPr>
            <w:tcW w:w="428"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b/>
                <w:bCs/>
                <w:sz w:val="14"/>
                <w:lang w:val="en-GB" w:eastAsia="zh-CN"/>
              </w:rPr>
              <w:t>UE speed</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b/>
                <w:bCs/>
                <w:sz w:val="14"/>
                <w:lang w:val="en-GB" w:eastAsia="zh-CN"/>
              </w:rPr>
              <w:t># of UEs</w:t>
            </w:r>
          </w:p>
        </w:tc>
        <w:tc>
          <w:tcPr>
            <w:tcW w:w="435"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b/>
                <w:bCs/>
                <w:sz w:val="14"/>
                <w:lang w:val="en-GB" w:eastAsia="zh-CN"/>
              </w:rPr>
              <w:t>Service area</w:t>
            </w:r>
          </w:p>
        </w:tc>
        <w:tc>
          <w:tcPr>
            <w:tcW w:w="492" w:type="pct"/>
            <w:vMerge/>
            <w:tcBorders>
              <w:top w:val="single" w:sz="8" w:space="0" w:color="000000"/>
              <w:left w:val="single" w:sz="8" w:space="0" w:color="000000"/>
              <w:bottom w:val="single" w:sz="8" w:space="0" w:color="000000"/>
              <w:right w:val="single" w:sz="8" w:space="0" w:color="000000"/>
            </w:tcBorders>
            <w:vAlign w:val="center"/>
            <w:hideMark/>
          </w:tcPr>
          <w:p w:rsidR="00153A30" w:rsidRPr="00153A30" w:rsidRDefault="00153A30" w:rsidP="00153A30">
            <w:pPr>
              <w:pStyle w:val="a0"/>
              <w:spacing w:after="0"/>
              <w:jc w:val="center"/>
              <w:rPr>
                <w:sz w:val="14"/>
                <w:lang w:eastAsia="zh-CN"/>
              </w:rPr>
            </w:pPr>
          </w:p>
        </w:tc>
        <w:tc>
          <w:tcPr>
            <w:tcW w:w="439" w:type="pct"/>
            <w:vMerge/>
            <w:tcBorders>
              <w:top w:val="single" w:sz="8" w:space="0" w:color="000000"/>
              <w:left w:val="single" w:sz="8" w:space="0" w:color="000000"/>
              <w:bottom w:val="single" w:sz="8" w:space="0" w:color="000000"/>
              <w:right w:val="single" w:sz="8" w:space="0" w:color="000000"/>
            </w:tcBorders>
            <w:vAlign w:val="center"/>
            <w:hideMark/>
          </w:tcPr>
          <w:p w:rsidR="00153A30" w:rsidRPr="00153A30" w:rsidRDefault="00153A30" w:rsidP="00153A30">
            <w:pPr>
              <w:pStyle w:val="a0"/>
              <w:spacing w:after="0"/>
              <w:jc w:val="center"/>
              <w:rPr>
                <w:sz w:val="14"/>
                <w:lang w:eastAsia="zh-CN"/>
              </w:rPr>
            </w:pPr>
          </w:p>
        </w:tc>
      </w:tr>
      <w:tr w:rsidR="00153A30" w:rsidRPr="00153A30" w:rsidTr="00153A30">
        <w:trPr>
          <w:trHeight w:val="20"/>
        </w:trPr>
        <w:tc>
          <w:tcPr>
            <w:tcW w:w="589"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sz w:val="14"/>
                <w:lang w:val="en-GB" w:eastAsia="zh-CN"/>
              </w:rPr>
              <w:t>99,9999% to 99,999999%</w:t>
            </w:r>
          </w:p>
        </w:tc>
        <w:tc>
          <w:tcPr>
            <w:tcW w:w="438"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sz w:val="14"/>
                <w:highlight w:val="yellow"/>
                <w:lang w:val="en-GB" w:eastAsia="zh-CN"/>
              </w:rPr>
              <w:t>&lt; transfer interval</w:t>
            </w:r>
          </w:p>
        </w:tc>
        <w:tc>
          <w:tcPr>
            <w:tcW w:w="438"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2A6EA3" w:rsidP="00153A30">
            <w:pPr>
              <w:pStyle w:val="a0"/>
              <w:spacing w:after="0"/>
              <w:jc w:val="center"/>
              <w:rPr>
                <w:sz w:val="14"/>
                <w:lang w:eastAsia="zh-CN"/>
              </w:rPr>
            </w:pPr>
          </w:p>
        </w:tc>
        <w:tc>
          <w:tcPr>
            <w:tcW w:w="440"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sz w:val="14"/>
                <w:lang w:val="en-GB" w:eastAsia="zh-CN"/>
              </w:rPr>
              <w:t>20 to 50</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sz w:val="14"/>
                <w:highlight w:val="yellow"/>
                <w:lang w:val="en-GB" w:eastAsia="zh-CN"/>
              </w:rPr>
              <w:t>0,5 ms</w:t>
            </w:r>
            <w:r w:rsidRPr="00153A30">
              <w:rPr>
                <w:sz w:val="14"/>
                <w:lang w:val="en-GB" w:eastAsia="zh-CN"/>
              </w:rPr>
              <w:t xml:space="preserve"> to 2 ms</w:t>
            </w:r>
          </w:p>
        </w:tc>
        <w:tc>
          <w:tcPr>
            <w:tcW w:w="440"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sz w:val="14"/>
                <w:lang w:val="en-GB" w:eastAsia="zh-CN"/>
              </w:rPr>
              <w:t>Transfer interval</w:t>
            </w:r>
          </w:p>
        </w:tc>
        <w:tc>
          <w:tcPr>
            <w:tcW w:w="428"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sz w:val="14"/>
                <w:lang w:val="en-GB" w:eastAsia="zh-CN"/>
              </w:rPr>
              <w:t>≤ 20 m/s</w:t>
            </w:r>
          </w:p>
        </w:tc>
        <w:tc>
          <w:tcPr>
            <w:tcW w:w="422"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sz w:val="14"/>
                <w:lang w:val="en-GB" w:eastAsia="zh-CN"/>
              </w:rPr>
              <w:t>≤ 100</w:t>
            </w:r>
          </w:p>
        </w:tc>
        <w:tc>
          <w:tcPr>
            <w:tcW w:w="435"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153A30" w:rsidRPr="00153A30" w:rsidRDefault="00153A30" w:rsidP="00153A30">
            <w:pPr>
              <w:pStyle w:val="a0"/>
              <w:spacing w:after="0"/>
              <w:jc w:val="center"/>
              <w:rPr>
                <w:sz w:val="14"/>
                <w:lang w:eastAsia="zh-CN"/>
              </w:rPr>
            </w:pPr>
          </w:p>
        </w:tc>
        <w:tc>
          <w:tcPr>
            <w:tcW w:w="492"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i/>
                <w:iCs/>
                <w:sz w:val="14"/>
                <w:lang w:val="en-GB" w:eastAsia="zh-CN"/>
              </w:rPr>
              <w:t>Factories of the Future 2.1, 2.2, 2.3, 2.8, 2.10</w:t>
            </w:r>
          </w:p>
        </w:tc>
        <w:tc>
          <w:tcPr>
            <w:tcW w:w="439" w:type="pct"/>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sz w:val="14"/>
                <w:lang w:val="en-GB" w:eastAsia="zh-CN"/>
              </w:rPr>
              <w:t>Motion control and control-to-control use cases</w:t>
            </w:r>
          </w:p>
        </w:tc>
      </w:tr>
      <w:tr w:rsidR="00153A30" w:rsidRPr="00153A30" w:rsidTr="00153A30">
        <w:trPr>
          <w:trHeight w:val="20"/>
        </w:trPr>
        <w:tc>
          <w:tcPr>
            <w:tcW w:w="5000" w:type="pct"/>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2A6EA3" w:rsidRPr="00153A30" w:rsidRDefault="00153A30" w:rsidP="00153A30">
            <w:pPr>
              <w:pStyle w:val="a0"/>
              <w:spacing w:after="0"/>
              <w:jc w:val="center"/>
              <w:rPr>
                <w:sz w:val="14"/>
                <w:lang w:eastAsia="zh-CN"/>
              </w:rPr>
            </w:pPr>
            <w:r w:rsidRPr="00153A30">
              <w:rPr>
                <w:sz w:val="14"/>
                <w:lang w:val="en-GB" w:eastAsia="zh-CN"/>
              </w:rPr>
              <w:t>NOTE 1: The jitter interval is symmetric. However, only late arrivals count as communication error.</w:t>
            </w:r>
          </w:p>
        </w:tc>
      </w:tr>
    </w:tbl>
    <w:p w:rsidR="00153A30" w:rsidRDefault="00153A30" w:rsidP="00053401">
      <w:pPr>
        <w:pStyle w:val="a0"/>
        <w:rPr>
          <w:lang w:eastAsia="zh-CN"/>
        </w:rPr>
      </w:pPr>
    </w:p>
    <w:p w:rsidR="00F60E2F" w:rsidRPr="00255C10" w:rsidRDefault="006760E3" w:rsidP="00053401">
      <w:pPr>
        <w:pStyle w:val="a0"/>
        <w:rPr>
          <w:lang w:val="en-GB" w:eastAsia="zh-CN"/>
        </w:rPr>
      </w:pPr>
      <w:r>
        <w:rPr>
          <w:lang w:eastAsia="zh-CN"/>
        </w:rPr>
        <w:t xml:space="preserve">Another example </w:t>
      </w:r>
      <w:r w:rsidR="00255C10">
        <w:rPr>
          <w:lang w:eastAsia="zh-CN"/>
        </w:rPr>
        <w:t xml:space="preserve">of cycle time is given in Section 5.6.6.1 (Smart Grid) </w:t>
      </w:r>
    </w:p>
    <w:tbl>
      <w:tblPr>
        <w:tblStyle w:val="a7"/>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86"/>
        <w:gridCol w:w="7036"/>
      </w:tblGrid>
      <w:tr w:rsidR="00255C10" w:rsidRPr="00255C10" w:rsidTr="00255C10">
        <w:trPr>
          <w:trHeight w:val="567"/>
        </w:trPr>
        <w:tc>
          <w:tcPr>
            <w:tcW w:w="872" w:type="pct"/>
            <w:hideMark/>
          </w:tcPr>
          <w:p w:rsidR="002A6EA3" w:rsidRPr="00255C10" w:rsidRDefault="00255C10" w:rsidP="00255C10">
            <w:pPr>
              <w:pStyle w:val="a0"/>
              <w:spacing w:after="0"/>
              <w:rPr>
                <w:lang w:eastAsia="zh-CN"/>
              </w:rPr>
            </w:pPr>
            <w:r w:rsidRPr="00255C10">
              <w:rPr>
                <w:b/>
                <w:bCs/>
                <w:lang w:val="en-GB" w:eastAsia="zh-CN"/>
              </w:rPr>
              <w:t>Reference number</w:t>
            </w:r>
          </w:p>
        </w:tc>
        <w:tc>
          <w:tcPr>
            <w:tcW w:w="4128" w:type="pct"/>
            <w:hideMark/>
          </w:tcPr>
          <w:p w:rsidR="002A6EA3" w:rsidRPr="00255C10" w:rsidRDefault="00255C10" w:rsidP="00255C10">
            <w:pPr>
              <w:pStyle w:val="a0"/>
              <w:spacing w:after="0"/>
              <w:rPr>
                <w:lang w:eastAsia="zh-CN"/>
              </w:rPr>
            </w:pPr>
            <w:r w:rsidRPr="00255C10">
              <w:rPr>
                <w:b/>
                <w:bCs/>
                <w:lang w:val="en-GB" w:eastAsia="zh-CN"/>
              </w:rPr>
              <w:t>Requirement text</w:t>
            </w:r>
          </w:p>
        </w:tc>
      </w:tr>
      <w:tr w:rsidR="00255C10" w:rsidRPr="00255C10" w:rsidTr="00255C10">
        <w:trPr>
          <w:trHeight w:val="169"/>
        </w:trPr>
        <w:tc>
          <w:tcPr>
            <w:tcW w:w="872" w:type="pct"/>
            <w:hideMark/>
          </w:tcPr>
          <w:p w:rsidR="002A6EA3" w:rsidRPr="00255C10" w:rsidRDefault="00255C10" w:rsidP="00255C10">
            <w:pPr>
              <w:pStyle w:val="a0"/>
              <w:spacing w:after="0"/>
              <w:rPr>
                <w:lang w:eastAsia="zh-CN"/>
              </w:rPr>
            </w:pPr>
            <w:r w:rsidRPr="00255C10">
              <w:rPr>
                <w:b/>
                <w:bCs/>
                <w:lang w:val="en-GB" w:eastAsia="zh-CN"/>
              </w:rPr>
              <w:t>Electric Power Distribution 5.1</w:t>
            </w:r>
          </w:p>
        </w:tc>
        <w:tc>
          <w:tcPr>
            <w:tcW w:w="4128" w:type="pct"/>
            <w:hideMark/>
          </w:tcPr>
          <w:p w:rsidR="002A6EA3" w:rsidRPr="00255C10" w:rsidRDefault="00255C10" w:rsidP="00255C10">
            <w:pPr>
              <w:pStyle w:val="a0"/>
              <w:spacing w:after="0"/>
              <w:rPr>
                <w:lang w:eastAsia="zh-CN"/>
              </w:rPr>
            </w:pPr>
            <w:r w:rsidRPr="00255C10">
              <w:rPr>
                <w:lang w:val="en-GB" w:eastAsia="zh-CN"/>
              </w:rPr>
              <w:t>The 5G system shall support a peer-to-peer data communication service with cycle times in the order of 0,8 ms.</w:t>
            </w:r>
          </w:p>
        </w:tc>
      </w:tr>
    </w:tbl>
    <w:p w:rsidR="00F60E2F" w:rsidRDefault="00255C10" w:rsidP="00053401">
      <w:pPr>
        <w:pStyle w:val="a0"/>
        <w:rPr>
          <w:lang w:eastAsia="zh-CN"/>
        </w:rPr>
      </w:pPr>
      <w:r>
        <w:rPr>
          <w:lang w:eastAsia="zh-CN"/>
        </w:rPr>
        <w:t>From further description in the body text, it is clarified that this requirement comes with an end-to-end latency of 15ms.</w:t>
      </w:r>
    </w:p>
    <w:p w:rsidR="007E28FF" w:rsidRDefault="007E28FF" w:rsidP="00053401">
      <w:pPr>
        <w:pStyle w:val="a0"/>
        <w:rPr>
          <w:lang w:eastAsia="zh-CN"/>
        </w:rPr>
      </w:pPr>
      <w:r>
        <w:rPr>
          <w:lang w:eastAsia="zh-CN"/>
        </w:rPr>
        <w:t>From the above examples/requirements we can derive the following observation:</w:t>
      </w:r>
    </w:p>
    <w:p w:rsidR="00153A30" w:rsidRDefault="00255C10" w:rsidP="00255C10">
      <w:pPr>
        <w:pStyle w:val="a0"/>
        <w:rPr>
          <w:b/>
          <w:lang w:eastAsia="zh-CN"/>
        </w:rPr>
      </w:pPr>
      <w:r>
        <w:rPr>
          <w:b/>
          <w:lang w:eastAsia="zh-CN"/>
        </w:rPr>
        <w:t>Observation 2</w:t>
      </w:r>
      <w:r w:rsidRPr="006760E3">
        <w:rPr>
          <w:b/>
          <w:lang w:eastAsia="zh-CN"/>
        </w:rPr>
        <w:t xml:space="preserve">: </w:t>
      </w:r>
      <w:r w:rsidR="00153A30">
        <w:rPr>
          <w:b/>
          <w:lang w:eastAsia="zh-CN"/>
        </w:rPr>
        <w:t>Depending on the IIoT application, the end-to-end latency can be smaller or larger than the cycle time.</w:t>
      </w:r>
    </w:p>
    <w:p w:rsidR="00921B35" w:rsidRDefault="00921B35" w:rsidP="00921B35">
      <w:pPr>
        <w:pStyle w:val="20"/>
        <w:ind w:left="562" w:hanging="562"/>
      </w:pPr>
      <w:r>
        <w:rPr>
          <w:lang w:val="it-IT"/>
        </w:rPr>
        <w:t>Impact on CG periodicities</w:t>
      </w:r>
    </w:p>
    <w:p w:rsidR="00255C10" w:rsidRDefault="00921B35" w:rsidP="00053401">
      <w:pPr>
        <w:pStyle w:val="a0"/>
        <w:rPr>
          <w:lang w:val="en-GB" w:eastAsia="zh-CN"/>
        </w:rPr>
      </w:pPr>
      <w:r>
        <w:rPr>
          <w:lang w:eastAsia="zh-CN"/>
        </w:rPr>
        <w:t xml:space="preserve">As discussed in Section </w:t>
      </w:r>
      <w:r>
        <w:rPr>
          <w:lang w:eastAsia="zh-CN"/>
        </w:rPr>
        <w:fldChar w:fldCharType="begin"/>
      </w:r>
      <w:r>
        <w:rPr>
          <w:lang w:eastAsia="zh-CN"/>
        </w:rPr>
        <w:instrText xml:space="preserve"> REF _Ref901712 \r \h </w:instrText>
      </w:r>
      <w:r>
        <w:rPr>
          <w:lang w:eastAsia="zh-CN"/>
        </w:rPr>
      </w:r>
      <w:r>
        <w:rPr>
          <w:lang w:eastAsia="zh-CN"/>
        </w:rPr>
        <w:fldChar w:fldCharType="separate"/>
      </w:r>
      <w:r>
        <w:rPr>
          <w:lang w:eastAsia="zh-CN"/>
        </w:rPr>
        <w:t>2.1</w:t>
      </w:r>
      <w:r>
        <w:rPr>
          <w:lang w:eastAsia="zh-CN"/>
        </w:rPr>
        <w:fldChar w:fldCharType="end"/>
      </w:r>
      <w:r>
        <w:rPr>
          <w:lang w:eastAsia="zh-CN"/>
        </w:rPr>
        <w:t xml:space="preserve">, we need to consider two cases: </w:t>
      </w:r>
      <w:r w:rsidRPr="00921B35">
        <w:rPr>
          <w:lang w:val="en-GB" w:eastAsia="zh-CN"/>
        </w:rPr>
        <w:t xml:space="preserve">the </w:t>
      </w:r>
      <w:r w:rsidR="007E28FF">
        <w:rPr>
          <w:lang w:val="en-GB" w:eastAsia="zh-CN"/>
        </w:rPr>
        <w:t>end-to-end</w:t>
      </w:r>
      <w:r w:rsidRPr="00921B35">
        <w:rPr>
          <w:lang w:val="en-GB" w:eastAsia="zh-CN"/>
        </w:rPr>
        <w:t xml:space="preserve"> latency is larger </w:t>
      </w:r>
      <w:r>
        <w:rPr>
          <w:lang w:val="en-GB" w:eastAsia="zh-CN"/>
        </w:rPr>
        <w:t xml:space="preserve">or smaller </w:t>
      </w:r>
      <w:r w:rsidRPr="00921B35">
        <w:rPr>
          <w:lang w:val="en-GB" w:eastAsia="zh-CN"/>
        </w:rPr>
        <w:t>than the cycle time</w:t>
      </w:r>
      <w:r>
        <w:rPr>
          <w:lang w:val="en-GB" w:eastAsia="zh-CN"/>
        </w:rPr>
        <w:t>.</w:t>
      </w:r>
    </w:p>
    <w:p w:rsidR="00921B35" w:rsidRPr="00F71ACA" w:rsidRDefault="00921B35" w:rsidP="00053401">
      <w:pPr>
        <w:pStyle w:val="a0"/>
        <w:rPr>
          <w:u w:val="single"/>
          <w:lang w:eastAsia="zh-CN"/>
        </w:rPr>
      </w:pPr>
      <w:r w:rsidRPr="00F71ACA">
        <w:rPr>
          <w:u w:val="single"/>
          <w:lang w:val="en-GB" w:eastAsia="zh-CN"/>
        </w:rPr>
        <w:t xml:space="preserve">Case 1: the </w:t>
      </w:r>
      <w:r w:rsidR="007E28FF">
        <w:rPr>
          <w:u w:val="single"/>
          <w:lang w:val="en-GB" w:eastAsia="zh-CN"/>
        </w:rPr>
        <w:t>end-to-end</w:t>
      </w:r>
      <w:r w:rsidRPr="00F71ACA">
        <w:rPr>
          <w:u w:val="single"/>
          <w:lang w:val="en-GB" w:eastAsia="zh-CN"/>
        </w:rPr>
        <w:t xml:space="preserve"> latency is larger than the cycle time</w:t>
      </w:r>
      <w:r w:rsidR="00F71ACA" w:rsidRPr="00F71ACA">
        <w:rPr>
          <w:u w:val="single"/>
          <w:lang w:val="en-GB" w:eastAsia="zh-CN"/>
        </w:rPr>
        <w:t xml:space="preserve"> (</w:t>
      </w:r>
      <w:r w:rsidR="00F71ACA" w:rsidRPr="00F71ACA">
        <w:rPr>
          <w:u w:val="single"/>
          <w:lang w:val="en-GB" w:eastAsia="zh-CN"/>
        </w:rPr>
        <w:fldChar w:fldCharType="begin"/>
      </w:r>
      <w:r w:rsidR="00F71ACA" w:rsidRPr="00F71ACA">
        <w:rPr>
          <w:u w:val="single"/>
          <w:lang w:val="en-GB" w:eastAsia="zh-CN"/>
        </w:rPr>
        <w:instrText xml:space="preserve"> REF _Ref787363 \h  \* MERGEFORMAT </w:instrText>
      </w:r>
      <w:r w:rsidR="00F71ACA" w:rsidRPr="00F71ACA">
        <w:rPr>
          <w:u w:val="single"/>
          <w:lang w:val="en-GB" w:eastAsia="zh-CN"/>
        </w:rPr>
      </w:r>
      <w:r w:rsidR="00F71ACA" w:rsidRPr="00F71ACA">
        <w:rPr>
          <w:u w:val="single"/>
          <w:lang w:val="en-GB" w:eastAsia="zh-CN"/>
        </w:rPr>
        <w:fldChar w:fldCharType="separate"/>
      </w:r>
      <w:r w:rsidR="00F71ACA" w:rsidRPr="00F71ACA">
        <w:rPr>
          <w:u w:val="single"/>
        </w:rPr>
        <w:t xml:space="preserve">Figure </w:t>
      </w:r>
      <w:r w:rsidR="00F71ACA" w:rsidRPr="00F71ACA">
        <w:rPr>
          <w:noProof/>
          <w:u w:val="single"/>
        </w:rPr>
        <w:t>1</w:t>
      </w:r>
      <w:r w:rsidR="00F71ACA" w:rsidRPr="00F71ACA">
        <w:rPr>
          <w:u w:val="single"/>
          <w:lang w:val="en-GB" w:eastAsia="zh-CN"/>
        </w:rPr>
        <w:fldChar w:fldCharType="end"/>
      </w:r>
      <w:r w:rsidR="00F71ACA" w:rsidRPr="00F71ACA">
        <w:rPr>
          <w:u w:val="single"/>
          <w:lang w:val="en-GB" w:eastAsia="zh-CN"/>
        </w:rPr>
        <w:t>)</w:t>
      </w:r>
    </w:p>
    <w:p w:rsidR="00921B35" w:rsidRDefault="00921B35" w:rsidP="004C6D68">
      <w:pPr>
        <w:pStyle w:val="a0"/>
        <w:rPr>
          <w:lang w:eastAsia="zh-CN"/>
        </w:rPr>
      </w:pPr>
      <w:r>
        <w:rPr>
          <w:lang w:eastAsia="zh-CN"/>
        </w:rPr>
        <w:lastRenderedPageBreak/>
        <w:t xml:space="preserve">In such case </w:t>
      </w:r>
      <w:r w:rsidR="004C6D68">
        <w:rPr>
          <w:lang w:eastAsia="zh-CN"/>
        </w:rPr>
        <w:t>c</w:t>
      </w:r>
      <w:r w:rsidRPr="00921B35">
        <w:rPr>
          <w:lang w:eastAsia="zh-CN"/>
        </w:rPr>
        <w:t>onsecutive messages can be grouped into one CG/SPS and de-jittered at the 5GS boundary (e.g. in the translators)</w:t>
      </w:r>
      <w:r w:rsidR="004C6D68">
        <w:rPr>
          <w:lang w:eastAsia="zh-CN"/>
        </w:rPr>
        <w:t xml:space="preserve">, as shown in </w:t>
      </w:r>
      <w:r w:rsidR="004C6D68" w:rsidRPr="004C6D68">
        <w:rPr>
          <w:lang w:eastAsia="zh-CN"/>
        </w:rPr>
        <w:t>Figure 1</w:t>
      </w:r>
      <w:r w:rsidR="004C6D68">
        <w:rPr>
          <w:lang w:eastAsia="zh-CN"/>
        </w:rPr>
        <w:t xml:space="preserve">. As a consequence, </w:t>
      </w:r>
      <w:r w:rsidRPr="00921B35">
        <w:rPr>
          <w:lang w:eastAsia="zh-CN"/>
        </w:rPr>
        <w:t xml:space="preserve">CG/SPS periodicity does not need to meet the cycle time as long as it meets the </w:t>
      </w:r>
      <w:r w:rsidR="007E28FF">
        <w:rPr>
          <w:lang w:eastAsia="zh-CN"/>
        </w:rPr>
        <w:t>end-to-end</w:t>
      </w:r>
      <w:r w:rsidRPr="00921B35">
        <w:rPr>
          <w:lang w:eastAsia="zh-CN"/>
        </w:rPr>
        <w:t xml:space="preserve"> latency</w:t>
      </w:r>
      <w:r w:rsidR="004C6D68">
        <w:rPr>
          <w:lang w:eastAsia="zh-CN"/>
        </w:rPr>
        <w:t>, which is not expected to be stringent in that case, and therefore can be addressed by Rel-15 CG periodicities.</w:t>
      </w:r>
    </w:p>
    <w:p w:rsidR="00921B35" w:rsidRDefault="00F71ACA" w:rsidP="00F71ACA">
      <w:pPr>
        <w:pStyle w:val="a0"/>
        <w:rPr>
          <w:lang w:eastAsia="zh-CN"/>
        </w:rPr>
      </w:pPr>
      <w:r>
        <w:rPr>
          <w:lang w:eastAsia="zh-CN"/>
        </w:rPr>
        <w:object w:dxaOrig="15842" w:dyaOrig="7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pt;height:212.55pt" o:ole="">
            <v:imagedata r:id="rId9" o:title=""/>
          </v:shape>
          <o:OLEObject Type="Embed" ProgID="Visio.Drawing.11" ShapeID="_x0000_i1025" DrawAspect="Content" ObjectID="_1611738060" r:id="rId10"/>
        </w:object>
      </w:r>
    </w:p>
    <w:p w:rsidR="008305E6" w:rsidRDefault="008305E6" w:rsidP="008305E6">
      <w:pPr>
        <w:pStyle w:val="a5"/>
        <w:keepNext/>
        <w:keepLines/>
        <w:spacing w:after="240"/>
        <w:jc w:val="center"/>
        <w:rPr>
          <w:b/>
          <w:lang w:eastAsia="zh-CN"/>
        </w:rPr>
      </w:pPr>
      <w:bookmarkStart w:id="9" w:name="_Ref787363"/>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Pr="000A60DD">
        <w:rPr>
          <w:b/>
          <w:noProof/>
        </w:rPr>
        <w:t>1</w:t>
      </w:r>
      <w:r w:rsidRPr="000A60DD">
        <w:rPr>
          <w:b/>
        </w:rPr>
        <w:fldChar w:fldCharType="end"/>
      </w:r>
      <w:bookmarkEnd w:id="9"/>
      <w:r>
        <w:rPr>
          <w:b/>
        </w:rPr>
        <w:t>:</w:t>
      </w:r>
      <w:r w:rsidRPr="000A60DD">
        <w:rPr>
          <w:rFonts w:hint="eastAsia"/>
          <w:b/>
          <w:lang w:eastAsia="zh-CN"/>
        </w:rPr>
        <w:t xml:space="preserve"> </w:t>
      </w:r>
      <w:r w:rsidR="00F71ACA">
        <w:rPr>
          <w:b/>
          <w:lang w:eastAsia="zh-CN"/>
        </w:rPr>
        <w:t>T</w:t>
      </w:r>
      <w:r w:rsidR="00F71ACA" w:rsidRPr="00F71ACA">
        <w:rPr>
          <w:b/>
          <w:lang w:eastAsia="zh-CN"/>
        </w:rPr>
        <w:t xml:space="preserve">he </w:t>
      </w:r>
      <w:r w:rsidR="007E28FF">
        <w:rPr>
          <w:b/>
          <w:lang w:eastAsia="zh-CN"/>
        </w:rPr>
        <w:t>end-to-end</w:t>
      </w:r>
      <w:r w:rsidR="00F71ACA" w:rsidRPr="00F71ACA">
        <w:rPr>
          <w:b/>
          <w:lang w:eastAsia="zh-CN"/>
        </w:rPr>
        <w:t xml:space="preserve"> latency is larger than the cycle time</w:t>
      </w:r>
    </w:p>
    <w:p w:rsidR="004C6D68" w:rsidRDefault="004C6D68" w:rsidP="004C6D68">
      <w:pPr>
        <w:pStyle w:val="a0"/>
        <w:rPr>
          <w:b/>
          <w:lang w:eastAsia="zh-CN"/>
        </w:rPr>
      </w:pPr>
      <w:r>
        <w:rPr>
          <w:b/>
          <w:lang w:eastAsia="zh-CN"/>
        </w:rPr>
        <w:t>Observation 3</w:t>
      </w:r>
      <w:r w:rsidRPr="006760E3">
        <w:rPr>
          <w:b/>
          <w:lang w:eastAsia="zh-CN"/>
        </w:rPr>
        <w:t xml:space="preserve">: </w:t>
      </w:r>
      <w:r w:rsidR="00616026">
        <w:rPr>
          <w:b/>
          <w:lang w:eastAsia="zh-CN"/>
        </w:rPr>
        <w:t>Rel-15 CG periodicities are sufficient to address t</w:t>
      </w:r>
      <w:r>
        <w:rPr>
          <w:b/>
          <w:lang w:eastAsia="zh-CN"/>
        </w:rPr>
        <w:t xml:space="preserve">he case when </w:t>
      </w:r>
      <w:r w:rsidRPr="004C6D68">
        <w:rPr>
          <w:b/>
          <w:lang w:eastAsia="zh-CN"/>
        </w:rPr>
        <w:t xml:space="preserve">the </w:t>
      </w:r>
      <w:r w:rsidR="007E28FF">
        <w:rPr>
          <w:b/>
          <w:lang w:eastAsia="zh-CN"/>
        </w:rPr>
        <w:t>end-to-end</w:t>
      </w:r>
      <w:r w:rsidRPr="004C6D68">
        <w:rPr>
          <w:b/>
          <w:lang w:eastAsia="zh-CN"/>
        </w:rPr>
        <w:t xml:space="preserve"> latency is larger than the cycle time</w:t>
      </w:r>
      <w:r w:rsidR="00616026">
        <w:rPr>
          <w:b/>
          <w:lang w:eastAsia="zh-CN"/>
        </w:rPr>
        <w:t>.</w:t>
      </w:r>
    </w:p>
    <w:p w:rsidR="00F71ACA" w:rsidRPr="00F71ACA" w:rsidRDefault="00F71ACA" w:rsidP="00F71ACA">
      <w:pPr>
        <w:pStyle w:val="a0"/>
        <w:rPr>
          <w:u w:val="single"/>
          <w:lang w:eastAsia="zh-CN"/>
        </w:rPr>
      </w:pPr>
      <w:r w:rsidRPr="00F71ACA">
        <w:rPr>
          <w:u w:val="single"/>
          <w:lang w:val="en-GB" w:eastAsia="zh-CN"/>
        </w:rPr>
        <w:t xml:space="preserve">Case 2: the </w:t>
      </w:r>
      <w:r w:rsidR="007E28FF">
        <w:rPr>
          <w:u w:val="single"/>
          <w:lang w:val="en-GB" w:eastAsia="zh-CN"/>
        </w:rPr>
        <w:t>end-to-end</w:t>
      </w:r>
      <w:r w:rsidRPr="00F71ACA">
        <w:rPr>
          <w:u w:val="single"/>
          <w:lang w:val="en-GB" w:eastAsia="zh-CN"/>
        </w:rPr>
        <w:t xml:space="preserve"> latency is smaller or equal to the cycle time (</w:t>
      </w:r>
      <w:r w:rsidRPr="00F71ACA">
        <w:rPr>
          <w:u w:val="single"/>
          <w:lang w:val="en-GB" w:eastAsia="zh-CN"/>
        </w:rPr>
        <w:fldChar w:fldCharType="begin"/>
      </w:r>
      <w:r w:rsidRPr="00F71ACA">
        <w:rPr>
          <w:u w:val="single"/>
          <w:lang w:val="en-GB" w:eastAsia="zh-CN"/>
        </w:rPr>
        <w:instrText xml:space="preserve"> REF _Ref902562 \h  \* MERGEFORMAT </w:instrText>
      </w:r>
      <w:r w:rsidRPr="00F71ACA">
        <w:rPr>
          <w:u w:val="single"/>
          <w:lang w:val="en-GB" w:eastAsia="zh-CN"/>
        </w:rPr>
      </w:r>
      <w:r w:rsidRPr="00F71ACA">
        <w:rPr>
          <w:u w:val="single"/>
          <w:lang w:val="en-GB" w:eastAsia="zh-CN"/>
        </w:rPr>
        <w:fldChar w:fldCharType="separate"/>
      </w:r>
      <w:r w:rsidRPr="00F71ACA">
        <w:rPr>
          <w:u w:val="single"/>
        </w:rPr>
        <w:t xml:space="preserve">Figure </w:t>
      </w:r>
      <w:r w:rsidRPr="00F71ACA">
        <w:rPr>
          <w:noProof/>
          <w:u w:val="single"/>
        </w:rPr>
        <w:t>2</w:t>
      </w:r>
      <w:r w:rsidRPr="00F71ACA">
        <w:rPr>
          <w:u w:val="single"/>
          <w:lang w:val="en-GB" w:eastAsia="zh-CN"/>
        </w:rPr>
        <w:fldChar w:fldCharType="end"/>
      </w:r>
      <w:r w:rsidRPr="00F71ACA">
        <w:rPr>
          <w:u w:val="single"/>
          <w:lang w:val="en-GB" w:eastAsia="zh-CN"/>
        </w:rPr>
        <w:t>)</w:t>
      </w:r>
    </w:p>
    <w:p w:rsidR="002A6EA3" w:rsidRPr="00F71ACA" w:rsidRDefault="00616026" w:rsidP="00F71ACA">
      <w:pPr>
        <w:pStyle w:val="a0"/>
        <w:rPr>
          <w:lang w:eastAsia="zh-CN"/>
        </w:rPr>
      </w:pPr>
      <w:r>
        <w:rPr>
          <w:lang w:eastAsia="zh-CN"/>
        </w:rPr>
        <w:t xml:space="preserve">This is the case of the most stringent </w:t>
      </w:r>
      <w:r w:rsidR="007E28FF">
        <w:rPr>
          <w:lang w:eastAsia="zh-CN"/>
        </w:rPr>
        <w:t>end-to-end</w:t>
      </w:r>
      <w:r>
        <w:rPr>
          <w:lang w:eastAsia="zh-CN"/>
        </w:rPr>
        <w:t xml:space="preserve"> latency requirements (&lt; 0.5ms). </w:t>
      </w:r>
      <w:r w:rsidR="00F71ACA">
        <w:rPr>
          <w:lang w:eastAsia="zh-CN"/>
        </w:rPr>
        <w:t xml:space="preserve">In such case, </w:t>
      </w:r>
      <w:r w:rsidR="00F71ACA">
        <w:rPr>
          <w:lang w:val="en-GB" w:eastAsia="zh-CN"/>
        </w:rPr>
        <w:t>t</w:t>
      </w:r>
      <w:r w:rsidR="00624776" w:rsidRPr="00F71ACA">
        <w:rPr>
          <w:lang w:val="en-GB" w:eastAsia="zh-CN"/>
        </w:rPr>
        <w:t xml:space="preserve">he solution consists in oversampling the cycle time with SPS/CGs </w:t>
      </w:r>
      <w:r w:rsidR="00F71ACA">
        <w:rPr>
          <w:lang w:val="en-GB" w:eastAsia="zh-CN"/>
        </w:rPr>
        <w:t xml:space="preserve">resources </w:t>
      </w:r>
      <w:r w:rsidR="00624776" w:rsidRPr="00F71ACA">
        <w:rPr>
          <w:lang w:val="en-GB" w:eastAsia="zh-CN"/>
        </w:rPr>
        <w:t xml:space="preserve">and </w:t>
      </w:r>
      <w:r w:rsidR="00F71ACA">
        <w:rPr>
          <w:lang w:val="en-GB" w:eastAsia="zh-CN"/>
        </w:rPr>
        <w:t xml:space="preserve">to use only one SPS/CG out of N. </w:t>
      </w:r>
      <w:r w:rsidR="00624776" w:rsidRPr="00F71ACA">
        <w:rPr>
          <w:lang w:val="en-GB" w:eastAsia="zh-CN"/>
        </w:rPr>
        <w:t xml:space="preserve">The (oversampling) SPS/CG periodicity is chosen to meet the </w:t>
      </w:r>
      <w:r w:rsidR="007E28FF">
        <w:rPr>
          <w:lang w:val="en-GB" w:eastAsia="zh-CN"/>
        </w:rPr>
        <w:t>end-to-end</w:t>
      </w:r>
      <w:r w:rsidR="00624776" w:rsidRPr="00F71ACA">
        <w:rPr>
          <w:lang w:val="en-GB" w:eastAsia="zh-CN"/>
        </w:rPr>
        <w:t xml:space="preserve"> latency requirement, rather than the cycle time.</w:t>
      </w:r>
    </w:p>
    <w:p w:rsidR="002A6EA3" w:rsidRPr="00636883" w:rsidRDefault="00636883" w:rsidP="00F71ACA">
      <w:pPr>
        <w:pStyle w:val="a0"/>
        <w:rPr>
          <w:lang w:eastAsia="zh-CN"/>
        </w:rPr>
      </w:pPr>
      <w:r w:rsidRPr="00636883">
        <w:rPr>
          <w:lang w:val="en-GB" w:eastAsia="zh-CN"/>
        </w:rPr>
        <w:t xml:space="preserve">Let’s take an </w:t>
      </w:r>
      <w:r w:rsidR="00624776" w:rsidRPr="00636883">
        <w:rPr>
          <w:lang w:val="en-GB" w:eastAsia="zh-CN"/>
        </w:rPr>
        <w:t xml:space="preserve">example: cycle time = 0.6ms; </w:t>
      </w:r>
      <w:r w:rsidR="007E28FF">
        <w:rPr>
          <w:lang w:val="en-GB" w:eastAsia="zh-CN"/>
        </w:rPr>
        <w:t>end-to-end</w:t>
      </w:r>
      <w:r w:rsidR="00624776" w:rsidRPr="00636883">
        <w:rPr>
          <w:lang w:val="en-GB" w:eastAsia="zh-CN"/>
        </w:rPr>
        <w:t xml:space="preserve"> latency = 0.5ms</w:t>
      </w:r>
      <w:r w:rsidR="00616026">
        <w:rPr>
          <w:lang w:val="en-GB" w:eastAsia="zh-CN"/>
        </w:rPr>
        <w:t xml:space="preserve">. As shown in </w:t>
      </w:r>
      <w:r w:rsidRPr="00636883">
        <w:rPr>
          <w:lang w:val="en-GB" w:eastAsia="zh-CN"/>
        </w:rPr>
        <w:fldChar w:fldCharType="begin"/>
      </w:r>
      <w:r w:rsidRPr="00636883">
        <w:rPr>
          <w:lang w:val="en-GB" w:eastAsia="zh-CN"/>
        </w:rPr>
        <w:instrText xml:space="preserve"> REF _Ref902562 \h  \* MERGEFORMAT </w:instrText>
      </w:r>
      <w:r w:rsidRPr="00636883">
        <w:rPr>
          <w:lang w:val="en-GB" w:eastAsia="zh-CN"/>
        </w:rPr>
      </w:r>
      <w:r w:rsidRPr="00636883">
        <w:rPr>
          <w:lang w:val="en-GB" w:eastAsia="zh-CN"/>
        </w:rPr>
        <w:fldChar w:fldCharType="separate"/>
      </w:r>
      <w:r w:rsidRPr="00636883">
        <w:t xml:space="preserve">Figure </w:t>
      </w:r>
      <w:r w:rsidRPr="00636883">
        <w:rPr>
          <w:noProof/>
        </w:rPr>
        <w:t>2</w:t>
      </w:r>
      <w:r w:rsidRPr="00636883">
        <w:rPr>
          <w:lang w:val="en-GB" w:eastAsia="zh-CN"/>
        </w:rPr>
        <w:fldChar w:fldCharType="end"/>
      </w:r>
      <w:r w:rsidR="00616026">
        <w:rPr>
          <w:lang w:val="en-GB" w:eastAsia="zh-CN"/>
        </w:rPr>
        <w:t xml:space="preserve">, such usecase can be addressed with the following periodicities for the different numerology cases: </w:t>
      </w:r>
    </w:p>
    <w:p w:rsidR="00636883" w:rsidRDefault="00624776" w:rsidP="00636883">
      <w:pPr>
        <w:pStyle w:val="a0"/>
        <w:numPr>
          <w:ilvl w:val="0"/>
          <w:numId w:val="15"/>
        </w:numPr>
        <w:rPr>
          <w:lang w:eastAsia="zh-CN"/>
        </w:rPr>
      </w:pPr>
      <w:r w:rsidRPr="00F71ACA">
        <w:rPr>
          <w:lang w:val="en-GB" w:eastAsia="zh-CN"/>
        </w:rPr>
        <w:t>@ 15kHz numerology, SPS/CG periodicity = 2 symbols ≈ 143 µs</w:t>
      </w:r>
      <w:r w:rsidR="00481444">
        <w:rPr>
          <w:lang w:val="en-GB" w:eastAsia="zh-CN"/>
        </w:rPr>
        <w:t>, N = 4;</w:t>
      </w:r>
    </w:p>
    <w:p w:rsidR="00636883" w:rsidRDefault="00624776" w:rsidP="00636883">
      <w:pPr>
        <w:pStyle w:val="a0"/>
        <w:numPr>
          <w:ilvl w:val="0"/>
          <w:numId w:val="15"/>
        </w:numPr>
        <w:rPr>
          <w:lang w:eastAsia="zh-CN"/>
        </w:rPr>
      </w:pPr>
      <w:r w:rsidRPr="00636883">
        <w:rPr>
          <w:lang w:val="en-GB" w:eastAsia="zh-CN"/>
        </w:rPr>
        <w:t>@ 30kHz numerology, SPS/CG periodicity = 7 symbols = 250 µs</w:t>
      </w:r>
      <w:r w:rsidR="00481444">
        <w:rPr>
          <w:lang w:val="en-GB" w:eastAsia="zh-CN"/>
        </w:rPr>
        <w:t>, N = 2;</w:t>
      </w:r>
    </w:p>
    <w:p w:rsidR="002A6EA3" w:rsidRPr="00F71ACA" w:rsidRDefault="00624776" w:rsidP="00636883">
      <w:pPr>
        <w:pStyle w:val="a0"/>
        <w:numPr>
          <w:ilvl w:val="0"/>
          <w:numId w:val="15"/>
        </w:numPr>
        <w:rPr>
          <w:lang w:eastAsia="zh-CN"/>
        </w:rPr>
      </w:pPr>
      <w:r w:rsidRPr="00636883">
        <w:rPr>
          <w:lang w:val="en-GB" w:eastAsia="zh-CN"/>
        </w:rPr>
        <w:t>@ 60kHz numerology, SPS/CG periodicity = 7 symbols = 125 µs</w:t>
      </w:r>
      <w:r w:rsidR="00481444">
        <w:rPr>
          <w:lang w:val="en-GB" w:eastAsia="zh-CN"/>
        </w:rPr>
        <w:t>, N = 5;</w:t>
      </w:r>
    </w:p>
    <w:p w:rsidR="002A6EA3" w:rsidRPr="00F71ACA" w:rsidRDefault="00636883" w:rsidP="00636883">
      <w:pPr>
        <w:pStyle w:val="a0"/>
        <w:rPr>
          <w:lang w:eastAsia="zh-CN"/>
        </w:rPr>
      </w:pPr>
      <w:r>
        <w:rPr>
          <w:lang w:val="en-GB" w:eastAsia="zh-CN"/>
        </w:rPr>
        <w:t>Then the question is: w</w:t>
      </w:r>
      <w:r w:rsidR="00624776" w:rsidRPr="00F71ACA">
        <w:rPr>
          <w:lang w:val="en-GB" w:eastAsia="zh-CN"/>
        </w:rPr>
        <w:t>hat to do with unused SPS/CG resources to avoid spectral waste?</w:t>
      </w:r>
    </w:p>
    <w:p w:rsidR="002A6EA3" w:rsidRPr="00F71ACA" w:rsidRDefault="00624776" w:rsidP="00636883">
      <w:pPr>
        <w:pStyle w:val="a0"/>
        <w:rPr>
          <w:lang w:eastAsia="zh-CN"/>
        </w:rPr>
      </w:pPr>
      <w:r w:rsidRPr="00F71ACA">
        <w:rPr>
          <w:lang w:val="en-GB" w:eastAsia="zh-CN"/>
        </w:rPr>
        <w:t>Without chang</w:t>
      </w:r>
      <w:r w:rsidR="007E28FF">
        <w:rPr>
          <w:lang w:val="en-GB" w:eastAsia="zh-CN"/>
        </w:rPr>
        <w:t>ing</w:t>
      </w:r>
      <w:r w:rsidRPr="00F71ACA">
        <w:rPr>
          <w:lang w:val="en-GB" w:eastAsia="zh-CN"/>
        </w:rPr>
        <w:t xml:space="preserve"> </w:t>
      </w:r>
      <w:r w:rsidR="007E28FF">
        <w:rPr>
          <w:lang w:val="en-GB" w:eastAsia="zh-CN"/>
        </w:rPr>
        <w:t>the</w:t>
      </w:r>
      <w:r w:rsidRPr="00F71ACA">
        <w:rPr>
          <w:lang w:val="en-GB" w:eastAsia="zh-CN"/>
        </w:rPr>
        <w:t xml:space="preserve"> legacy CG configuration, the unused CGs will be skipped</w:t>
      </w:r>
      <w:r w:rsidR="00636883">
        <w:rPr>
          <w:lang w:eastAsia="zh-CN"/>
        </w:rPr>
        <w:t xml:space="preserve">. Then </w:t>
      </w:r>
      <w:r w:rsidR="00636883">
        <w:rPr>
          <w:lang w:val="en-GB" w:eastAsia="zh-CN"/>
        </w:rPr>
        <w:t>t</w:t>
      </w:r>
      <w:r w:rsidRPr="00F71ACA">
        <w:rPr>
          <w:lang w:val="en-GB" w:eastAsia="zh-CN"/>
        </w:rPr>
        <w:t>heir resource can be re-used by other CGs or by dynamic scheduling (see intra-UE multiplexing and prioritization</w:t>
      </w:r>
      <w:r w:rsidR="00636883">
        <w:rPr>
          <w:lang w:val="en-GB" w:eastAsia="zh-CN"/>
        </w:rPr>
        <w:t xml:space="preserve"> solutions</w:t>
      </w:r>
      <w:r w:rsidRPr="00F71ACA">
        <w:rPr>
          <w:lang w:val="en-GB" w:eastAsia="zh-CN"/>
        </w:rPr>
        <w:t>).</w:t>
      </w:r>
    </w:p>
    <w:p w:rsidR="002A6EA3" w:rsidRDefault="00624776" w:rsidP="00636883">
      <w:pPr>
        <w:pStyle w:val="a0"/>
        <w:rPr>
          <w:lang w:val="en-GB" w:eastAsia="zh-CN"/>
        </w:rPr>
      </w:pPr>
      <w:r w:rsidRPr="00F71ACA">
        <w:rPr>
          <w:lang w:val="en-GB" w:eastAsia="zh-CN"/>
        </w:rPr>
        <w:t xml:space="preserve">Another option is to </w:t>
      </w:r>
      <w:r w:rsidR="00481444">
        <w:rPr>
          <w:lang w:val="en-GB" w:eastAsia="zh-CN"/>
        </w:rPr>
        <w:t>upgrade</w:t>
      </w:r>
      <w:r w:rsidRPr="00F71ACA">
        <w:rPr>
          <w:lang w:val="en-GB" w:eastAsia="zh-CN"/>
        </w:rPr>
        <w:t xml:space="preserve"> the SPS/CG configuration by </w:t>
      </w:r>
      <w:r w:rsidR="00636883">
        <w:rPr>
          <w:lang w:val="en-GB" w:eastAsia="zh-CN"/>
        </w:rPr>
        <w:t xml:space="preserve">indicating the </w:t>
      </w:r>
      <w:r w:rsidRPr="00F71ACA">
        <w:rPr>
          <w:lang w:val="en-GB" w:eastAsia="zh-CN"/>
        </w:rPr>
        <w:t xml:space="preserve">“modulo N” </w:t>
      </w:r>
      <w:r w:rsidR="00636883">
        <w:rPr>
          <w:lang w:val="en-GB" w:eastAsia="zh-CN"/>
        </w:rPr>
        <w:t xml:space="preserve">to the UE so it </w:t>
      </w:r>
      <w:r w:rsidRPr="00F71ACA">
        <w:rPr>
          <w:lang w:val="en-GB" w:eastAsia="zh-CN"/>
        </w:rPr>
        <w:t>only conside</w:t>
      </w:r>
      <w:r w:rsidR="00636883">
        <w:rPr>
          <w:lang w:val="en-GB" w:eastAsia="zh-CN"/>
        </w:rPr>
        <w:t>rs one SPS/CG resource every N</w:t>
      </w:r>
      <w:r w:rsidRPr="00F71ACA">
        <w:rPr>
          <w:lang w:val="en-GB" w:eastAsia="zh-CN"/>
        </w:rPr>
        <w:t>.</w:t>
      </w:r>
      <w:r w:rsidR="00636883">
        <w:rPr>
          <w:lang w:val="en-GB" w:eastAsia="zh-CN"/>
        </w:rPr>
        <w:t xml:space="preserve"> This is already supported by the current specification for slot periods, but not for 2-symbol or 7-symbol periods. Hence, all needs to be upgraded is the support of periodicities expressed as N*(2-symbols) and N*(7-symbols).</w:t>
      </w:r>
    </w:p>
    <w:p w:rsidR="00636883" w:rsidRPr="004C6D68" w:rsidRDefault="00636883" w:rsidP="00636883">
      <w:pPr>
        <w:pStyle w:val="a0"/>
        <w:rPr>
          <w:b/>
          <w:lang w:eastAsia="zh-CN"/>
        </w:rPr>
      </w:pPr>
      <w:r w:rsidRPr="004C6D68">
        <w:rPr>
          <w:b/>
          <w:lang w:val="en-GB" w:eastAsia="zh-CN"/>
        </w:rPr>
        <w:t xml:space="preserve">Proposal: </w:t>
      </w:r>
      <w:r w:rsidR="004C6D68">
        <w:rPr>
          <w:b/>
          <w:lang w:eastAsia="zh-CN"/>
        </w:rPr>
        <w:t>Rel-16</w:t>
      </w:r>
      <w:r w:rsidRPr="004C6D68">
        <w:rPr>
          <w:b/>
          <w:lang w:eastAsia="zh-CN"/>
        </w:rPr>
        <w:t xml:space="preserve"> SPS/CG periodicity is defined as </w:t>
      </w:r>
      <w:r w:rsidRPr="004C6D68">
        <w:rPr>
          <w:b/>
          <w:u w:val="single"/>
          <w:lang w:eastAsia="zh-CN"/>
        </w:rPr>
        <w:t>n</w:t>
      </w:r>
      <w:r w:rsidRPr="004C6D68">
        <w:rPr>
          <w:b/>
          <w:lang w:eastAsia="zh-CN"/>
        </w:rPr>
        <w:t>*</w:t>
      </w:r>
      <w:r w:rsidRPr="004C6D68">
        <w:rPr>
          <w:b/>
          <w:lang w:val="en-GB" w:eastAsia="zh-CN"/>
        </w:rPr>
        <w:t xml:space="preserve">2, </w:t>
      </w:r>
      <w:r w:rsidRPr="004C6D68">
        <w:rPr>
          <w:b/>
          <w:u w:val="single"/>
          <w:lang w:val="en-GB" w:eastAsia="zh-CN"/>
        </w:rPr>
        <w:t>n</w:t>
      </w:r>
      <w:r w:rsidRPr="004C6D68">
        <w:rPr>
          <w:b/>
          <w:lang w:val="en-GB" w:eastAsia="zh-CN"/>
        </w:rPr>
        <w:t>*7, n*14 symbols</w:t>
      </w:r>
      <w:r w:rsidR="004C6D68">
        <w:rPr>
          <w:b/>
          <w:lang w:val="en-GB" w:eastAsia="zh-CN"/>
        </w:rPr>
        <w:t>.</w:t>
      </w:r>
    </w:p>
    <w:p w:rsidR="00F71ACA" w:rsidRDefault="004C6D68" w:rsidP="00F71ACA">
      <w:pPr>
        <w:rPr>
          <w:lang w:eastAsia="zh-CN"/>
        </w:rPr>
      </w:pPr>
      <w:r>
        <w:rPr>
          <w:lang w:eastAsia="zh-CN"/>
        </w:rPr>
        <w:object w:dxaOrig="14871" w:dyaOrig="8179">
          <v:shape id="_x0000_i1026" type="#_x0000_t75" style="width:403.75pt;height:222.2pt" o:ole="">
            <v:imagedata r:id="rId11" o:title=""/>
          </v:shape>
          <o:OLEObject Type="Embed" ProgID="Visio.Drawing.11" ShapeID="_x0000_i1026" DrawAspect="Content" ObjectID="_1611738061" r:id="rId12"/>
        </w:object>
      </w:r>
    </w:p>
    <w:p w:rsidR="00F71ACA" w:rsidRDefault="00F71ACA" w:rsidP="00F71ACA">
      <w:pPr>
        <w:pStyle w:val="a5"/>
        <w:keepNext/>
        <w:keepLines/>
        <w:spacing w:after="240"/>
        <w:jc w:val="center"/>
        <w:rPr>
          <w:b/>
          <w:lang w:eastAsia="zh-CN"/>
        </w:rPr>
      </w:pPr>
      <w:bookmarkStart w:id="10" w:name="_Ref902562"/>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Pr>
          <w:b/>
          <w:noProof/>
        </w:rPr>
        <w:t>2</w:t>
      </w:r>
      <w:r w:rsidRPr="000A60DD">
        <w:rPr>
          <w:b/>
        </w:rPr>
        <w:fldChar w:fldCharType="end"/>
      </w:r>
      <w:bookmarkEnd w:id="10"/>
      <w:r>
        <w:rPr>
          <w:b/>
        </w:rPr>
        <w:t>:</w:t>
      </w:r>
      <w:r w:rsidRPr="000A60DD">
        <w:rPr>
          <w:rFonts w:hint="eastAsia"/>
          <w:b/>
          <w:lang w:eastAsia="zh-CN"/>
        </w:rPr>
        <w:t xml:space="preserve"> </w:t>
      </w:r>
      <w:r>
        <w:rPr>
          <w:b/>
          <w:lang w:eastAsia="zh-CN"/>
        </w:rPr>
        <w:t>T</w:t>
      </w:r>
      <w:r w:rsidRPr="00F71ACA">
        <w:rPr>
          <w:b/>
          <w:lang w:eastAsia="zh-CN"/>
        </w:rPr>
        <w:t xml:space="preserve">he </w:t>
      </w:r>
      <w:r w:rsidR="007E28FF">
        <w:rPr>
          <w:b/>
          <w:lang w:eastAsia="zh-CN"/>
        </w:rPr>
        <w:t>end-to-end</w:t>
      </w:r>
      <w:r w:rsidRPr="00F71ACA">
        <w:rPr>
          <w:b/>
          <w:lang w:eastAsia="zh-CN"/>
        </w:rPr>
        <w:t xml:space="preserve"> latency is </w:t>
      </w:r>
      <w:r>
        <w:rPr>
          <w:b/>
          <w:lang w:eastAsia="zh-CN"/>
        </w:rPr>
        <w:t xml:space="preserve">smaller </w:t>
      </w:r>
      <w:r w:rsidRPr="00F71ACA">
        <w:rPr>
          <w:b/>
          <w:lang w:eastAsia="zh-CN"/>
        </w:rPr>
        <w:t>than the cycle time</w:t>
      </w:r>
    </w:p>
    <w:p w:rsidR="00E3725B" w:rsidRDefault="00E3725B" w:rsidP="00E3725B">
      <w:pPr>
        <w:pStyle w:val="1"/>
        <w:jc w:val="both"/>
      </w:pPr>
      <w:r>
        <w:t>Conclusion</w:t>
      </w:r>
    </w:p>
    <w:p w:rsidR="00C37FB3" w:rsidRDefault="00D82D9B" w:rsidP="004E20E6">
      <w:pPr>
        <w:pStyle w:val="a0"/>
        <w:rPr>
          <w:rFonts w:eastAsiaTheme="minorEastAsia"/>
          <w:lang w:eastAsia="zh-CN"/>
        </w:rPr>
      </w:pPr>
      <w:r>
        <w:rPr>
          <w:rFonts w:eastAsiaTheme="minorEastAsia" w:hint="eastAsia"/>
          <w:lang w:eastAsia="zh-CN"/>
        </w:rPr>
        <w:t xml:space="preserve">This contribution </w:t>
      </w:r>
      <w:r w:rsidR="00481444">
        <w:rPr>
          <w:rFonts w:eastAsiaTheme="minorEastAsia"/>
          <w:lang w:eastAsia="zh-CN"/>
        </w:rPr>
        <w:t xml:space="preserve">discusses </w:t>
      </w:r>
      <w:r w:rsidR="00616026">
        <w:rPr>
          <w:rFonts w:eastAsiaTheme="minorEastAsia"/>
          <w:lang w:eastAsia="zh-CN"/>
        </w:rPr>
        <w:t>the need to upgrade the existing SPS/CG periodicities in support of the flexible TSN traffic cycle times and end-to-end latency.</w:t>
      </w:r>
      <w:r w:rsidR="00C37FB3">
        <w:rPr>
          <w:rFonts w:eastAsiaTheme="minorEastAsia"/>
          <w:lang w:eastAsia="zh-CN"/>
        </w:rPr>
        <w:t xml:space="preserve"> The resulting observations and proposals are as follows:</w:t>
      </w:r>
    </w:p>
    <w:p w:rsidR="00FA5F1B" w:rsidRPr="006760E3" w:rsidRDefault="00FA5F1B" w:rsidP="00FA5F1B">
      <w:pPr>
        <w:pStyle w:val="a0"/>
        <w:rPr>
          <w:b/>
        </w:rPr>
      </w:pPr>
      <w:r w:rsidRPr="006760E3">
        <w:rPr>
          <w:b/>
          <w:lang w:eastAsia="zh-CN"/>
        </w:rPr>
        <w:t xml:space="preserve">Observation 1: </w:t>
      </w:r>
      <w:r w:rsidRPr="006760E3">
        <w:rPr>
          <w:b/>
        </w:rPr>
        <w:t>The lower end cycle time values of EtherCAT, PROFINET IRT or 802.1Qbv below 500 µs are not in the scope of this SI.</w:t>
      </w:r>
    </w:p>
    <w:p w:rsidR="00FA5F1B" w:rsidRDefault="00FA5F1B" w:rsidP="00FA5F1B">
      <w:pPr>
        <w:pStyle w:val="a0"/>
        <w:rPr>
          <w:b/>
          <w:lang w:eastAsia="zh-CN"/>
        </w:rPr>
      </w:pPr>
      <w:r>
        <w:rPr>
          <w:b/>
          <w:lang w:eastAsia="zh-CN"/>
        </w:rPr>
        <w:t>Observation 2</w:t>
      </w:r>
      <w:r w:rsidRPr="006760E3">
        <w:rPr>
          <w:b/>
          <w:lang w:eastAsia="zh-CN"/>
        </w:rPr>
        <w:t xml:space="preserve">: </w:t>
      </w:r>
      <w:r>
        <w:rPr>
          <w:b/>
          <w:lang w:eastAsia="zh-CN"/>
        </w:rPr>
        <w:t>Depending on the IIoT application, the end-to-end latency can be smaller or larger than the cycle time.</w:t>
      </w:r>
    </w:p>
    <w:p w:rsidR="00481444" w:rsidRDefault="00481444" w:rsidP="00481444">
      <w:pPr>
        <w:pStyle w:val="a0"/>
        <w:rPr>
          <w:b/>
          <w:lang w:eastAsia="zh-CN"/>
        </w:rPr>
      </w:pPr>
      <w:r>
        <w:rPr>
          <w:b/>
          <w:lang w:eastAsia="zh-CN"/>
        </w:rPr>
        <w:t>Observation 3</w:t>
      </w:r>
      <w:r w:rsidRPr="006760E3">
        <w:rPr>
          <w:b/>
          <w:lang w:eastAsia="zh-CN"/>
        </w:rPr>
        <w:t xml:space="preserve">: </w:t>
      </w:r>
      <w:r>
        <w:rPr>
          <w:b/>
          <w:lang w:eastAsia="zh-CN"/>
        </w:rPr>
        <w:t xml:space="preserve">Rel-15 CG periodicities are sufficient to address the case when </w:t>
      </w:r>
      <w:r w:rsidRPr="004C6D68">
        <w:rPr>
          <w:b/>
          <w:lang w:eastAsia="zh-CN"/>
        </w:rPr>
        <w:t xml:space="preserve">the </w:t>
      </w:r>
      <w:r>
        <w:rPr>
          <w:b/>
          <w:lang w:eastAsia="zh-CN"/>
        </w:rPr>
        <w:t>end-to-end</w:t>
      </w:r>
      <w:r w:rsidRPr="004C6D68">
        <w:rPr>
          <w:b/>
          <w:lang w:eastAsia="zh-CN"/>
        </w:rPr>
        <w:t xml:space="preserve"> latency is larger than the cycle time</w:t>
      </w:r>
      <w:r>
        <w:rPr>
          <w:b/>
          <w:lang w:eastAsia="zh-CN"/>
        </w:rPr>
        <w:t>.</w:t>
      </w:r>
    </w:p>
    <w:p w:rsidR="00FA5F1B" w:rsidRPr="004C6D68" w:rsidRDefault="00FA5F1B" w:rsidP="00FA5F1B">
      <w:pPr>
        <w:pStyle w:val="a0"/>
        <w:rPr>
          <w:b/>
          <w:lang w:eastAsia="zh-CN"/>
        </w:rPr>
      </w:pPr>
      <w:r w:rsidRPr="004C6D68">
        <w:rPr>
          <w:b/>
          <w:lang w:val="en-GB" w:eastAsia="zh-CN"/>
        </w:rPr>
        <w:t xml:space="preserve">Proposal: </w:t>
      </w:r>
      <w:r>
        <w:rPr>
          <w:b/>
          <w:lang w:eastAsia="zh-CN"/>
        </w:rPr>
        <w:t>Rel-16</w:t>
      </w:r>
      <w:r w:rsidRPr="004C6D68">
        <w:rPr>
          <w:b/>
          <w:lang w:eastAsia="zh-CN"/>
        </w:rPr>
        <w:t xml:space="preserve"> SPS/CG periodicity is defined as </w:t>
      </w:r>
      <w:r w:rsidRPr="004C6D68">
        <w:rPr>
          <w:b/>
          <w:u w:val="single"/>
          <w:lang w:eastAsia="zh-CN"/>
        </w:rPr>
        <w:t>n</w:t>
      </w:r>
      <w:r w:rsidRPr="004C6D68">
        <w:rPr>
          <w:b/>
          <w:lang w:eastAsia="zh-CN"/>
        </w:rPr>
        <w:t>*</w:t>
      </w:r>
      <w:r w:rsidRPr="004C6D68">
        <w:rPr>
          <w:b/>
          <w:lang w:val="en-GB" w:eastAsia="zh-CN"/>
        </w:rPr>
        <w:t xml:space="preserve">2, </w:t>
      </w:r>
      <w:r w:rsidRPr="004C6D68">
        <w:rPr>
          <w:b/>
          <w:u w:val="single"/>
          <w:lang w:val="en-GB" w:eastAsia="zh-CN"/>
        </w:rPr>
        <w:t>n</w:t>
      </w:r>
      <w:r w:rsidRPr="004C6D68">
        <w:rPr>
          <w:b/>
          <w:lang w:val="en-GB" w:eastAsia="zh-CN"/>
        </w:rPr>
        <w:t>*7, n*14 symbols</w:t>
      </w:r>
      <w:r>
        <w:rPr>
          <w:b/>
          <w:lang w:val="en-GB" w:eastAsia="zh-CN"/>
        </w:rPr>
        <w:t>.</w:t>
      </w:r>
    </w:p>
    <w:p w:rsidR="001A3832" w:rsidRDefault="001A3832" w:rsidP="00FC27DB">
      <w:pPr>
        <w:pStyle w:val="1"/>
        <w:jc w:val="both"/>
      </w:pPr>
      <w:r>
        <w:rPr>
          <w:rFonts w:hint="eastAsia"/>
        </w:rPr>
        <w:t>Reference</w:t>
      </w:r>
    </w:p>
    <w:p w:rsidR="006E0DC6" w:rsidRPr="00FD29B6" w:rsidRDefault="00FD29B6" w:rsidP="00FD29B6">
      <w:pPr>
        <w:pStyle w:val="a0"/>
        <w:numPr>
          <w:ilvl w:val="0"/>
          <w:numId w:val="7"/>
        </w:numPr>
        <w:rPr>
          <w:rFonts w:eastAsiaTheme="minorEastAsia"/>
          <w:lang w:eastAsia="zh-CN"/>
        </w:rPr>
      </w:pPr>
      <w:bookmarkStart w:id="11" w:name="_Ref859876"/>
      <w:r w:rsidRPr="00AD0CB4">
        <w:rPr>
          <w:rFonts w:eastAsiaTheme="minorEastAsia"/>
          <w:lang w:eastAsia="zh-CN"/>
        </w:rPr>
        <w:t>R2-1</w:t>
      </w:r>
      <w:r w:rsidR="00481444">
        <w:rPr>
          <w:rFonts w:eastAsiaTheme="minorEastAsia"/>
          <w:lang w:eastAsia="zh-CN"/>
        </w:rPr>
        <w:t>900151</w:t>
      </w:r>
      <w:r w:rsidRPr="00AD0CB4">
        <w:rPr>
          <w:rFonts w:eastAsiaTheme="minorEastAsia"/>
          <w:lang w:eastAsia="zh-CN"/>
        </w:rPr>
        <w:t xml:space="preserve">, </w:t>
      </w:r>
      <w:r w:rsidRPr="00FD29B6">
        <w:rPr>
          <w:rFonts w:eastAsiaTheme="minorEastAsia"/>
          <w:lang w:eastAsia="zh-CN"/>
        </w:rPr>
        <w:t>Impact of supporting IEEE 802.1Qbv on 5GS RAN</w:t>
      </w:r>
      <w:r w:rsidRPr="00AD0CB4">
        <w:rPr>
          <w:rFonts w:eastAsiaTheme="minorEastAsia"/>
          <w:lang w:eastAsia="zh-CN"/>
        </w:rPr>
        <w:t xml:space="preserve">, </w:t>
      </w:r>
      <w:r>
        <w:rPr>
          <w:rFonts w:eastAsiaTheme="minorEastAsia"/>
          <w:lang w:eastAsia="zh-CN"/>
        </w:rPr>
        <w:t>CATT</w:t>
      </w:r>
      <w:bookmarkEnd w:id="11"/>
    </w:p>
    <w:p w:rsidR="00FD29B6" w:rsidRDefault="00FD29B6" w:rsidP="00FD29B6">
      <w:pPr>
        <w:pStyle w:val="a0"/>
        <w:numPr>
          <w:ilvl w:val="0"/>
          <w:numId w:val="7"/>
        </w:numPr>
      </w:pPr>
      <w:bookmarkStart w:id="12" w:name="_Ref524946288"/>
      <w:bookmarkStart w:id="13" w:name="_Ref520128274"/>
      <w:bookmarkStart w:id="14" w:name="_Ref525116079"/>
      <w:r w:rsidRPr="00286C17">
        <w:t>R2-1818991</w:t>
      </w:r>
      <w:r w:rsidRPr="00C65A17">
        <w:t xml:space="preserve">, LS on multiple active configured grant configurations, </w:t>
      </w:r>
      <w:r w:rsidRPr="0009621D">
        <w:rPr>
          <w:rFonts w:eastAsiaTheme="minorEastAsia"/>
          <w:lang w:eastAsia="zh-CN"/>
        </w:rPr>
        <w:t>3GPP RAN2#10</w:t>
      </w:r>
      <w:r w:rsidRPr="00C65A17">
        <w:t>4, 3GPP TSG RAN WG2#104</w:t>
      </w:r>
      <w:r w:rsidRPr="0009621D">
        <w:rPr>
          <w:rFonts w:eastAsiaTheme="minorEastAsia" w:hint="eastAsia"/>
          <w:lang w:eastAsia="zh-CN"/>
        </w:rPr>
        <w:t xml:space="preserve">, </w:t>
      </w:r>
      <w:r w:rsidRPr="00C65A17">
        <w:t>12 - 16 November, 2018</w:t>
      </w:r>
      <w:r w:rsidRPr="00C65A17">
        <w:rPr>
          <w:rFonts w:hint="eastAsia"/>
        </w:rPr>
        <w:t>;</w:t>
      </w:r>
      <w:bookmarkEnd w:id="12"/>
      <w:bookmarkEnd w:id="13"/>
      <w:bookmarkEnd w:id="14"/>
    </w:p>
    <w:p w:rsidR="007B0051" w:rsidRPr="00367652" w:rsidRDefault="00FD29B6" w:rsidP="00367652">
      <w:pPr>
        <w:pStyle w:val="a0"/>
        <w:numPr>
          <w:ilvl w:val="0"/>
          <w:numId w:val="7"/>
        </w:numPr>
      </w:pPr>
      <w:bookmarkStart w:id="15" w:name="_Ref859987"/>
      <w:r w:rsidRPr="002A586A">
        <w:rPr>
          <w:rFonts w:eastAsiaTheme="minorEastAsia"/>
          <w:lang w:eastAsia="zh-CN"/>
        </w:rPr>
        <w:t>R2-1</w:t>
      </w:r>
      <w:r w:rsidR="00481444">
        <w:rPr>
          <w:rFonts w:eastAsiaTheme="minorEastAsia"/>
          <w:lang w:eastAsia="zh-CN"/>
        </w:rPr>
        <w:t>900152</w:t>
      </w:r>
      <w:r w:rsidRPr="002A586A">
        <w:rPr>
          <w:rFonts w:eastAsiaTheme="minorEastAsia"/>
          <w:lang w:eastAsia="zh-CN"/>
        </w:rPr>
        <w:t xml:space="preserve">, </w:t>
      </w:r>
      <w:r w:rsidRPr="00BB386A">
        <w:rPr>
          <w:rFonts w:eastAsiaTheme="minorEastAsia"/>
          <w:lang w:eastAsia="zh-CN"/>
        </w:rPr>
        <w:t>Multiple active SPS and Configured Grant Configurations</w:t>
      </w:r>
      <w:r w:rsidRPr="002A586A">
        <w:rPr>
          <w:rFonts w:eastAsiaTheme="minorEastAsia"/>
          <w:lang w:eastAsia="zh-CN"/>
        </w:rPr>
        <w:t>, CAT</w:t>
      </w:r>
      <w:bookmarkEnd w:id="15"/>
      <w:r w:rsidR="00367652">
        <w:rPr>
          <w:rFonts w:eastAsiaTheme="minorEastAsia"/>
          <w:lang w:eastAsia="zh-CN"/>
        </w:rPr>
        <w:t>T</w:t>
      </w:r>
    </w:p>
    <w:sectPr w:rsidR="007B0051" w:rsidRPr="00367652" w:rsidSect="002736C7">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CCE8CF" w:themeColor="background1"/>
        <w:left w:val="single" w:sz="4" w:space="24" w:color="CCE8CF" w:themeColor="background1"/>
        <w:bottom w:val="single" w:sz="4" w:space="24" w:color="CCE8CF" w:themeColor="background1"/>
        <w:right w:val="single" w:sz="4" w:space="24" w:color="CCE8C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264" w:rsidRDefault="006D3264">
      <w:r>
        <w:separator/>
      </w:r>
    </w:p>
  </w:endnote>
  <w:endnote w:type="continuationSeparator" w:id="0">
    <w:p w:rsidR="006D3264" w:rsidRDefault="006D3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separate"/>
    </w:r>
    <w:r w:rsidR="006E5751">
      <w:rPr>
        <w:rStyle w:val="ae"/>
        <w:noProof/>
      </w:rPr>
      <w:t>1</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R2-1</w:t>
    </w:r>
    <w:r w:rsidR="007E28FF">
      <w:rPr>
        <w:rFonts w:eastAsia="宋体"/>
        <w:lang w:eastAsia="zh-CN"/>
      </w:rPr>
      <w:t>900153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264" w:rsidRDefault="006D3264">
      <w:r>
        <w:separator/>
      </w:r>
    </w:p>
  </w:footnote>
  <w:footnote w:type="continuationSeparator" w:id="0">
    <w:p w:rsidR="006D3264" w:rsidRDefault="006D32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3">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6">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7"/>
  </w:num>
  <w:num w:numId="4">
    <w:abstractNumId w:val="4"/>
  </w:num>
  <w:num w:numId="5">
    <w:abstractNumId w:val="14"/>
  </w:num>
  <w:num w:numId="6">
    <w:abstractNumId w:val="9"/>
  </w:num>
  <w:num w:numId="7">
    <w:abstractNumId w:val="8"/>
  </w:num>
  <w:num w:numId="8">
    <w:abstractNumId w:val="1"/>
  </w:num>
  <w:num w:numId="9">
    <w:abstractNumId w:val="13"/>
  </w:num>
  <w:num w:numId="10">
    <w:abstractNumId w:val="6"/>
  </w:num>
  <w:num w:numId="11">
    <w:abstractNumId w:val="0"/>
  </w:num>
  <w:num w:numId="12">
    <w:abstractNumId w:val="10"/>
  </w:num>
  <w:num w:numId="13">
    <w:abstractNumId w:val="2"/>
  </w:num>
  <w:num w:numId="14">
    <w:abstractNumId w:val="3"/>
  </w:num>
  <w:num w:numId="1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5108"/>
    <w:rsid w:val="000460EF"/>
    <w:rsid w:val="000466C6"/>
    <w:rsid w:val="00046D4B"/>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30"/>
    <w:rsid w:val="00153ADA"/>
    <w:rsid w:val="00153D16"/>
    <w:rsid w:val="001549F5"/>
    <w:rsid w:val="00157310"/>
    <w:rsid w:val="00157421"/>
    <w:rsid w:val="00157C75"/>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6372"/>
    <w:rsid w:val="00186741"/>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5C10"/>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6EA3"/>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FD"/>
    <w:rsid w:val="003511A0"/>
    <w:rsid w:val="00351D5C"/>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67652"/>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14D8"/>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1444"/>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D68"/>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8119F"/>
    <w:rsid w:val="00583755"/>
    <w:rsid w:val="00585598"/>
    <w:rsid w:val="005860CF"/>
    <w:rsid w:val="00590057"/>
    <w:rsid w:val="0059019D"/>
    <w:rsid w:val="00590EDD"/>
    <w:rsid w:val="00591416"/>
    <w:rsid w:val="005920F8"/>
    <w:rsid w:val="005925D3"/>
    <w:rsid w:val="00592C6A"/>
    <w:rsid w:val="005931C9"/>
    <w:rsid w:val="005967B6"/>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340"/>
    <w:rsid w:val="006157AC"/>
    <w:rsid w:val="00615CF4"/>
    <w:rsid w:val="00615D26"/>
    <w:rsid w:val="00616026"/>
    <w:rsid w:val="00617449"/>
    <w:rsid w:val="00621C01"/>
    <w:rsid w:val="00621EEA"/>
    <w:rsid w:val="006221B9"/>
    <w:rsid w:val="0062223D"/>
    <w:rsid w:val="00622CA7"/>
    <w:rsid w:val="00623161"/>
    <w:rsid w:val="00623546"/>
    <w:rsid w:val="00623783"/>
    <w:rsid w:val="006241AA"/>
    <w:rsid w:val="00624776"/>
    <w:rsid w:val="0062524D"/>
    <w:rsid w:val="006255F1"/>
    <w:rsid w:val="00630525"/>
    <w:rsid w:val="00630979"/>
    <w:rsid w:val="0063123F"/>
    <w:rsid w:val="00631569"/>
    <w:rsid w:val="00631EEC"/>
    <w:rsid w:val="00632295"/>
    <w:rsid w:val="00633361"/>
    <w:rsid w:val="006341BE"/>
    <w:rsid w:val="0063643E"/>
    <w:rsid w:val="00636883"/>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60E3"/>
    <w:rsid w:val="00677326"/>
    <w:rsid w:val="006773A1"/>
    <w:rsid w:val="0068036B"/>
    <w:rsid w:val="00680AE7"/>
    <w:rsid w:val="00680BD8"/>
    <w:rsid w:val="00681AED"/>
    <w:rsid w:val="00681EAE"/>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3264"/>
    <w:rsid w:val="006D44B4"/>
    <w:rsid w:val="006D4C13"/>
    <w:rsid w:val="006D5573"/>
    <w:rsid w:val="006D6286"/>
    <w:rsid w:val="006D6865"/>
    <w:rsid w:val="006D7161"/>
    <w:rsid w:val="006D75D1"/>
    <w:rsid w:val="006D7B37"/>
    <w:rsid w:val="006E0DC6"/>
    <w:rsid w:val="006E200F"/>
    <w:rsid w:val="006E2A00"/>
    <w:rsid w:val="006E543C"/>
    <w:rsid w:val="006E5751"/>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8FF"/>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4E7C"/>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010"/>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2105F"/>
    <w:rsid w:val="00921B35"/>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0BB"/>
    <w:rsid w:val="00982E3D"/>
    <w:rsid w:val="0098433B"/>
    <w:rsid w:val="00984E31"/>
    <w:rsid w:val="00984F54"/>
    <w:rsid w:val="00986DBA"/>
    <w:rsid w:val="0099150C"/>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B04F7"/>
    <w:rsid w:val="00AB2B03"/>
    <w:rsid w:val="00AB3C27"/>
    <w:rsid w:val="00AB4C44"/>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0CB4"/>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386A"/>
    <w:rsid w:val="00BB3B54"/>
    <w:rsid w:val="00BB4170"/>
    <w:rsid w:val="00BB47D4"/>
    <w:rsid w:val="00BB4A90"/>
    <w:rsid w:val="00BB4F3D"/>
    <w:rsid w:val="00BB50AC"/>
    <w:rsid w:val="00BB5495"/>
    <w:rsid w:val="00BB5C88"/>
    <w:rsid w:val="00BB5D77"/>
    <w:rsid w:val="00BB5FD3"/>
    <w:rsid w:val="00BB66A9"/>
    <w:rsid w:val="00BB6CA6"/>
    <w:rsid w:val="00BB6E8D"/>
    <w:rsid w:val="00BB72DF"/>
    <w:rsid w:val="00BC0199"/>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3E72"/>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4C7"/>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0E2F"/>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ACA"/>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5F1B"/>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29B6"/>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25D3D-36D6-4742-89BB-AD94ED30A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1333</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3</cp:revision>
  <cp:lastPrinted>2007-08-28T14:45:00Z</cp:lastPrinted>
  <dcterms:created xsi:type="dcterms:W3CDTF">2019-02-14T14:38:00Z</dcterms:created>
  <dcterms:modified xsi:type="dcterms:W3CDTF">2019-02-15T04:12:00Z</dcterms:modified>
</cp:coreProperties>
</file>