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2DA9" w:rsidRPr="00B266B0" w:rsidRDefault="003C2DA9" w:rsidP="003C2DA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#103</w:t>
      </w:r>
      <w:r w:rsidR="00E97FA4">
        <w:rPr>
          <w:bCs/>
          <w:noProof w:val="0"/>
          <w:sz w:val="24"/>
          <w:szCs w:val="24"/>
        </w:rPr>
        <w:t>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8</w:t>
      </w:r>
      <w:r w:rsidR="00372B49">
        <w:rPr>
          <w:bCs/>
          <w:noProof w:val="0"/>
          <w:sz w:val="24"/>
          <w:szCs w:val="24"/>
        </w:rPr>
        <w:t>14621</w:t>
      </w:r>
    </w:p>
    <w:p w:rsidR="003C2DA9" w:rsidRPr="00B266B0" w:rsidRDefault="00E97FA4" w:rsidP="003C2DA9">
      <w:pPr>
        <w:pStyle w:val="Header"/>
        <w:tabs>
          <w:tab w:val="right" w:pos="9639"/>
        </w:tabs>
        <w:rPr>
          <w:bCs/>
          <w:noProof w:val="0"/>
          <w:sz w:val="24"/>
          <w:szCs w:val="24"/>
        </w:rPr>
      </w:pPr>
      <w:r>
        <w:rPr>
          <w:rFonts w:eastAsia="SimSun"/>
          <w:noProof w:val="0"/>
          <w:sz w:val="24"/>
          <w:szCs w:val="24"/>
          <w:lang w:eastAsia="zh-CN"/>
        </w:rPr>
        <w:t>Chengdu</w:t>
      </w:r>
      <w:r w:rsidR="003C2DA9">
        <w:rPr>
          <w:rFonts w:eastAsia="SimSun"/>
          <w:noProof w:val="0"/>
          <w:sz w:val="24"/>
          <w:szCs w:val="24"/>
          <w:lang w:eastAsia="zh-CN"/>
        </w:rPr>
        <w:t xml:space="preserve">, </w:t>
      </w:r>
      <w:r>
        <w:rPr>
          <w:rFonts w:eastAsia="SimSun"/>
          <w:noProof w:val="0"/>
          <w:sz w:val="24"/>
          <w:szCs w:val="24"/>
          <w:lang w:eastAsia="zh-CN"/>
        </w:rPr>
        <w:t>China</w:t>
      </w:r>
      <w:r w:rsidR="003C2DA9">
        <w:rPr>
          <w:rFonts w:eastAsia="SimSun"/>
          <w:noProof w:val="0"/>
          <w:sz w:val="24"/>
          <w:szCs w:val="24"/>
          <w:lang w:eastAsia="zh-CN"/>
        </w:rPr>
        <w:t xml:space="preserve">, </w:t>
      </w:r>
      <w:r>
        <w:rPr>
          <w:rFonts w:eastAsia="SimSun"/>
          <w:noProof w:val="0"/>
          <w:sz w:val="24"/>
          <w:szCs w:val="24"/>
          <w:lang w:eastAsia="zh-CN"/>
        </w:rPr>
        <w:t>08</w:t>
      </w:r>
      <w:r w:rsidRPr="00E97FA4">
        <w:rPr>
          <w:rFonts w:eastAsia="SimSun"/>
          <w:noProof w:val="0"/>
          <w:sz w:val="24"/>
          <w:szCs w:val="24"/>
          <w:vertAlign w:val="superscript"/>
          <w:lang w:eastAsia="zh-CN"/>
        </w:rPr>
        <w:t>th</w:t>
      </w:r>
      <w:r w:rsidR="003C2DA9">
        <w:rPr>
          <w:rFonts w:eastAsia="SimSun"/>
          <w:noProof w:val="0"/>
          <w:sz w:val="24"/>
          <w:szCs w:val="24"/>
          <w:lang w:eastAsia="zh-CN"/>
        </w:rPr>
        <w:t xml:space="preserve"> </w:t>
      </w:r>
      <w:r>
        <w:rPr>
          <w:rFonts w:eastAsia="SimSun"/>
          <w:noProof w:val="0"/>
          <w:sz w:val="24"/>
          <w:szCs w:val="24"/>
          <w:lang w:eastAsia="zh-CN"/>
        </w:rPr>
        <w:t>–</w:t>
      </w:r>
      <w:r w:rsidR="003C2DA9">
        <w:rPr>
          <w:rFonts w:eastAsia="SimSun"/>
          <w:noProof w:val="0"/>
          <w:sz w:val="24"/>
          <w:szCs w:val="24"/>
          <w:lang w:eastAsia="zh-CN"/>
        </w:rPr>
        <w:t xml:space="preserve"> </w:t>
      </w:r>
      <w:r>
        <w:rPr>
          <w:rFonts w:eastAsia="SimSun"/>
          <w:noProof w:val="0"/>
          <w:sz w:val="24"/>
          <w:szCs w:val="24"/>
          <w:lang w:eastAsia="zh-CN"/>
        </w:rPr>
        <w:t>12</w:t>
      </w:r>
      <w:r w:rsidRPr="00E97FA4">
        <w:rPr>
          <w:rFonts w:eastAsia="SimSun"/>
          <w:noProof w:val="0"/>
          <w:sz w:val="24"/>
          <w:szCs w:val="24"/>
          <w:vertAlign w:val="superscript"/>
          <w:lang w:eastAsia="zh-CN"/>
        </w:rPr>
        <w:t>th</w:t>
      </w:r>
      <w:r w:rsidR="003C2DA9">
        <w:rPr>
          <w:rFonts w:eastAsia="SimSun"/>
          <w:noProof w:val="0"/>
          <w:sz w:val="24"/>
          <w:szCs w:val="24"/>
          <w:lang w:eastAsia="zh-CN"/>
        </w:rPr>
        <w:t xml:space="preserve"> </w:t>
      </w:r>
      <w:r>
        <w:rPr>
          <w:rFonts w:eastAsia="SimSun"/>
          <w:noProof w:val="0"/>
          <w:sz w:val="24"/>
          <w:szCs w:val="24"/>
          <w:lang w:eastAsia="zh-CN"/>
        </w:rPr>
        <w:t>October</w:t>
      </w:r>
      <w:r w:rsidR="003C2DA9" w:rsidRPr="002610D8">
        <w:rPr>
          <w:rFonts w:eastAsia="SimSun"/>
          <w:noProof w:val="0"/>
          <w:sz w:val="24"/>
          <w:szCs w:val="24"/>
          <w:lang w:eastAsia="zh-CN"/>
        </w:rPr>
        <w:t xml:space="preserve"> 2018</w:t>
      </w:r>
      <w:r w:rsidR="003C2DA9">
        <w:rPr>
          <w:rFonts w:eastAsia="SimSun"/>
          <w:noProof w:val="0"/>
          <w:sz w:val="24"/>
          <w:szCs w:val="24"/>
          <w:lang w:eastAsia="zh-CN"/>
        </w:rPr>
        <w:tab/>
      </w:r>
      <w:bookmarkStart w:id="0" w:name="_GoBack"/>
      <w:r w:rsidR="00AA264B" w:rsidRPr="00AA264B">
        <w:rPr>
          <w:rFonts w:eastAsia="SimSun"/>
          <w:noProof w:val="0"/>
          <w:sz w:val="20"/>
          <w:szCs w:val="24"/>
          <w:lang w:eastAsia="zh-CN"/>
        </w:rPr>
        <w:t>Resubmission of R2-1812198</w:t>
      </w:r>
      <w:bookmarkEnd w:id="0"/>
    </w:p>
    <w:p w:rsidR="003C2DA9" w:rsidRPr="00B266B0" w:rsidRDefault="003C2DA9" w:rsidP="003C2DA9">
      <w:pPr>
        <w:pStyle w:val="Header"/>
        <w:rPr>
          <w:bCs/>
          <w:noProof w:val="0"/>
          <w:sz w:val="24"/>
        </w:rPr>
      </w:pPr>
    </w:p>
    <w:p w:rsidR="003C2DA9" w:rsidRPr="00B266B0" w:rsidRDefault="003C2DA9" w:rsidP="003C2DA9">
      <w:pPr>
        <w:pStyle w:val="Header"/>
        <w:rPr>
          <w:bCs/>
          <w:noProof w:val="0"/>
          <w:sz w:val="24"/>
        </w:rPr>
      </w:pPr>
    </w:p>
    <w:p w:rsidR="003C2DA9" w:rsidRPr="00B266B0" w:rsidRDefault="003C2DA9" w:rsidP="003C2DA9">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Pr>
          <w:rFonts w:cs="Arial"/>
          <w:b/>
          <w:bCs/>
          <w:sz w:val="24"/>
          <w:lang w:eastAsia="ja-JP"/>
        </w:rPr>
        <w:t>10.3.1.</w:t>
      </w:r>
      <w:r w:rsidR="00E703C9">
        <w:rPr>
          <w:rFonts w:cs="Arial"/>
          <w:b/>
          <w:bCs/>
          <w:sz w:val="24"/>
          <w:lang w:eastAsia="ja-JP"/>
        </w:rPr>
        <w:t>4</w:t>
      </w:r>
    </w:p>
    <w:p w:rsidR="003C2DA9" w:rsidRPr="00B266B0" w:rsidRDefault="003C2DA9" w:rsidP="003C2DA9">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Lenovo, Motorola Mobility</w:t>
      </w:r>
    </w:p>
    <w:p w:rsidR="003C2DA9" w:rsidRDefault="003C2DA9" w:rsidP="003C2DA9">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Pr>
          <w:rFonts w:ascii="Arial" w:hAnsi="Arial" w:cs="Arial"/>
          <w:b/>
          <w:bCs/>
          <w:sz w:val="24"/>
        </w:rPr>
        <w:t>Determination of PH value for CA case</w:t>
      </w:r>
    </w:p>
    <w:p w:rsidR="003C2DA9" w:rsidRPr="00B266B0" w:rsidRDefault="003C2DA9" w:rsidP="003C2DA9">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rsidR="003C2DA9" w:rsidRPr="006E13D1" w:rsidRDefault="003C2DA9" w:rsidP="003C2DA9">
      <w:pPr>
        <w:pStyle w:val="Heading1"/>
      </w:pPr>
      <w:r w:rsidRPr="006E13D1">
        <w:t>1</w:t>
      </w:r>
      <w:r w:rsidRPr="006E13D1">
        <w:tab/>
      </w:r>
      <w:r>
        <w:t>Introduction</w:t>
      </w:r>
    </w:p>
    <w:p w:rsidR="003C2DA9" w:rsidRPr="006E13D1" w:rsidRDefault="003C2DA9" w:rsidP="003C2DA9">
      <w:r>
        <w:t>Potential issues when determining the PH value, i.e. actual versus virtual PHR, was discussed in [1] without reaching any conclusion. We further discuss the issue in this contribution.</w:t>
      </w:r>
    </w:p>
    <w:p w:rsidR="003C2DA9" w:rsidRPr="006E13D1" w:rsidRDefault="003C2DA9" w:rsidP="003C2DA9">
      <w:pPr>
        <w:pStyle w:val="Heading1"/>
      </w:pPr>
      <w:r w:rsidRPr="006E13D1">
        <w:t>2</w:t>
      </w:r>
      <w:r w:rsidRPr="006E13D1">
        <w:tab/>
      </w:r>
      <w:r>
        <w:t>Discussion</w:t>
      </w:r>
    </w:p>
    <w:p w:rsidR="003C2DA9" w:rsidRDefault="003C2DA9" w:rsidP="003C2DA9">
      <w:r>
        <w:t>Since UE needs to determine the PHR MAC CE size before starting LCP and the size of PHR MAC CE depends on whether virtual of real PH is reported for a serving cell, it was agreed that the UE determines the whether actual or virtual PHR is reported for a serving based on the UL resource allocation related signalling, e.g. DCI, configured grant allocations etc., which has been received until the first UL grant is received since PHR is triggered [2]:</w:t>
      </w:r>
    </w:p>
    <w:tbl>
      <w:tblPr>
        <w:tblStyle w:val="TableGrid"/>
        <w:tblW w:w="0" w:type="auto"/>
        <w:tblLook w:val="04A0" w:firstRow="1" w:lastRow="0" w:firstColumn="1" w:lastColumn="0" w:noHBand="0" w:noVBand="1"/>
      </w:tblPr>
      <w:tblGrid>
        <w:gridCol w:w="9631"/>
      </w:tblGrid>
      <w:tr w:rsidR="003C2DA9" w:rsidTr="001D2AF2">
        <w:tc>
          <w:tcPr>
            <w:tcW w:w="9631" w:type="dxa"/>
          </w:tcPr>
          <w:p w:rsidR="003C2DA9" w:rsidRDefault="003C2DA9" w:rsidP="001D2AF2">
            <w:pPr>
              <w:pStyle w:val="Doc-text2"/>
            </w:pPr>
            <w:r>
              <w:t>Agreements:</w:t>
            </w:r>
          </w:p>
          <w:p w:rsidR="003C2DA9" w:rsidRDefault="003C2DA9" w:rsidP="003C2DA9">
            <w:pPr>
              <w:pStyle w:val="Doc-text2"/>
              <w:numPr>
                <w:ilvl w:val="0"/>
                <w:numId w:val="2"/>
              </w:numPr>
            </w:pPr>
            <w:r w:rsidRPr="00487387">
              <w:t>UE determines the PHR MAC CE - whether PH value for an activated Serving Cell is based on real transmission or a reference format - based on the downlink control information which has been received until and including the PDCCH occasion in which the first UL grant is received since a PHR has been triggered</w:t>
            </w:r>
          </w:p>
        </w:tc>
      </w:tr>
    </w:tbl>
    <w:p w:rsidR="003C2DA9" w:rsidRDefault="003C2DA9" w:rsidP="003C2DA9"/>
    <w:p w:rsidR="003C2DA9" w:rsidRDefault="003C2DA9" w:rsidP="003C2DA9">
      <w:r>
        <w:t xml:space="preserve">One potential issue which was discussed in the last RAN2 meeting based on [1] was the case that the first UL resource (for a new transmission) after PHR has been triggered is a configured grant (type1) and there is no first received UL grant received between PHR triggering and the configured grant. The question was how UE would determine the PH value, i.e. actual vs. virtual, respectively the size of the PHR MAC CE before starting the LCP for the configured grant, assuming that the PHR MAC CE is transmitted on the configure grant resources.  </w:t>
      </w:r>
      <w:r>
        <w:br/>
      </w:r>
      <w:r>
        <w:br/>
      </w:r>
      <w:r>
        <w:object w:dxaOrig="8617" w:dyaOrig="26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8pt;height:134.4pt" o:ole="">
            <v:imagedata r:id="rId6" o:title=""/>
          </v:shape>
          <o:OLEObject Type="Embed" ProgID="Visio.Drawing.11" ShapeID="_x0000_i1025" DrawAspect="Content" ObjectID="_1599569751" r:id="rId7"/>
        </w:object>
      </w:r>
    </w:p>
    <w:p w:rsidR="003C2DA9" w:rsidRDefault="003C2DA9" w:rsidP="003C2DA9">
      <w:r>
        <w:t>Since there is no first received UL grant/DCI before starting LCP for the CG, it is strictly speaking not clear what UL resource allocation related signalling, e.g. DCI, configured grant allocations etc., the UE should consider for determining the PH value. We see several options for the UE behaviour in such cases:</w:t>
      </w:r>
    </w:p>
    <w:p w:rsidR="003C2DA9" w:rsidRDefault="003C2DA9" w:rsidP="003C2DA9">
      <w:pPr>
        <w:pStyle w:val="ListParagraph"/>
        <w:numPr>
          <w:ilvl w:val="0"/>
          <w:numId w:val="3"/>
        </w:numPr>
      </w:pPr>
      <w:r w:rsidRPr="00165264">
        <w:rPr>
          <w:b/>
        </w:rPr>
        <w:t>Option 1:</w:t>
      </w:r>
      <w:r>
        <w:t xml:space="preserve"> UE determines the PH value, i.e. actual vs. virtual, </w:t>
      </w:r>
      <w:r w:rsidRPr="00487387">
        <w:t xml:space="preserve">based on </w:t>
      </w:r>
      <w:r>
        <w:t xml:space="preserve">UL resource allocation related signalling (DCI, CG allocation , etc. ) </w:t>
      </w:r>
      <w:r w:rsidRPr="00487387">
        <w:t xml:space="preserve">which has been received until </w:t>
      </w:r>
      <w:r w:rsidRPr="00F84057">
        <w:rPr>
          <w:u w:val="single"/>
        </w:rPr>
        <w:t xml:space="preserve">the first UL grant </w:t>
      </w:r>
      <w:r>
        <w:rPr>
          <w:u w:val="single"/>
        </w:rPr>
        <w:t xml:space="preserve">for a new transmission </w:t>
      </w:r>
      <w:r w:rsidRPr="00F84057">
        <w:rPr>
          <w:u w:val="single"/>
        </w:rPr>
        <w:t>is received since a PHR has been triggered</w:t>
      </w:r>
      <w:r>
        <w:rPr>
          <w:u w:val="single"/>
        </w:rPr>
        <w:t xml:space="preserve"> </w:t>
      </w:r>
      <w:r>
        <w:t xml:space="preserve">  (UE behaviour according to current TS38.321)</w:t>
      </w:r>
    </w:p>
    <w:p w:rsidR="003C2DA9" w:rsidRDefault="003C2DA9" w:rsidP="003C2DA9">
      <w:pPr>
        <w:pStyle w:val="ListParagraph"/>
      </w:pPr>
    </w:p>
    <w:p w:rsidR="003C2DA9" w:rsidRDefault="003C2DA9" w:rsidP="003C2DA9">
      <w:pPr>
        <w:pStyle w:val="ListParagraph"/>
        <w:ind w:left="1136"/>
      </w:pPr>
      <w:r>
        <w:t xml:space="preserve">According to the current specified behaviour for PH value determination, UE would need to wait for the reception of an UL grant (DCI) for a new transmission, e.g. DCI on cell 2 in above figure, before being </w:t>
      </w:r>
      <w:r>
        <w:lastRenderedPageBreak/>
        <w:t xml:space="preserve">able to determine the PH values and transmit a PHR MAC CE. Hence UE would transmit the PHR MAC CE on the corresponding UL resource on cell2 according to the current specified behaviour. Even though the PHR MAC CE transmission would be a bit delayed with the current specified behaviour, we consider this acceptable, since there is </w:t>
      </w:r>
      <w:r>
        <w:rPr>
          <w:rFonts w:eastAsia="SimSun"/>
          <w:lang w:eastAsia="zh-CN"/>
        </w:rPr>
        <w:t>no strict latency requirement for PHR.</w:t>
      </w:r>
      <w:r>
        <w:t xml:space="preserve">    </w:t>
      </w:r>
    </w:p>
    <w:p w:rsidR="003C2DA9" w:rsidRDefault="003C2DA9" w:rsidP="003C2DA9">
      <w:pPr>
        <w:pStyle w:val="ListParagraph"/>
      </w:pPr>
    </w:p>
    <w:p w:rsidR="003C2DA9" w:rsidRDefault="003C2DA9" w:rsidP="003C2DA9">
      <w:pPr>
        <w:pStyle w:val="ListParagraph"/>
        <w:numPr>
          <w:ilvl w:val="0"/>
          <w:numId w:val="3"/>
        </w:numPr>
      </w:pPr>
      <w:r w:rsidRPr="00165264">
        <w:rPr>
          <w:b/>
        </w:rPr>
        <w:t>Option 2:</w:t>
      </w:r>
      <w:r>
        <w:t xml:space="preserve"> UE determines the PH value, i.e. actual versus virtual, by considering UL resource allocation related signalling (DCI, configured grant allocations, etc.) which has been received </w:t>
      </w:r>
      <w:r w:rsidRPr="00A5385B">
        <w:rPr>
          <w:u w:val="single"/>
        </w:rPr>
        <w:t xml:space="preserve">before </w:t>
      </w:r>
      <w:r w:rsidRPr="00A5385B">
        <w:rPr>
          <w:u w:val="single"/>
          <w:lang w:eastAsia="ko-KR"/>
        </w:rPr>
        <w:t xml:space="preserve">initiating the LCP </w:t>
      </w:r>
      <w:r w:rsidRPr="005A6ED6">
        <w:rPr>
          <w:u w:val="single"/>
          <w:lang w:eastAsia="ko-KR"/>
        </w:rPr>
        <w:t>procedure for the UL grant used for the transmission of a triggered PHR</w:t>
      </w:r>
      <w:r>
        <w:rPr>
          <w:lang w:eastAsia="ko-KR"/>
        </w:rPr>
        <w:t>. (as proposed in [1])</w:t>
      </w:r>
    </w:p>
    <w:p w:rsidR="003C2DA9" w:rsidRDefault="003C2DA9" w:rsidP="003C2DA9">
      <w:pPr>
        <w:ind w:left="1136"/>
      </w:pPr>
      <w:r>
        <w:t xml:space="preserve">Taking again the scenario shown in the figure, a UE according to such specified behaviour would consider all UL resource allocation related signalling (DCI, CG allocations, etc.) received before initiating the LCP procedure for the configured grant in order to determine the PH values. Since LCP is initiated after PHR trigger (in this example), PHR MAC CE would be hence transmitted on the configured grant resources. </w:t>
      </w:r>
    </w:p>
    <w:p w:rsidR="003C2DA9" w:rsidRDefault="003C2DA9" w:rsidP="003C2DA9">
      <w:pPr>
        <w:pStyle w:val="ListParagraph"/>
        <w:numPr>
          <w:ilvl w:val="0"/>
          <w:numId w:val="3"/>
        </w:numPr>
      </w:pPr>
      <w:r w:rsidRPr="00165264">
        <w:rPr>
          <w:b/>
        </w:rPr>
        <w:t>Option 3:</w:t>
      </w:r>
      <w:r>
        <w:t xml:space="preserve"> UE determines the PH value, i.e. actual vs. virtual, </w:t>
      </w:r>
      <w:r w:rsidRPr="00487387">
        <w:t xml:space="preserve">based </w:t>
      </w:r>
      <w:r>
        <w:t>on the UL</w:t>
      </w:r>
      <w:r w:rsidRPr="00CE0ABF">
        <w:t xml:space="preserve"> </w:t>
      </w:r>
      <w:r>
        <w:t xml:space="preserve">resource allocation related signalling (DCI, configured grant allocations, etc.) which has been received </w:t>
      </w:r>
      <w:r w:rsidRPr="00A706EA">
        <w:rPr>
          <w:u w:val="single"/>
          <w:lang w:eastAsia="ko-KR"/>
        </w:rPr>
        <w:t xml:space="preserve">until (and including/at) </w:t>
      </w:r>
      <w:r>
        <w:rPr>
          <w:u w:val="single"/>
          <w:lang w:eastAsia="ko-KR"/>
        </w:rPr>
        <w:t xml:space="preserve">n symbols (n could be defined as </w:t>
      </w:r>
      <w:proofErr w:type="gramStart"/>
      <w:r w:rsidRPr="00A706EA">
        <w:rPr>
          <w:u w:val="single"/>
          <w:lang w:eastAsia="ko-KR"/>
        </w:rPr>
        <w:t>K</w:t>
      </w:r>
      <w:r w:rsidRPr="00A706EA">
        <w:rPr>
          <w:u w:val="single"/>
          <w:vertAlign w:val="subscript"/>
          <w:lang w:eastAsia="ko-KR"/>
        </w:rPr>
        <w:t xml:space="preserve">PUSCH </w:t>
      </w:r>
      <w:r w:rsidRPr="00A706EA">
        <w:rPr>
          <w:u w:val="single"/>
          <w:lang w:eastAsia="ko-KR"/>
        </w:rPr>
        <w:t xml:space="preserve"> [</w:t>
      </w:r>
      <w:proofErr w:type="gramEnd"/>
      <w:r w:rsidRPr="00A706EA">
        <w:rPr>
          <w:u w:val="single"/>
          <w:lang w:eastAsia="ko-KR"/>
        </w:rPr>
        <w:t>TS 38.213]</w:t>
      </w:r>
      <w:r w:rsidR="000F01A1">
        <w:rPr>
          <w:u w:val="single"/>
          <w:lang w:eastAsia="ko-KR"/>
        </w:rPr>
        <w:t xml:space="preserve"> or </w:t>
      </w:r>
      <w:r w:rsidR="000F01A1" w:rsidRPr="000F01A1">
        <w:rPr>
          <w:u w:val="single"/>
        </w:rPr>
        <w:t>UE min PUSCH prep time</w:t>
      </w:r>
      <w:r w:rsidRPr="000F01A1">
        <w:rPr>
          <w:u w:val="single"/>
          <w:lang w:eastAsia="ko-KR"/>
        </w:rPr>
        <w:t>) before</w:t>
      </w:r>
      <w:r w:rsidRPr="00A706EA">
        <w:rPr>
          <w:u w:val="single"/>
          <w:lang w:eastAsia="ko-KR"/>
        </w:rPr>
        <w:t xml:space="preserve"> a first symbol for the PUSCH transmission occasion used for the transmission of the triggered PHR</w:t>
      </w:r>
      <w:r>
        <w:rPr>
          <w:lang w:eastAsia="ko-KR"/>
        </w:rPr>
        <w:t>.</w:t>
      </w:r>
    </w:p>
    <w:p w:rsidR="003C2DA9" w:rsidRDefault="003C2DA9" w:rsidP="003C2DA9">
      <w:pPr>
        <w:ind w:left="1136"/>
        <w:rPr>
          <w:lang w:eastAsia="ko-KR"/>
        </w:rPr>
      </w:pPr>
      <w:r>
        <w:t>According to this option, UE would initiate the LCP for the configured grant at the earliest n symbols before the CG resource occasion. In case the PHR has been triggered before this, UE will transmit the PHR MAC CE on the configured grant resource and consider the UL</w:t>
      </w:r>
      <w:r w:rsidRPr="00CE0ABF">
        <w:t xml:space="preserve"> </w:t>
      </w:r>
      <w:r>
        <w:t xml:space="preserve">resource allocation related signalling (DCI, configured grant allocations, etc.) which has been </w:t>
      </w:r>
      <w:r w:rsidRPr="00E51D4B">
        <w:t xml:space="preserve">received </w:t>
      </w:r>
      <w:r w:rsidRPr="00E51D4B">
        <w:rPr>
          <w:lang w:eastAsia="ko-KR"/>
        </w:rPr>
        <w:t xml:space="preserve">until (and including/at) n symbols before a first symbol </w:t>
      </w:r>
      <w:r>
        <w:rPr>
          <w:lang w:eastAsia="ko-KR"/>
        </w:rPr>
        <w:t>of</w:t>
      </w:r>
      <w:r w:rsidRPr="00E51D4B">
        <w:rPr>
          <w:lang w:eastAsia="ko-KR"/>
        </w:rPr>
        <w:t xml:space="preserve"> the </w:t>
      </w:r>
      <w:r>
        <w:rPr>
          <w:lang w:eastAsia="ko-KR"/>
        </w:rPr>
        <w:t>configured grant resource for determining the PH value.</w:t>
      </w:r>
    </w:p>
    <w:p w:rsidR="003C2DA9" w:rsidRDefault="003C2DA9" w:rsidP="003C2DA9">
      <w:pPr>
        <w:rPr>
          <w:lang w:eastAsia="ko-KR"/>
        </w:rPr>
      </w:pPr>
    </w:p>
    <w:p w:rsidR="003C2DA9" w:rsidRDefault="003C2DA9" w:rsidP="003C2DA9">
      <w:pPr>
        <w:rPr>
          <w:lang w:eastAsia="ko-KR"/>
        </w:rPr>
      </w:pPr>
      <w:r>
        <w:rPr>
          <w:lang w:eastAsia="ko-KR"/>
        </w:rPr>
        <w:t xml:space="preserve">Each of the Options has some benefits and drawbacks, which will be discussed in the following: </w:t>
      </w:r>
      <w:r>
        <w:rPr>
          <w:lang w:eastAsia="ko-KR"/>
        </w:rPr>
        <w:br/>
        <w:t xml:space="preserve">In terms of delay, Option 2 (and also Option 3) may be preferable over Option 1 as they allow the UE to send a PHR MAC CE earlier, since UE wouldn’t need to wait for the reception of a DCI for new UL transmission.  However </w:t>
      </w:r>
      <w:r>
        <w:t>since there are no strict delay requirements for PHR reporting, we don’t consider the delay aspect as so important</w:t>
      </w:r>
      <w:r>
        <w:rPr>
          <w:rFonts w:eastAsia="SimSun"/>
          <w:lang w:eastAsia="zh-CN"/>
        </w:rPr>
        <w:t>.</w:t>
      </w:r>
      <w:r>
        <w:rPr>
          <w:lang w:eastAsia="ko-KR"/>
        </w:rPr>
        <w:br/>
        <w:t xml:space="preserve">From testability point of view Option 2 may not be so straight forward, since the starting point of LCP is UE implementation specific. Hence it’s not predictable which </w:t>
      </w:r>
      <w:r>
        <w:t xml:space="preserve">UL resource allocation related signalling (DCI, configured grant allocations, etc.) UE considers for the generation of the PHR MAC CE. Option1 and Option 3 though would result in a deterministic UE behaviour, i.e. the reference time for determination of PH values is deterministic. </w:t>
      </w:r>
      <w:r>
        <w:br/>
        <w:t xml:space="preserve">One disadvantage of Option 3 would be that it limits the UE implementation freedom, since UE cannot start LCP for a configured grant earlier than n symbols before the </w:t>
      </w:r>
      <w:r w:rsidRPr="00E51D4B">
        <w:rPr>
          <w:lang w:eastAsia="ko-KR"/>
        </w:rPr>
        <w:t xml:space="preserve">first symbol </w:t>
      </w:r>
      <w:r>
        <w:rPr>
          <w:lang w:eastAsia="ko-KR"/>
        </w:rPr>
        <w:t>of</w:t>
      </w:r>
      <w:r w:rsidRPr="00E51D4B">
        <w:rPr>
          <w:lang w:eastAsia="ko-KR"/>
        </w:rPr>
        <w:t xml:space="preserve"> the </w:t>
      </w:r>
      <w:r>
        <w:rPr>
          <w:lang w:eastAsia="ko-KR"/>
        </w:rPr>
        <w:t>configured grant resource.</w:t>
      </w:r>
    </w:p>
    <w:p w:rsidR="003C2DA9" w:rsidRDefault="003C2DA9" w:rsidP="003C2DA9">
      <w:r>
        <w:t xml:space="preserve">Given the considerations above, we think that the current specified UE behaviour for PH value determination, i.e. based on first received UL grant for a new transmission, is also covering the configured grant case sufficiently good and hence should be kept.  </w:t>
      </w:r>
      <w:r>
        <w:br/>
        <w:t>However the current wording in TS38.321 should be changed such that UE not only considers downlink control information (DCI) for the determination of PH value but rather takes into account all UL resource allocation signalling, i.e. including configured grant allocations (RRC signalling), etc.</w:t>
      </w:r>
    </w:p>
    <w:p w:rsidR="003C2DA9" w:rsidRPr="000D1F8D" w:rsidRDefault="003C2DA9" w:rsidP="003C2DA9">
      <w:pPr>
        <w:rPr>
          <w:b/>
        </w:rPr>
      </w:pPr>
      <w:r w:rsidRPr="000D1F8D">
        <w:rPr>
          <w:b/>
        </w:rPr>
        <w:t>Proposal</w:t>
      </w:r>
      <w:r>
        <w:rPr>
          <w:b/>
        </w:rPr>
        <w:t xml:space="preserve"> 1</w:t>
      </w:r>
      <w:r w:rsidRPr="000D1F8D">
        <w:rPr>
          <w:b/>
        </w:rPr>
        <w:t>: UE determines the PH value, i.e. actual vs. virtual, based on UL resource allocation related signalling (DCI, CG allocation, etc.) which has been received until and including the PDCCH occasion in which the first UL grant is received since a PHR has been triggered</w:t>
      </w:r>
      <w:r>
        <w:rPr>
          <w:b/>
        </w:rPr>
        <w:t>.</w:t>
      </w:r>
    </w:p>
    <w:p w:rsidR="003C2DA9" w:rsidRPr="006E13D1" w:rsidRDefault="003C2DA9" w:rsidP="003C2DA9">
      <w:r>
        <w:t>A corresponding CR to TS38.321 can be found in [3].</w:t>
      </w:r>
    </w:p>
    <w:p w:rsidR="003C2DA9" w:rsidRPr="006E13D1" w:rsidRDefault="003C2DA9" w:rsidP="003C2DA9">
      <w:pPr>
        <w:pStyle w:val="Heading1"/>
      </w:pPr>
      <w:r w:rsidRPr="006E13D1">
        <w:t>3</w:t>
      </w:r>
      <w:r w:rsidRPr="006E13D1">
        <w:tab/>
      </w:r>
      <w:r>
        <w:t>Conclusion</w:t>
      </w:r>
    </w:p>
    <w:p w:rsidR="003C2DA9" w:rsidRDefault="003C2DA9" w:rsidP="003C2DA9">
      <w:r>
        <w:t>The determination of PH value for CA case is discussed in the contribution. It’s proposed agree on the following proposals:</w:t>
      </w:r>
    </w:p>
    <w:p w:rsidR="003C2DA9" w:rsidRPr="000D1F8D" w:rsidRDefault="003C2DA9" w:rsidP="003C2DA9">
      <w:pPr>
        <w:rPr>
          <w:b/>
        </w:rPr>
      </w:pPr>
      <w:r w:rsidRPr="000D1F8D">
        <w:rPr>
          <w:b/>
        </w:rPr>
        <w:t>Proposal</w:t>
      </w:r>
      <w:r>
        <w:rPr>
          <w:b/>
        </w:rPr>
        <w:t xml:space="preserve"> 1</w:t>
      </w:r>
      <w:r w:rsidRPr="000D1F8D">
        <w:rPr>
          <w:b/>
        </w:rPr>
        <w:t>: UE determines the PH value, i.e. actual vs. virtual, based on UL resource allocation related signalling (DCI, CG allocation, etc.) which has been received until and including the PDCCH occasion in which the first UL grant is received since a PHR has been triggered</w:t>
      </w:r>
      <w:r>
        <w:rPr>
          <w:b/>
        </w:rPr>
        <w:t>.</w:t>
      </w:r>
    </w:p>
    <w:p w:rsidR="003C2DA9" w:rsidRPr="006E13D1" w:rsidRDefault="003C2DA9" w:rsidP="003C2DA9"/>
    <w:p w:rsidR="003C2DA9" w:rsidRPr="006E13D1" w:rsidRDefault="003C2DA9" w:rsidP="003C2DA9">
      <w:pPr>
        <w:pStyle w:val="Heading1"/>
      </w:pPr>
      <w:r w:rsidRPr="006E13D1">
        <w:lastRenderedPageBreak/>
        <w:t>References</w:t>
      </w:r>
    </w:p>
    <w:p w:rsidR="003C2DA9" w:rsidRDefault="003C2DA9" w:rsidP="003C2DA9">
      <w:pPr>
        <w:numPr>
          <w:ilvl w:val="0"/>
          <w:numId w:val="1"/>
        </w:numPr>
        <w:overflowPunct w:val="0"/>
        <w:autoSpaceDE w:val="0"/>
        <w:autoSpaceDN w:val="0"/>
        <w:adjustRightInd w:val="0"/>
        <w:textAlignment w:val="baseline"/>
      </w:pPr>
      <w:bookmarkStart w:id="1" w:name="_Ref75086397"/>
      <w:r>
        <w:t xml:space="preserve">R2-1809580, </w:t>
      </w:r>
      <w:r w:rsidRPr="00832AE6">
        <w:rPr>
          <w:i/>
        </w:rPr>
        <w:t>Further consideration on determination of the PH value type</w:t>
      </w:r>
      <w:r>
        <w:t xml:space="preserve">, </w:t>
      </w:r>
      <w:r w:rsidRPr="00832AE6">
        <w:t xml:space="preserve">Huawei, </w:t>
      </w:r>
      <w:proofErr w:type="spellStart"/>
      <w:r w:rsidRPr="00832AE6">
        <w:t>HiSilicon</w:t>
      </w:r>
      <w:proofErr w:type="spellEnd"/>
    </w:p>
    <w:p w:rsidR="003C2DA9" w:rsidRPr="00CD4C7B" w:rsidRDefault="003C2DA9" w:rsidP="003C2DA9">
      <w:pPr>
        <w:numPr>
          <w:ilvl w:val="0"/>
          <w:numId w:val="1"/>
        </w:numPr>
        <w:overflowPunct w:val="0"/>
        <w:autoSpaceDE w:val="0"/>
        <w:autoSpaceDN w:val="0"/>
        <w:adjustRightInd w:val="0"/>
        <w:textAlignment w:val="baseline"/>
      </w:pPr>
      <w:r>
        <w:t xml:space="preserve">R2-1712916, </w:t>
      </w:r>
      <w:r w:rsidRPr="007A00C4">
        <w:rPr>
          <w:i/>
        </w:rPr>
        <w:t xml:space="preserve">PHR MAC CE format, </w:t>
      </w:r>
      <w:r w:rsidRPr="000F01A1">
        <w:t>Lenovo, Motorola Mobility</w:t>
      </w:r>
      <w:r w:rsidRPr="005F3BE1">
        <w:t>, Qualcomm Incorporated</w:t>
      </w:r>
      <w:bookmarkEnd w:id="1"/>
    </w:p>
    <w:p w:rsidR="005C2A26" w:rsidRDefault="000F01A1" w:rsidP="000F01A1">
      <w:pPr>
        <w:ind w:left="142"/>
      </w:pPr>
      <w:r>
        <w:t>[3]   R2-18</w:t>
      </w:r>
      <w:r w:rsidR="00372B49">
        <w:t>14652</w:t>
      </w:r>
      <w:r>
        <w:t xml:space="preserve">, </w:t>
      </w:r>
      <w:r w:rsidRPr="000F01A1">
        <w:rPr>
          <w:i/>
        </w:rPr>
        <w:t>Correction to determination of PH value</w:t>
      </w:r>
      <w:r>
        <w:t>, CR to TS38.321, Lenovo, Motorola Mobility</w:t>
      </w:r>
    </w:p>
    <w:sectPr w:rsidR="005C2A26">
      <w:footnotePr>
        <w:numRestart w:val="eachSect"/>
      </w:footnotePr>
      <w:pgSz w:w="11907" w:h="16840" w:code="9"/>
      <w:pgMar w:top="1416" w:right="1133" w:bottom="1133" w:left="1133" w:header="850" w:footer="34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010ADE"/>
    <w:multiLevelType w:val="hybridMultilevel"/>
    <w:tmpl w:val="350EC1F6"/>
    <w:lvl w:ilvl="0" w:tplc="AA4EF412">
      <w:start w:val="1"/>
      <w:numFmt w:val="decimal"/>
      <w:lvlText w:val="[%1]"/>
      <w:lvlJc w:val="left"/>
      <w:pPr>
        <w:tabs>
          <w:tab w:val="num" w:pos="502"/>
        </w:tabs>
        <w:ind w:left="499"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nsid w:val="754768A5"/>
    <w:multiLevelType w:val="hybridMultilevel"/>
    <w:tmpl w:val="B17A0840"/>
    <w:lvl w:ilvl="0" w:tplc="929AB54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nsid w:val="7BBE04C0"/>
    <w:multiLevelType w:val="hybridMultilevel"/>
    <w:tmpl w:val="6756A72C"/>
    <w:lvl w:ilvl="0" w:tplc="FCF007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proofState w:spelling="clean" w:grammar="clean"/>
  <w:defaultTabStop w:val="720"/>
  <w:characterSpacingControl w:val="doNotCompress"/>
  <w:footnotePr>
    <w:numRestart w:val="eachSect"/>
  </w:foot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2DA9"/>
    <w:rsid w:val="000F01A1"/>
    <w:rsid w:val="00180194"/>
    <w:rsid w:val="00372B49"/>
    <w:rsid w:val="003C2DA9"/>
    <w:rsid w:val="007453BE"/>
    <w:rsid w:val="007D11DF"/>
    <w:rsid w:val="007E7118"/>
    <w:rsid w:val="0093016B"/>
    <w:rsid w:val="009A4690"/>
    <w:rsid w:val="009D0840"/>
    <w:rsid w:val="00A16D2A"/>
    <w:rsid w:val="00AA264B"/>
    <w:rsid w:val="00D23481"/>
    <w:rsid w:val="00DE41E4"/>
    <w:rsid w:val="00E703C9"/>
    <w:rsid w:val="00E97F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2DA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3C2DA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C2DA9"/>
    <w:rPr>
      <w:rFonts w:ascii="Arial" w:eastAsia="Times New Roman" w:hAnsi="Arial" w:cs="Times New Roman"/>
      <w:sz w:val="36"/>
      <w:szCs w:val="20"/>
      <w:lang w:val="en-GB"/>
    </w:rPr>
  </w:style>
  <w:style w:type="paragraph" w:styleId="Header">
    <w:name w:val="header"/>
    <w:aliases w:val="header odd"/>
    <w:link w:val="HeaderChar"/>
    <w:rsid w:val="003C2DA9"/>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
    <w:basedOn w:val="DefaultParagraphFont"/>
    <w:link w:val="Header"/>
    <w:rsid w:val="003C2DA9"/>
    <w:rPr>
      <w:rFonts w:ascii="Arial" w:eastAsia="Times New Roman" w:hAnsi="Arial" w:cs="Times New Roman"/>
      <w:b/>
      <w:noProof/>
      <w:sz w:val="18"/>
      <w:szCs w:val="20"/>
      <w:lang w:val="en-GB" w:eastAsia="ja-JP"/>
    </w:rPr>
  </w:style>
  <w:style w:type="paragraph" w:customStyle="1" w:styleId="CRCoverPage">
    <w:name w:val="CR Cover Page"/>
    <w:rsid w:val="003C2DA9"/>
    <w:pPr>
      <w:spacing w:after="120" w:line="240" w:lineRule="auto"/>
    </w:pPr>
    <w:rPr>
      <w:rFonts w:ascii="Arial" w:eastAsia="MS Mincho" w:hAnsi="Arial" w:cs="Times New Roman"/>
      <w:sz w:val="20"/>
      <w:szCs w:val="20"/>
      <w:lang w:val="en-GB"/>
    </w:rPr>
  </w:style>
  <w:style w:type="table" w:styleId="TableGrid">
    <w:name w:val="Table Grid"/>
    <w:basedOn w:val="TableNormal"/>
    <w:rsid w:val="003C2DA9"/>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3C2DA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C2DA9"/>
    <w:rPr>
      <w:rFonts w:ascii="Arial" w:eastAsia="MS Mincho" w:hAnsi="Arial" w:cs="Times New Roman"/>
      <w:sz w:val="20"/>
      <w:szCs w:val="24"/>
      <w:lang w:val="en-GB" w:eastAsia="en-GB"/>
    </w:rPr>
  </w:style>
  <w:style w:type="paragraph" w:styleId="ListParagraph">
    <w:name w:val="List Paragraph"/>
    <w:basedOn w:val="Normal"/>
    <w:uiPriority w:val="34"/>
    <w:qFormat/>
    <w:rsid w:val="003C2DA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2DA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3C2DA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C2DA9"/>
    <w:rPr>
      <w:rFonts w:ascii="Arial" w:eastAsia="Times New Roman" w:hAnsi="Arial" w:cs="Times New Roman"/>
      <w:sz w:val="36"/>
      <w:szCs w:val="20"/>
      <w:lang w:val="en-GB"/>
    </w:rPr>
  </w:style>
  <w:style w:type="paragraph" w:styleId="Header">
    <w:name w:val="header"/>
    <w:aliases w:val="header odd"/>
    <w:link w:val="HeaderChar"/>
    <w:rsid w:val="003C2DA9"/>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
    <w:basedOn w:val="DefaultParagraphFont"/>
    <w:link w:val="Header"/>
    <w:rsid w:val="003C2DA9"/>
    <w:rPr>
      <w:rFonts w:ascii="Arial" w:eastAsia="Times New Roman" w:hAnsi="Arial" w:cs="Times New Roman"/>
      <w:b/>
      <w:noProof/>
      <w:sz w:val="18"/>
      <w:szCs w:val="20"/>
      <w:lang w:val="en-GB" w:eastAsia="ja-JP"/>
    </w:rPr>
  </w:style>
  <w:style w:type="paragraph" w:customStyle="1" w:styleId="CRCoverPage">
    <w:name w:val="CR Cover Page"/>
    <w:rsid w:val="003C2DA9"/>
    <w:pPr>
      <w:spacing w:after="120" w:line="240" w:lineRule="auto"/>
    </w:pPr>
    <w:rPr>
      <w:rFonts w:ascii="Arial" w:eastAsia="MS Mincho" w:hAnsi="Arial" w:cs="Times New Roman"/>
      <w:sz w:val="20"/>
      <w:szCs w:val="20"/>
      <w:lang w:val="en-GB"/>
    </w:rPr>
  </w:style>
  <w:style w:type="table" w:styleId="TableGrid">
    <w:name w:val="Table Grid"/>
    <w:basedOn w:val="TableNormal"/>
    <w:rsid w:val="003C2DA9"/>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3C2DA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C2DA9"/>
    <w:rPr>
      <w:rFonts w:ascii="Arial" w:eastAsia="MS Mincho" w:hAnsi="Arial" w:cs="Times New Roman"/>
      <w:sz w:val="20"/>
      <w:szCs w:val="24"/>
      <w:lang w:val="en-GB" w:eastAsia="en-GB"/>
    </w:rPr>
  </w:style>
  <w:style w:type="paragraph" w:styleId="ListParagraph">
    <w:name w:val="List Paragraph"/>
    <w:basedOn w:val="Normal"/>
    <w:uiPriority w:val="34"/>
    <w:qFormat/>
    <w:rsid w:val="003C2DA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1093</Words>
  <Characters>6234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7313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Joachim Löhr</dc:creator>
  <cp:lastModifiedBy>Joachim Löhr</cp:lastModifiedBy>
  <cp:revision>4</cp:revision>
  <dcterms:created xsi:type="dcterms:W3CDTF">2018-09-27T12:41:00Z</dcterms:created>
  <dcterms:modified xsi:type="dcterms:W3CDTF">2018-09-27T13:14:00Z</dcterms:modified>
</cp:coreProperties>
</file>