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5DF6E1B5"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103bis</w:t>
      </w:r>
      <w:r w:rsidRPr="00EE6198">
        <w:rPr>
          <w:sz w:val="24"/>
          <w:lang w:val="en-GB" w:eastAsia="zh-CN"/>
        </w:rPr>
        <w:tab/>
      </w:r>
      <w:r>
        <w:rPr>
          <w:sz w:val="24"/>
          <w:lang w:val="en-GB" w:eastAsia="zh-CN"/>
        </w:rPr>
        <w:t>R2-18</w:t>
      </w:r>
      <w:r w:rsidR="0072723A">
        <w:rPr>
          <w:sz w:val="24"/>
          <w:lang w:val="en-GB" w:eastAsia="zh-CN"/>
        </w:rPr>
        <w:t>14065</w:t>
      </w:r>
    </w:p>
    <w:p w14:paraId="4C209772" w14:textId="3862F01C" w:rsidR="00A507B8" w:rsidRPr="00550983" w:rsidRDefault="00BD67D0" w:rsidP="00A507B8">
      <w:pPr>
        <w:pStyle w:val="Header"/>
        <w:tabs>
          <w:tab w:val="right" w:pos="9639"/>
        </w:tabs>
        <w:rPr>
          <w:sz w:val="24"/>
          <w:lang w:val="en-GB" w:eastAsia="zh-CN"/>
        </w:rPr>
      </w:pPr>
      <w:r>
        <w:rPr>
          <w:sz w:val="24"/>
          <w:lang w:eastAsia="ko-KR"/>
        </w:rPr>
        <w:t>Chengdu, China, October 8-12, 2018</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5B637A9B"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3A24B7">
        <w:rPr>
          <w:rFonts w:eastAsia="SimSun" w:cs="Arial"/>
          <w:b/>
          <w:bCs/>
          <w:sz w:val="24"/>
          <w:lang w:val="en-US"/>
        </w:rPr>
        <w:t>11.4.2.3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18CAFBF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51D31">
        <w:rPr>
          <w:rFonts w:ascii="Arial" w:hAnsi="Arial" w:cs="Arial"/>
          <w:b/>
          <w:bCs/>
          <w:sz w:val="24"/>
        </w:rPr>
        <w:t xml:space="preserve">Considerations on unicast and groupcast support over NR SL </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06F8BC63" w:rsidR="00B81256" w:rsidRDefault="003A24B7"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The </w:t>
      </w:r>
      <w:r w:rsidR="00BC0AA3">
        <w:rPr>
          <w:rFonts w:ascii="Times New Roman" w:hAnsi="Times New Roman"/>
          <w:sz w:val="20"/>
          <w:szCs w:val="20"/>
          <w:lang w:eastAsia="zh-CN"/>
        </w:rPr>
        <w:t>support of unicast and groupcast communication over sidelink</w:t>
      </w:r>
      <w:r w:rsidR="00BD67D0">
        <w:rPr>
          <w:rFonts w:ascii="Times New Roman" w:hAnsi="Times New Roman"/>
          <w:sz w:val="20"/>
          <w:szCs w:val="20"/>
          <w:lang w:eastAsia="zh-CN"/>
        </w:rPr>
        <w:t xml:space="preserve"> for supporting advanced V2X use cases </w:t>
      </w:r>
      <w:r>
        <w:rPr>
          <w:rFonts w:ascii="Times New Roman" w:hAnsi="Times New Roman"/>
          <w:sz w:val="20"/>
          <w:szCs w:val="20"/>
          <w:lang w:eastAsia="zh-CN"/>
        </w:rPr>
        <w:t>seems by far to be the more critical objective of this SI</w:t>
      </w:r>
      <w:r w:rsidR="00BD67D0">
        <w:rPr>
          <w:rFonts w:ascii="Times New Roman" w:hAnsi="Times New Roman"/>
          <w:sz w:val="20"/>
          <w:szCs w:val="20"/>
          <w:lang w:eastAsia="zh-CN"/>
        </w:rPr>
        <w:t xml:space="preserve"> </w:t>
      </w:r>
      <w:sdt>
        <w:sdtPr>
          <w:rPr>
            <w:rFonts w:ascii="Times New Roman" w:hAnsi="Times New Roman"/>
            <w:sz w:val="20"/>
            <w:szCs w:val="20"/>
            <w:lang w:eastAsia="zh-CN"/>
          </w:rPr>
          <w:id w:val="-1087534624"/>
          <w:citation/>
        </w:sdtPr>
        <w:sdtEndPr/>
        <w:sdtContent>
          <w:r w:rsidR="00ED13F3">
            <w:rPr>
              <w:rFonts w:ascii="Times New Roman" w:hAnsi="Times New Roman"/>
              <w:sz w:val="20"/>
              <w:szCs w:val="20"/>
              <w:lang w:eastAsia="zh-CN"/>
            </w:rPr>
            <w:fldChar w:fldCharType="begin"/>
          </w:r>
          <w:r w:rsidR="00ED13F3">
            <w:rPr>
              <w:rFonts w:ascii="Times New Roman" w:hAnsi="Times New Roman"/>
              <w:sz w:val="20"/>
              <w:szCs w:val="20"/>
              <w:lang w:eastAsia="zh-CN"/>
            </w:rPr>
            <w:instrText xml:space="preserve"> CITATION NRv2XSI \l 1033 </w:instrText>
          </w:r>
          <w:r w:rsidR="00ED13F3">
            <w:rPr>
              <w:rFonts w:ascii="Times New Roman" w:hAnsi="Times New Roman"/>
              <w:sz w:val="20"/>
              <w:szCs w:val="20"/>
              <w:lang w:eastAsia="zh-CN"/>
            </w:rPr>
            <w:fldChar w:fldCharType="separate"/>
          </w:r>
          <w:r w:rsidR="003F1372" w:rsidRPr="003F1372">
            <w:rPr>
              <w:rFonts w:ascii="Times New Roman" w:hAnsi="Times New Roman"/>
              <w:noProof/>
              <w:sz w:val="20"/>
              <w:szCs w:val="20"/>
              <w:lang w:eastAsia="zh-CN"/>
            </w:rPr>
            <w:t>[1]</w:t>
          </w:r>
          <w:r w:rsidR="00ED13F3">
            <w:rPr>
              <w:rFonts w:ascii="Times New Roman" w:hAnsi="Times New Roman"/>
              <w:sz w:val="20"/>
              <w:szCs w:val="20"/>
              <w:lang w:eastAsia="zh-CN"/>
            </w:rPr>
            <w:fldChar w:fldCharType="end"/>
          </w:r>
        </w:sdtContent>
      </w:sdt>
      <w:r w:rsidR="00ED13F3">
        <w:rPr>
          <w:rFonts w:ascii="Times New Roman" w:hAnsi="Times New Roman"/>
          <w:sz w:val="20"/>
          <w:szCs w:val="20"/>
          <w:lang w:eastAsia="ja-JP"/>
        </w:rPr>
        <w:t>:</w:t>
      </w:r>
    </w:p>
    <w:tbl>
      <w:tblPr>
        <w:tblStyle w:val="TableGrid"/>
        <w:tblW w:w="0" w:type="auto"/>
        <w:tblLook w:val="04A0" w:firstRow="1" w:lastRow="0" w:firstColumn="1" w:lastColumn="0" w:noHBand="0" w:noVBand="1"/>
      </w:tblPr>
      <w:tblGrid>
        <w:gridCol w:w="9629"/>
      </w:tblGrid>
      <w:tr w:rsidR="00B81256" w14:paraId="5243C952" w14:textId="77777777" w:rsidTr="001F221E">
        <w:tc>
          <w:tcPr>
            <w:tcW w:w="9629" w:type="dxa"/>
          </w:tcPr>
          <w:p w14:paraId="54A79D95" w14:textId="77777777" w:rsidR="001F221E" w:rsidRPr="001F221E" w:rsidRDefault="001F221E" w:rsidP="001F221E">
            <w:pPr>
              <w:overflowPunct w:val="0"/>
              <w:autoSpaceDE w:val="0"/>
              <w:autoSpaceDN w:val="0"/>
              <w:adjustRightInd w:val="0"/>
              <w:spacing w:after="180" w:line="240" w:lineRule="auto"/>
              <w:ind w:left="45"/>
              <w:textAlignment w:val="baseline"/>
              <w:rPr>
                <w:rFonts w:ascii="Times New Roman" w:eastAsia="Times New Roman" w:hAnsi="Times New Roman"/>
                <w:sz w:val="20"/>
                <w:szCs w:val="20"/>
                <w:lang w:val="en-GB" w:eastAsia="ko-KR"/>
              </w:rPr>
            </w:pPr>
            <w:r w:rsidRPr="001F221E">
              <w:rPr>
                <w:rFonts w:ascii="Times New Roman" w:eastAsia="Times New Roman" w:hAnsi="Times New Roman"/>
                <w:b/>
                <w:bCs/>
                <w:sz w:val="20"/>
                <w:szCs w:val="20"/>
                <w:lang w:val="en-GB" w:eastAsia="ko-KR"/>
              </w:rPr>
              <w:t xml:space="preserve">1: Sidelink design </w:t>
            </w:r>
            <w:r w:rsidRPr="001F221E">
              <w:rPr>
                <w:rFonts w:ascii="Times New Roman" w:eastAsia="Times New Roman" w:hAnsi="Times New Roman"/>
                <w:b/>
                <w:sz w:val="20"/>
                <w:szCs w:val="20"/>
                <w:lang w:eastAsia="ko-KR"/>
              </w:rPr>
              <w:t>[RAN1, RAN2]</w:t>
            </w:r>
            <w:r w:rsidRPr="001F221E">
              <w:rPr>
                <w:rFonts w:ascii="Times New Roman" w:eastAsia="Times New Roman" w:hAnsi="Times New Roman"/>
                <w:b/>
                <w:bCs/>
                <w:sz w:val="20"/>
                <w:szCs w:val="20"/>
                <w:lang w:val="en-GB" w:eastAsia="ko-KR"/>
              </w:rPr>
              <w:t>:</w:t>
            </w:r>
          </w:p>
          <w:p w14:paraId="3D552F2D" w14:textId="77777777" w:rsidR="001F221E" w:rsidRPr="001F221E" w:rsidRDefault="001F221E" w:rsidP="001F221E">
            <w:pPr>
              <w:numPr>
                <w:ilvl w:val="0"/>
                <w:numId w:val="27"/>
              </w:numPr>
              <w:overflowPunct w:val="0"/>
              <w:autoSpaceDE w:val="0"/>
              <w:autoSpaceDN w:val="0"/>
              <w:adjustRightInd w:val="0"/>
              <w:spacing w:after="180" w:line="240" w:lineRule="auto"/>
              <w:textAlignment w:val="baseline"/>
              <w:rPr>
                <w:rFonts w:ascii="Times New Roman" w:eastAsia="Times New Roman" w:hAnsi="Times New Roman"/>
                <w:sz w:val="20"/>
                <w:szCs w:val="20"/>
                <w:lang w:eastAsia="ko-KR"/>
              </w:rPr>
            </w:pPr>
            <w:r w:rsidRPr="001F221E">
              <w:rPr>
                <w:rFonts w:ascii="Times New Roman" w:eastAsia="Times New Roman" w:hAnsi="Times New Roman"/>
                <w:sz w:val="20"/>
                <w:szCs w:val="20"/>
                <w:lang w:eastAsia="ko-KR"/>
              </w:rPr>
              <w:t xml:space="preserve">Identify technical solutions for a NR sidelink design to meet the requirements of advanced V2X services, including </w:t>
            </w:r>
          </w:p>
          <w:p w14:paraId="07FFA738"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sz w:val="20"/>
                <w:szCs w:val="20"/>
                <w:lang w:eastAsia="ko-KR"/>
              </w:rPr>
            </w:pPr>
            <w:r w:rsidRPr="00BC0AA3">
              <w:rPr>
                <w:rFonts w:ascii="Times New Roman" w:eastAsia="DengXian" w:hAnsi="Times New Roman"/>
                <w:sz w:val="20"/>
                <w:szCs w:val="20"/>
                <w:highlight w:val="yellow"/>
                <w:lang w:val="en-GB"/>
              </w:rPr>
              <w:t>Study the support of s</w:t>
            </w:r>
            <w:r w:rsidRPr="00BC0AA3">
              <w:rPr>
                <w:rFonts w:ascii="Times New Roman" w:eastAsia="DengXian" w:hAnsi="Times New Roman"/>
                <w:sz w:val="20"/>
                <w:szCs w:val="20"/>
                <w:highlight w:val="yellow"/>
                <w:lang w:val="en-GB" w:eastAsia="zh-CN"/>
              </w:rPr>
              <w:t>idelink</w:t>
            </w:r>
            <w:r w:rsidRPr="00BC0AA3">
              <w:rPr>
                <w:rFonts w:ascii="Times New Roman" w:eastAsia="DengXian" w:hAnsi="Times New Roman"/>
                <w:sz w:val="20"/>
                <w:szCs w:val="20"/>
                <w:highlight w:val="yellow"/>
                <w:lang w:val="en-GB"/>
              </w:rPr>
              <w:t xml:space="preserve"> unicast, sidelink groupcast</w:t>
            </w:r>
            <w:r w:rsidRPr="001F221E">
              <w:rPr>
                <w:rFonts w:ascii="Times New Roman" w:eastAsia="DengXian" w:hAnsi="Times New Roman"/>
                <w:sz w:val="20"/>
                <w:szCs w:val="20"/>
                <w:lang w:val="en-GB"/>
              </w:rPr>
              <w:t xml:space="preserve"> and sidelink broadcast</w:t>
            </w:r>
          </w:p>
          <w:p w14:paraId="75BEC8F6"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sz w:val="20"/>
                <w:szCs w:val="20"/>
                <w:lang w:eastAsia="ko-KR"/>
              </w:rPr>
            </w:pPr>
            <w:r w:rsidRPr="001F221E">
              <w:rPr>
                <w:rFonts w:ascii="Times New Roman" w:eastAsia="DengXian" w:hAnsi="Times New Roman"/>
                <w:sz w:val="20"/>
                <w:szCs w:val="20"/>
              </w:rPr>
              <w:t xml:space="preserve">Study NR </w:t>
            </w:r>
            <w:r w:rsidRPr="001F221E">
              <w:rPr>
                <w:rFonts w:ascii="Times New Roman" w:eastAsia="DengXian" w:hAnsi="Times New Roman"/>
                <w:sz w:val="20"/>
                <w:szCs w:val="20"/>
                <w:lang w:val="en-GB" w:eastAsia="ko-KR"/>
              </w:rPr>
              <w:t xml:space="preserve">sidelink </w:t>
            </w:r>
            <w:r w:rsidRPr="001F221E">
              <w:rPr>
                <w:rFonts w:ascii="Times New Roman" w:eastAsia="DengXian" w:hAnsi="Times New Roman"/>
                <w:sz w:val="20"/>
                <w:szCs w:val="20"/>
                <w:lang w:val="en-GB"/>
              </w:rPr>
              <w:t>physical layer structures</w:t>
            </w:r>
            <w:r w:rsidRPr="001F221E">
              <w:rPr>
                <w:rFonts w:ascii="Times New Roman" w:eastAsia="DengXian" w:hAnsi="Times New Roman"/>
                <w:sz w:val="20"/>
                <w:szCs w:val="20"/>
                <w:lang w:val="en-GB" w:eastAsia="ko-KR"/>
              </w:rPr>
              <w:t xml:space="preserve"> and procedure(s)</w:t>
            </w:r>
          </w:p>
          <w:p w14:paraId="3330795B"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sz w:val="20"/>
                <w:szCs w:val="20"/>
                <w:lang w:eastAsia="ko-KR"/>
              </w:rPr>
            </w:pPr>
            <w:r w:rsidRPr="001F221E">
              <w:rPr>
                <w:rFonts w:ascii="Times New Roman" w:eastAsia="DengXian" w:hAnsi="Times New Roman"/>
                <w:sz w:val="20"/>
                <w:szCs w:val="20"/>
                <w:lang w:val="en-GB" w:eastAsia="ko-KR"/>
              </w:rPr>
              <w:t>Study sidelink synchronization mechanism</w:t>
            </w:r>
          </w:p>
          <w:p w14:paraId="65AC78CA"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iCs/>
                <w:sz w:val="20"/>
                <w:szCs w:val="20"/>
                <w:lang w:eastAsia="ko-KR"/>
              </w:rPr>
            </w:pPr>
            <w:r w:rsidRPr="001F221E">
              <w:rPr>
                <w:rFonts w:ascii="Times New Roman" w:eastAsia="DengXian" w:hAnsi="Times New Roman"/>
                <w:sz w:val="20"/>
                <w:szCs w:val="20"/>
                <w:lang w:val="en-GB" w:eastAsia="ko-KR"/>
              </w:rPr>
              <w:t xml:space="preserve">Study </w:t>
            </w:r>
            <w:r w:rsidRPr="001F221E">
              <w:rPr>
                <w:rFonts w:ascii="Times New Roman" w:eastAsia="DengXian" w:hAnsi="Times New Roman"/>
                <w:sz w:val="20"/>
                <w:szCs w:val="20"/>
                <w:lang w:eastAsia="ko-KR"/>
              </w:rPr>
              <w:t>sidelink resource allocation</w:t>
            </w:r>
            <w:r w:rsidRPr="001F221E">
              <w:rPr>
                <w:rFonts w:ascii="Times New Roman" w:eastAsia="DengXian" w:hAnsi="Times New Roman"/>
                <w:sz w:val="20"/>
                <w:szCs w:val="20"/>
                <w:lang w:eastAsia="zh-CN"/>
              </w:rPr>
              <w:t xml:space="preserve"> mechanism (also including objective 3)</w:t>
            </w:r>
          </w:p>
          <w:p w14:paraId="24A2CA55"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iCs/>
                <w:sz w:val="20"/>
                <w:szCs w:val="20"/>
                <w:lang w:eastAsia="ko-KR"/>
              </w:rPr>
            </w:pPr>
            <w:r w:rsidRPr="001F221E">
              <w:rPr>
                <w:rFonts w:ascii="Times New Roman" w:eastAsia="DengXian" w:hAnsi="Times New Roman"/>
                <w:iCs/>
                <w:sz w:val="20"/>
                <w:szCs w:val="20"/>
                <w:lang w:eastAsia="ko-KR"/>
              </w:rPr>
              <w:t xml:space="preserve">Study </w:t>
            </w:r>
            <w:r w:rsidRPr="001F221E">
              <w:rPr>
                <w:rFonts w:ascii="Times New Roman" w:eastAsia="DengXian" w:hAnsi="Times New Roman"/>
                <w:iCs/>
                <w:sz w:val="20"/>
                <w:szCs w:val="20"/>
                <w:lang w:eastAsia="zh-CN"/>
              </w:rPr>
              <w:t xml:space="preserve">sidelink </w:t>
            </w:r>
            <w:r w:rsidRPr="001F221E">
              <w:rPr>
                <w:rFonts w:ascii="Times New Roman" w:eastAsia="DengXian" w:hAnsi="Times New Roman"/>
                <w:iCs/>
                <w:sz w:val="20"/>
                <w:szCs w:val="20"/>
                <w:lang w:eastAsia="ko-KR"/>
              </w:rPr>
              <w:t>L2/L3 protocols</w:t>
            </w:r>
          </w:p>
          <w:p w14:paraId="1438D667" w14:textId="77777777" w:rsidR="001F221E" w:rsidRPr="001F221E" w:rsidRDefault="001F221E" w:rsidP="001F221E">
            <w:pPr>
              <w:spacing w:line="252" w:lineRule="auto"/>
              <w:ind w:left="360" w:firstLine="360"/>
              <w:contextualSpacing/>
              <w:rPr>
                <w:rFonts w:ascii="Times New Roman" w:eastAsia="DengXian" w:hAnsi="Times New Roman"/>
                <w:sz w:val="20"/>
                <w:szCs w:val="20"/>
                <w:lang w:eastAsia="ko-KR"/>
              </w:rPr>
            </w:pPr>
          </w:p>
          <w:p w14:paraId="288D5D5F" w14:textId="5CCF44D7" w:rsidR="00B81256" w:rsidRPr="00027F83" w:rsidRDefault="001F221E" w:rsidP="00027F83">
            <w:pPr>
              <w:spacing w:line="252" w:lineRule="auto"/>
              <w:ind w:left="360" w:firstLine="360"/>
              <w:contextualSpacing/>
              <w:rPr>
                <w:rFonts w:ascii="Times New Roman" w:eastAsia="DengXian" w:hAnsi="Times New Roman"/>
                <w:iCs/>
                <w:sz w:val="20"/>
                <w:szCs w:val="20"/>
                <w:lang w:eastAsia="ko-KR"/>
              </w:rPr>
            </w:pPr>
            <w:r w:rsidRPr="001F221E">
              <w:rPr>
                <w:rFonts w:ascii="Times New Roman" w:eastAsia="DengXian" w:hAnsi="Times New Roman"/>
                <w:sz w:val="20"/>
                <w:szCs w:val="20"/>
                <w:lang w:eastAsia="ko-KR"/>
              </w:rPr>
              <w:t>NOTE: Only the performance of advanced V2X use cases will be evaluated in the design of NR sidelink</w:t>
            </w:r>
            <w:r w:rsidRPr="001F221E">
              <w:rPr>
                <w:rFonts w:ascii="Times New Roman" w:eastAsia="DengXian" w:hAnsi="Times New Roman"/>
                <w:iCs/>
                <w:sz w:val="20"/>
                <w:szCs w:val="20"/>
                <w:lang w:eastAsia="ko-KR"/>
              </w:rPr>
              <w:t>.</w:t>
            </w:r>
          </w:p>
        </w:tc>
      </w:tr>
    </w:tbl>
    <w:p w14:paraId="48B5499E" w14:textId="77777777" w:rsidR="00B81256" w:rsidRDefault="00B81256"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3915519" w14:textId="23BF2D03" w:rsidR="007356BA" w:rsidRPr="00C11F0A" w:rsidRDefault="00027F83"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While there </w:t>
      </w:r>
      <w:r w:rsidR="00BD67D0">
        <w:rPr>
          <w:rFonts w:ascii="Times New Roman" w:hAnsi="Times New Roman"/>
          <w:sz w:val="20"/>
          <w:szCs w:val="20"/>
          <w:lang w:eastAsia="ja-JP"/>
        </w:rPr>
        <w:t>are man</w:t>
      </w:r>
      <w:r>
        <w:rPr>
          <w:rFonts w:ascii="Times New Roman" w:hAnsi="Times New Roman"/>
          <w:sz w:val="20"/>
          <w:szCs w:val="20"/>
          <w:lang w:eastAsia="ja-JP"/>
        </w:rPr>
        <w:t xml:space="preserve">y different aspects to consider here, </w:t>
      </w:r>
      <w:r w:rsidR="00BD67D0">
        <w:rPr>
          <w:rFonts w:ascii="Times New Roman" w:hAnsi="Times New Roman"/>
          <w:sz w:val="20"/>
          <w:szCs w:val="20"/>
          <w:lang w:eastAsia="ja-JP"/>
        </w:rPr>
        <w:t xml:space="preserve">in this document, we seek to address </w:t>
      </w:r>
      <w:r>
        <w:rPr>
          <w:rFonts w:ascii="Times New Roman" w:hAnsi="Times New Roman"/>
          <w:sz w:val="20"/>
          <w:szCs w:val="20"/>
          <w:lang w:eastAsia="ja-JP"/>
        </w:rPr>
        <w:t xml:space="preserve">the overall connection management and RAN2’s involvement. Some other issues relevant to support of unicast and groupcast such </w:t>
      </w:r>
      <w:r w:rsidR="004E1DB9">
        <w:rPr>
          <w:rFonts w:ascii="Times New Roman" w:hAnsi="Times New Roman"/>
          <w:sz w:val="20"/>
          <w:szCs w:val="20"/>
          <w:lang w:eastAsia="ja-JP"/>
        </w:rPr>
        <w:t xml:space="preserve">as </w:t>
      </w:r>
      <w:r>
        <w:rPr>
          <w:rFonts w:ascii="Times New Roman" w:hAnsi="Times New Roman"/>
          <w:sz w:val="20"/>
          <w:szCs w:val="20"/>
          <w:lang w:eastAsia="ja-JP"/>
        </w:rPr>
        <w:t xml:space="preserve">RLC AM support are also discussed. Further details on connection establishment and management are discussed in our companion contribution </w:t>
      </w:r>
      <w:sdt>
        <w:sdtPr>
          <w:rPr>
            <w:rFonts w:ascii="Times New Roman" w:hAnsi="Times New Roman"/>
            <w:sz w:val="20"/>
            <w:szCs w:val="20"/>
            <w:lang w:eastAsia="ja-JP"/>
          </w:rPr>
          <w:id w:val="-188456102"/>
          <w:citation/>
        </w:sdtPr>
        <w:sdtEndPr/>
        <w:sdtContent>
          <w:r w:rsidR="00ED13F3">
            <w:rPr>
              <w:rFonts w:ascii="Times New Roman" w:hAnsi="Times New Roman"/>
              <w:sz w:val="20"/>
              <w:szCs w:val="20"/>
              <w:lang w:eastAsia="ja-JP"/>
            </w:rPr>
            <w:fldChar w:fldCharType="begin"/>
          </w:r>
          <w:r w:rsidR="0072723A">
            <w:rPr>
              <w:rFonts w:ascii="Times New Roman" w:hAnsi="Times New Roman"/>
              <w:sz w:val="20"/>
              <w:szCs w:val="20"/>
              <w:lang w:eastAsia="ja-JP"/>
            </w:rPr>
            <w:instrText xml:space="preserve">CITATION ConnMgmtDiscoverydetails \l 1033 </w:instrText>
          </w:r>
          <w:r w:rsidR="00ED13F3">
            <w:rPr>
              <w:rFonts w:ascii="Times New Roman" w:hAnsi="Times New Roman"/>
              <w:sz w:val="20"/>
              <w:szCs w:val="20"/>
              <w:lang w:eastAsia="ja-JP"/>
            </w:rPr>
            <w:fldChar w:fldCharType="separate"/>
          </w:r>
          <w:r w:rsidR="0072723A" w:rsidRPr="0072723A">
            <w:rPr>
              <w:rFonts w:ascii="Times New Roman" w:hAnsi="Times New Roman"/>
              <w:noProof/>
              <w:sz w:val="20"/>
              <w:szCs w:val="20"/>
              <w:lang w:eastAsia="ja-JP"/>
            </w:rPr>
            <w:t>[2]</w:t>
          </w:r>
          <w:r w:rsidR="00ED13F3">
            <w:rPr>
              <w:rFonts w:ascii="Times New Roman" w:hAnsi="Times New Roman"/>
              <w:sz w:val="20"/>
              <w:szCs w:val="20"/>
              <w:lang w:eastAsia="ja-JP"/>
            </w:rPr>
            <w:fldChar w:fldCharType="end"/>
          </w:r>
        </w:sdtContent>
      </w:sdt>
      <w:r w:rsidR="00BD67D0">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46D7B547" w:rsidR="00305CD5" w:rsidRPr="00305CD5" w:rsidRDefault="008032FE"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Connection/Session management </w:t>
      </w:r>
      <w:r w:rsidR="0097341E">
        <w:rPr>
          <w:rFonts w:ascii="Arial" w:eastAsia="MS Mincho" w:hAnsi="Arial" w:cs="Arial"/>
          <w:bCs/>
          <w:sz w:val="26"/>
          <w:szCs w:val="26"/>
          <w:lang w:val="en-GB" w:eastAsia="en-GB"/>
        </w:rPr>
        <w:t xml:space="preserve">support </w:t>
      </w:r>
      <w:r>
        <w:rPr>
          <w:rFonts w:ascii="Arial" w:eastAsia="MS Mincho" w:hAnsi="Arial" w:cs="Arial"/>
          <w:bCs/>
          <w:sz w:val="26"/>
          <w:szCs w:val="26"/>
          <w:lang w:val="en-GB" w:eastAsia="en-GB"/>
        </w:rPr>
        <w:t>over sidelink</w:t>
      </w:r>
    </w:p>
    <w:p w14:paraId="662EEC3F" w14:textId="77777777" w:rsidR="0049607B" w:rsidRDefault="0049607B" w:rsidP="00305CD5">
      <w:pPr>
        <w:rPr>
          <w:rFonts w:ascii="Times New Roman" w:hAnsi="Times New Roman"/>
          <w:sz w:val="20"/>
          <w:lang w:val="en-GB" w:eastAsia="zh-CN"/>
        </w:rPr>
      </w:pPr>
    </w:p>
    <w:p w14:paraId="5F01E1F4" w14:textId="4FDB3D71" w:rsidR="00BC0AA3" w:rsidRDefault="00BC0AA3" w:rsidP="00305CD5">
      <w:pPr>
        <w:rPr>
          <w:rFonts w:ascii="Times New Roman" w:hAnsi="Times New Roman"/>
          <w:sz w:val="20"/>
          <w:lang w:val="en-GB" w:eastAsia="zh-CN"/>
        </w:rPr>
      </w:pPr>
      <w:r>
        <w:rPr>
          <w:rFonts w:ascii="Times New Roman" w:hAnsi="Times New Roman"/>
          <w:sz w:val="20"/>
          <w:lang w:val="en-GB" w:eastAsia="zh-CN"/>
        </w:rPr>
        <w:t>The fundamental mode of operation over sidelink in LTE V2X was broadcast</w:t>
      </w:r>
      <w:r w:rsidR="00ED13F3">
        <w:rPr>
          <w:rFonts w:ascii="Times New Roman" w:hAnsi="Times New Roman"/>
          <w:sz w:val="20"/>
          <w:lang w:val="en-GB" w:eastAsia="zh-CN"/>
        </w:rPr>
        <w:t xml:space="preserve"> based</w:t>
      </w:r>
      <w:r>
        <w:rPr>
          <w:rFonts w:ascii="Times New Roman" w:hAnsi="Times New Roman"/>
          <w:sz w:val="20"/>
          <w:lang w:val="en-GB" w:eastAsia="zh-CN"/>
        </w:rPr>
        <w:t xml:space="preserve">. However, for NR use cases, it is envisioned that there is a need for supporting one-to-one and one-to-many communication modes. Indeed, one of the general </w:t>
      </w:r>
      <w:r w:rsidR="00D5233B">
        <w:rPr>
          <w:rFonts w:ascii="Times New Roman" w:hAnsi="Times New Roman"/>
          <w:sz w:val="20"/>
          <w:lang w:val="en-GB" w:eastAsia="zh-CN"/>
        </w:rPr>
        <w:t>requirements</w:t>
      </w:r>
      <w:r>
        <w:rPr>
          <w:rFonts w:ascii="Times New Roman" w:hAnsi="Times New Roman"/>
          <w:sz w:val="20"/>
          <w:lang w:val="en-GB" w:eastAsia="zh-CN"/>
        </w:rPr>
        <w:t xml:space="preserve"> listed in </w:t>
      </w:r>
      <w:sdt>
        <w:sdtPr>
          <w:rPr>
            <w:rFonts w:ascii="Times New Roman" w:hAnsi="Times New Roman"/>
            <w:sz w:val="20"/>
            <w:lang w:val="en-GB" w:eastAsia="zh-CN"/>
          </w:rPr>
          <w:id w:val="-1522477279"/>
          <w:citation/>
        </w:sdtPr>
        <w:sdtEndPr/>
        <w:sdtContent>
          <w:r w:rsidR="009158B7">
            <w:rPr>
              <w:rFonts w:ascii="Times New Roman" w:hAnsi="Times New Roman"/>
              <w:sz w:val="20"/>
              <w:lang w:val="en-GB" w:eastAsia="zh-CN"/>
            </w:rPr>
            <w:fldChar w:fldCharType="begin"/>
          </w:r>
          <w:r w:rsidR="009158B7">
            <w:rPr>
              <w:rFonts w:ascii="Times New Roman" w:hAnsi="Times New Roman"/>
              <w:sz w:val="20"/>
              <w:lang w:eastAsia="zh-CN"/>
            </w:rPr>
            <w:instrText xml:space="preserve"> CITATION 22186 \l 1033 </w:instrText>
          </w:r>
          <w:r w:rsidR="009158B7">
            <w:rPr>
              <w:rFonts w:ascii="Times New Roman" w:hAnsi="Times New Roman"/>
              <w:sz w:val="20"/>
              <w:lang w:val="en-GB" w:eastAsia="zh-CN"/>
            </w:rPr>
            <w:fldChar w:fldCharType="separate"/>
          </w:r>
          <w:r w:rsidR="003F1372" w:rsidRPr="003F1372">
            <w:rPr>
              <w:rFonts w:ascii="Times New Roman" w:hAnsi="Times New Roman"/>
              <w:noProof/>
              <w:sz w:val="20"/>
              <w:lang w:eastAsia="zh-CN"/>
            </w:rPr>
            <w:t>[3]</w:t>
          </w:r>
          <w:r w:rsidR="009158B7">
            <w:rPr>
              <w:rFonts w:ascii="Times New Roman" w:hAnsi="Times New Roman"/>
              <w:sz w:val="20"/>
              <w:lang w:val="en-GB" w:eastAsia="zh-CN"/>
            </w:rPr>
            <w:fldChar w:fldCharType="end"/>
          </w:r>
        </w:sdtContent>
      </w:sdt>
      <w:r>
        <w:rPr>
          <w:rFonts w:ascii="Times New Roman" w:hAnsi="Times New Roman"/>
          <w:sz w:val="20"/>
          <w:lang w:val="en-GB" w:eastAsia="zh-CN"/>
        </w:rPr>
        <w:t xml:space="preserve"> is to allow communication between </w:t>
      </w:r>
      <w:r w:rsidR="00D5233B">
        <w:rPr>
          <w:rFonts w:ascii="Times New Roman" w:hAnsi="Times New Roman"/>
          <w:sz w:val="20"/>
          <w:lang w:val="en-GB" w:eastAsia="zh-CN"/>
        </w:rPr>
        <w:t>two or</w:t>
      </w:r>
      <w:r>
        <w:rPr>
          <w:rFonts w:ascii="Times New Roman" w:hAnsi="Times New Roman"/>
          <w:sz w:val="20"/>
          <w:lang w:val="en-GB" w:eastAsia="zh-CN"/>
        </w:rPr>
        <w:t xml:space="preserve"> more UEs belonging to the same group of UEs supporting V2X communications [R.5.1-004,005]. Similarly, for vehicle platooning case, it seems evident that a unicast/groupcast based communication mechanism is quite applicable and can </w:t>
      </w:r>
      <w:r w:rsidR="00D5233B">
        <w:rPr>
          <w:rFonts w:ascii="Times New Roman" w:hAnsi="Times New Roman"/>
          <w:sz w:val="20"/>
          <w:lang w:val="en-GB" w:eastAsia="zh-CN"/>
        </w:rPr>
        <w:t>in fact</w:t>
      </w:r>
      <w:r>
        <w:rPr>
          <w:rFonts w:ascii="Times New Roman" w:hAnsi="Times New Roman"/>
          <w:sz w:val="20"/>
          <w:lang w:val="en-GB" w:eastAsia="zh-CN"/>
        </w:rPr>
        <w:t xml:space="preserve"> operate at much higher efficiency and reliability compared to </w:t>
      </w:r>
      <w:r w:rsidR="00D5233B">
        <w:rPr>
          <w:rFonts w:ascii="Times New Roman" w:hAnsi="Times New Roman"/>
          <w:sz w:val="20"/>
          <w:lang w:val="en-GB" w:eastAsia="zh-CN"/>
        </w:rPr>
        <w:t xml:space="preserve">reliance on purely </w:t>
      </w:r>
      <w:r>
        <w:rPr>
          <w:rFonts w:ascii="Times New Roman" w:hAnsi="Times New Roman"/>
          <w:sz w:val="20"/>
          <w:lang w:val="en-GB" w:eastAsia="zh-CN"/>
        </w:rPr>
        <w:t xml:space="preserve">broadcast transmission. So, the need for support of unicast and groupcast transmission over sidelink, at least for certain use cases, certainly seems warranted. </w:t>
      </w:r>
    </w:p>
    <w:p w14:paraId="3C905297" w14:textId="5CF4254D" w:rsidR="00991763" w:rsidRPr="00991763" w:rsidRDefault="00991763" w:rsidP="00991763">
      <w:pPr>
        <w:ind w:left="1170" w:hanging="1170"/>
        <w:rPr>
          <w:rFonts w:ascii="Times New Roman" w:eastAsia="Times New Roman" w:hAnsi="Times New Roman"/>
          <w:bCs/>
          <w:i/>
          <w:iCs/>
          <w:sz w:val="20"/>
          <w:szCs w:val="20"/>
          <w:lang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sidR="009158B7">
        <w:rPr>
          <w:rFonts w:ascii="Times New Roman" w:eastAsia="Times New Roman" w:hAnsi="Times New Roman"/>
          <w:bCs/>
          <w:i/>
          <w:iCs/>
          <w:sz w:val="20"/>
          <w:szCs w:val="20"/>
          <w:lang w:eastAsia="zh-CN"/>
        </w:rPr>
        <w:t>The</w:t>
      </w:r>
      <w:r w:rsidRPr="00991763">
        <w:rPr>
          <w:rFonts w:ascii="Times New Roman" w:eastAsia="Times New Roman" w:hAnsi="Times New Roman"/>
          <w:bCs/>
          <w:i/>
          <w:iCs/>
          <w:sz w:val="20"/>
          <w:szCs w:val="20"/>
          <w:lang w:eastAsia="zh-CN"/>
        </w:rPr>
        <w:t xml:space="preserve"> </w:t>
      </w:r>
      <w:r w:rsidR="009158B7">
        <w:rPr>
          <w:rFonts w:ascii="Times New Roman" w:eastAsia="Times New Roman" w:hAnsi="Times New Roman"/>
          <w:bCs/>
          <w:i/>
          <w:iCs/>
          <w:sz w:val="20"/>
          <w:szCs w:val="20"/>
          <w:lang w:eastAsia="zh-CN"/>
        </w:rPr>
        <w:t xml:space="preserve">need to </w:t>
      </w:r>
      <w:r w:rsidR="00BC43D3">
        <w:rPr>
          <w:rFonts w:ascii="Times New Roman" w:eastAsia="Times New Roman" w:hAnsi="Times New Roman"/>
          <w:bCs/>
          <w:i/>
          <w:iCs/>
          <w:sz w:val="20"/>
          <w:szCs w:val="20"/>
          <w:lang w:eastAsia="zh-CN"/>
        </w:rPr>
        <w:t>support</w:t>
      </w:r>
      <w:r w:rsidRPr="00991763">
        <w:rPr>
          <w:rFonts w:ascii="Times New Roman" w:eastAsia="Times New Roman" w:hAnsi="Times New Roman"/>
          <w:bCs/>
          <w:i/>
          <w:iCs/>
          <w:sz w:val="20"/>
          <w:szCs w:val="20"/>
          <w:lang w:eastAsia="zh-CN"/>
        </w:rPr>
        <w:t xml:space="preserve"> unicast and groupcast </w:t>
      </w:r>
      <w:r w:rsidR="00AE026E">
        <w:rPr>
          <w:rFonts w:ascii="Times New Roman" w:eastAsia="Times New Roman" w:hAnsi="Times New Roman"/>
          <w:bCs/>
          <w:i/>
          <w:iCs/>
          <w:sz w:val="20"/>
          <w:szCs w:val="20"/>
          <w:lang w:eastAsia="zh-CN"/>
        </w:rPr>
        <w:t xml:space="preserve">communication </w:t>
      </w:r>
      <w:r w:rsidRPr="00991763">
        <w:rPr>
          <w:rFonts w:ascii="Times New Roman" w:eastAsia="Times New Roman" w:hAnsi="Times New Roman"/>
          <w:bCs/>
          <w:i/>
          <w:iCs/>
          <w:sz w:val="20"/>
          <w:szCs w:val="20"/>
          <w:lang w:eastAsia="zh-CN"/>
        </w:rPr>
        <w:t xml:space="preserve">over </w:t>
      </w:r>
      <w:r w:rsidR="00AE026E">
        <w:rPr>
          <w:rFonts w:ascii="Times New Roman" w:eastAsia="Times New Roman" w:hAnsi="Times New Roman"/>
          <w:bCs/>
          <w:i/>
          <w:iCs/>
          <w:sz w:val="20"/>
          <w:szCs w:val="20"/>
          <w:lang w:eastAsia="zh-CN"/>
        </w:rPr>
        <w:t xml:space="preserve">NR </w:t>
      </w:r>
      <w:r w:rsidRPr="00991763">
        <w:rPr>
          <w:rFonts w:ascii="Times New Roman" w:eastAsia="Times New Roman" w:hAnsi="Times New Roman"/>
          <w:bCs/>
          <w:i/>
          <w:iCs/>
          <w:sz w:val="20"/>
          <w:szCs w:val="20"/>
          <w:lang w:eastAsia="zh-CN"/>
        </w:rPr>
        <w:t>sidelink</w:t>
      </w:r>
      <w:r w:rsidR="00AE026E">
        <w:rPr>
          <w:rFonts w:ascii="Times New Roman" w:eastAsia="Times New Roman" w:hAnsi="Times New Roman"/>
          <w:bCs/>
          <w:i/>
          <w:iCs/>
          <w:sz w:val="20"/>
          <w:szCs w:val="20"/>
          <w:lang w:eastAsia="zh-CN"/>
        </w:rPr>
        <w:t xml:space="preserve"> for advanced use cases is undeniable.</w:t>
      </w:r>
    </w:p>
    <w:p w14:paraId="12CAF8E6" w14:textId="644EC3D9" w:rsidR="00C44346" w:rsidRDefault="00BC0AA3" w:rsidP="00305CD5">
      <w:pPr>
        <w:rPr>
          <w:rFonts w:ascii="Times New Roman" w:hAnsi="Times New Roman"/>
          <w:sz w:val="20"/>
          <w:lang w:val="en-GB" w:eastAsia="zh-CN"/>
        </w:rPr>
      </w:pPr>
      <w:r>
        <w:rPr>
          <w:rFonts w:ascii="Times New Roman" w:hAnsi="Times New Roman"/>
          <w:sz w:val="20"/>
          <w:lang w:val="en-GB" w:eastAsia="zh-CN"/>
        </w:rPr>
        <w:t xml:space="preserve">When moving from a connection-less to a connection-oriented communication format, </w:t>
      </w:r>
      <w:r w:rsidR="00991763">
        <w:rPr>
          <w:rFonts w:ascii="Times New Roman" w:hAnsi="Times New Roman"/>
          <w:sz w:val="20"/>
          <w:lang w:val="en-GB" w:eastAsia="zh-CN"/>
        </w:rPr>
        <w:t>some</w:t>
      </w:r>
      <w:r>
        <w:rPr>
          <w:rFonts w:ascii="Times New Roman" w:hAnsi="Times New Roman"/>
          <w:sz w:val="20"/>
          <w:lang w:val="en-GB" w:eastAsia="zh-CN"/>
        </w:rPr>
        <w:t xml:space="preserve"> </w:t>
      </w:r>
      <w:r w:rsidR="00991763">
        <w:rPr>
          <w:rFonts w:ascii="Times New Roman" w:hAnsi="Times New Roman"/>
          <w:sz w:val="20"/>
          <w:lang w:val="en-GB" w:eastAsia="zh-CN"/>
        </w:rPr>
        <w:t>factors</w:t>
      </w:r>
      <w:r>
        <w:rPr>
          <w:rFonts w:ascii="Times New Roman" w:hAnsi="Times New Roman"/>
          <w:sz w:val="20"/>
          <w:lang w:val="en-GB" w:eastAsia="zh-CN"/>
        </w:rPr>
        <w:t xml:space="preserve"> need to be considered. The foremost is the </w:t>
      </w:r>
      <w:r w:rsidR="00BC43D3">
        <w:rPr>
          <w:rFonts w:ascii="Times New Roman" w:hAnsi="Times New Roman"/>
          <w:sz w:val="20"/>
          <w:lang w:val="en-GB" w:eastAsia="zh-CN"/>
        </w:rPr>
        <w:t>need</w:t>
      </w:r>
      <w:r>
        <w:rPr>
          <w:rFonts w:ascii="Times New Roman" w:hAnsi="Times New Roman"/>
          <w:sz w:val="20"/>
          <w:lang w:val="en-GB" w:eastAsia="zh-CN"/>
        </w:rPr>
        <w:t xml:space="preserve"> of </w:t>
      </w:r>
      <w:r w:rsidR="00BC43D3">
        <w:rPr>
          <w:rFonts w:ascii="Times New Roman" w:hAnsi="Times New Roman"/>
          <w:sz w:val="20"/>
          <w:lang w:val="en-GB" w:eastAsia="zh-CN"/>
        </w:rPr>
        <w:t xml:space="preserve">a </w:t>
      </w:r>
      <w:r>
        <w:rPr>
          <w:rFonts w:ascii="Times New Roman" w:hAnsi="Times New Roman"/>
          <w:sz w:val="20"/>
          <w:lang w:val="en-GB" w:eastAsia="zh-CN"/>
        </w:rPr>
        <w:t>connection</w:t>
      </w:r>
      <w:r w:rsidR="00C44346">
        <w:rPr>
          <w:rFonts w:ascii="Times New Roman" w:hAnsi="Times New Roman"/>
          <w:sz w:val="20"/>
          <w:lang w:val="en-GB" w:eastAsia="zh-CN"/>
        </w:rPr>
        <w:t xml:space="preserve">/session </w:t>
      </w:r>
      <w:r>
        <w:rPr>
          <w:rFonts w:ascii="Times New Roman" w:hAnsi="Times New Roman"/>
          <w:sz w:val="20"/>
          <w:lang w:val="en-GB" w:eastAsia="zh-CN"/>
        </w:rPr>
        <w:t>management</w:t>
      </w:r>
      <w:r w:rsidR="00BC43D3">
        <w:rPr>
          <w:rFonts w:ascii="Times New Roman" w:hAnsi="Times New Roman"/>
          <w:sz w:val="20"/>
          <w:lang w:val="en-GB" w:eastAsia="zh-CN"/>
        </w:rPr>
        <w:t xml:space="preserve"> protocol</w:t>
      </w:r>
      <w:r w:rsidR="00C44346">
        <w:rPr>
          <w:rFonts w:ascii="Times New Roman" w:hAnsi="Times New Roman"/>
          <w:sz w:val="20"/>
          <w:lang w:val="en-GB" w:eastAsia="zh-CN"/>
        </w:rPr>
        <w:t xml:space="preserve">, which is responsible for </w:t>
      </w:r>
      <w:r w:rsidR="00BC43D3">
        <w:rPr>
          <w:rFonts w:ascii="Times New Roman" w:hAnsi="Times New Roman"/>
          <w:sz w:val="20"/>
          <w:lang w:val="en-GB" w:eastAsia="zh-CN"/>
        </w:rPr>
        <w:t>setting up and maintenance of secure link(s) and related procedures. T</w:t>
      </w:r>
      <w:r w:rsidR="00C44346">
        <w:rPr>
          <w:rFonts w:ascii="Times New Roman" w:hAnsi="Times New Roman"/>
          <w:sz w:val="20"/>
          <w:lang w:val="en-GB" w:eastAsia="zh-CN"/>
        </w:rPr>
        <w:t>he following general functionality</w:t>
      </w:r>
      <w:r w:rsidR="00BC43D3">
        <w:rPr>
          <w:rFonts w:ascii="Times New Roman" w:hAnsi="Times New Roman"/>
          <w:sz w:val="20"/>
          <w:lang w:val="en-GB" w:eastAsia="zh-CN"/>
        </w:rPr>
        <w:t xml:space="preserve"> is expected of such a connection management protocol</w:t>
      </w:r>
      <w:r w:rsidR="00C44346">
        <w:rPr>
          <w:rFonts w:ascii="Times New Roman" w:hAnsi="Times New Roman"/>
          <w:sz w:val="20"/>
          <w:lang w:val="en-GB" w:eastAsia="zh-CN"/>
        </w:rPr>
        <w:t>:</w:t>
      </w:r>
    </w:p>
    <w:p w14:paraId="39D7FB36" w14:textId="12A7CAD1" w:rsidR="00C44346" w:rsidRPr="00C44346" w:rsidRDefault="00C44346" w:rsidP="00C44346">
      <w:pPr>
        <w:pStyle w:val="N1"/>
        <w:numPr>
          <w:ilvl w:val="0"/>
          <w:numId w:val="31"/>
        </w:numPr>
        <w:overflowPunct w:val="0"/>
        <w:autoSpaceDE w:val="0"/>
        <w:autoSpaceDN w:val="0"/>
        <w:adjustRightInd w:val="0"/>
        <w:rPr>
          <w:rFonts w:ascii="Times New Roman" w:hAnsi="Times New Roman" w:cs="Times New Roman"/>
          <w:sz w:val="20"/>
        </w:rPr>
      </w:pPr>
      <w:r w:rsidRPr="00C44346">
        <w:rPr>
          <w:rFonts w:ascii="Times New Roman" w:hAnsi="Times New Roman" w:cs="Times New Roman"/>
          <w:sz w:val="20"/>
        </w:rPr>
        <w:t xml:space="preserve">Announcement of support for unicast/groupcast communication </w:t>
      </w:r>
      <w:r>
        <w:rPr>
          <w:rFonts w:ascii="Times New Roman" w:hAnsi="Times New Roman" w:cs="Times New Roman"/>
          <w:sz w:val="20"/>
        </w:rPr>
        <w:t>for a given V2X service</w:t>
      </w:r>
    </w:p>
    <w:p w14:paraId="2DCD2A20" w14:textId="12CB97BE" w:rsidR="00C44346" w:rsidRPr="00C44346" w:rsidRDefault="00C44346" w:rsidP="00C44346">
      <w:pPr>
        <w:pStyle w:val="N1"/>
        <w:numPr>
          <w:ilvl w:val="0"/>
          <w:numId w:val="31"/>
        </w:numPr>
        <w:overflowPunct w:val="0"/>
        <w:autoSpaceDE w:val="0"/>
        <w:autoSpaceDN w:val="0"/>
        <w:adjustRightInd w:val="0"/>
        <w:rPr>
          <w:rFonts w:ascii="Times New Roman" w:hAnsi="Times New Roman" w:cs="Times New Roman"/>
          <w:sz w:val="20"/>
        </w:rPr>
      </w:pPr>
      <w:r w:rsidRPr="00C44346">
        <w:rPr>
          <w:rFonts w:ascii="Times New Roman" w:hAnsi="Times New Roman" w:cs="Times New Roman"/>
          <w:sz w:val="20"/>
        </w:rPr>
        <w:t xml:space="preserve">Connection establishment </w:t>
      </w:r>
      <w:r>
        <w:rPr>
          <w:rFonts w:ascii="Times New Roman" w:hAnsi="Times New Roman" w:cs="Times New Roman"/>
          <w:sz w:val="20"/>
        </w:rPr>
        <w:t xml:space="preserve">initiation </w:t>
      </w:r>
      <w:r w:rsidRPr="00C44346">
        <w:rPr>
          <w:rFonts w:ascii="Times New Roman" w:hAnsi="Times New Roman" w:cs="Times New Roman"/>
          <w:sz w:val="20"/>
        </w:rPr>
        <w:t>for s</w:t>
      </w:r>
      <w:r>
        <w:rPr>
          <w:rFonts w:ascii="Times New Roman" w:hAnsi="Times New Roman" w:cs="Times New Roman"/>
          <w:sz w:val="20"/>
        </w:rPr>
        <w:t>ecure link establishment and related signaling</w:t>
      </w:r>
    </w:p>
    <w:p w14:paraId="4E9FC5A2" w14:textId="6C44D15F" w:rsidR="00C44346" w:rsidRPr="00C44346" w:rsidRDefault="00C44346" w:rsidP="00C44346">
      <w:pPr>
        <w:pStyle w:val="N1"/>
        <w:numPr>
          <w:ilvl w:val="0"/>
          <w:numId w:val="31"/>
        </w:numPr>
        <w:overflowPunct w:val="0"/>
        <w:autoSpaceDE w:val="0"/>
        <w:autoSpaceDN w:val="0"/>
        <w:adjustRightInd w:val="0"/>
        <w:rPr>
          <w:rFonts w:ascii="Times New Roman" w:hAnsi="Times New Roman" w:cs="Times New Roman"/>
          <w:sz w:val="20"/>
        </w:rPr>
      </w:pPr>
      <w:r>
        <w:rPr>
          <w:rFonts w:ascii="Times New Roman" w:hAnsi="Times New Roman" w:cs="Times New Roman"/>
          <w:sz w:val="20"/>
        </w:rPr>
        <w:lastRenderedPageBreak/>
        <w:t>Setting up</w:t>
      </w:r>
      <w:r w:rsidRPr="00C44346">
        <w:rPr>
          <w:rFonts w:ascii="Times New Roman" w:hAnsi="Times New Roman" w:cs="Times New Roman"/>
          <w:sz w:val="20"/>
        </w:rPr>
        <w:t xml:space="preserve"> </w:t>
      </w:r>
      <w:r>
        <w:rPr>
          <w:rFonts w:ascii="Times New Roman" w:hAnsi="Times New Roman" w:cs="Times New Roman"/>
          <w:sz w:val="20"/>
        </w:rPr>
        <w:t>“</w:t>
      </w:r>
      <w:r w:rsidRPr="00C44346">
        <w:rPr>
          <w:rFonts w:ascii="Times New Roman" w:hAnsi="Times New Roman" w:cs="Times New Roman"/>
          <w:sz w:val="20"/>
        </w:rPr>
        <w:t>rules</w:t>
      </w:r>
      <w:r>
        <w:rPr>
          <w:rFonts w:ascii="Times New Roman" w:hAnsi="Times New Roman" w:cs="Times New Roman"/>
          <w:sz w:val="20"/>
        </w:rPr>
        <w:t>”</w:t>
      </w:r>
      <w:r w:rsidRPr="00C44346">
        <w:rPr>
          <w:rFonts w:ascii="Times New Roman" w:hAnsi="Times New Roman" w:cs="Times New Roman"/>
          <w:sz w:val="20"/>
        </w:rPr>
        <w:t xml:space="preserve"> for communication (</w:t>
      </w:r>
      <w:r>
        <w:rPr>
          <w:rFonts w:ascii="Times New Roman" w:hAnsi="Times New Roman" w:cs="Times New Roman"/>
          <w:sz w:val="20"/>
        </w:rPr>
        <w:t>for instance expected QoS for data transfer over this link</w:t>
      </w:r>
      <w:r w:rsidRPr="00C44346">
        <w:rPr>
          <w:rFonts w:ascii="Times New Roman" w:hAnsi="Times New Roman" w:cs="Times New Roman"/>
          <w:sz w:val="20"/>
        </w:rPr>
        <w:t>)</w:t>
      </w:r>
    </w:p>
    <w:p w14:paraId="626DB00A" w14:textId="1F8D6AC0" w:rsidR="00C44346" w:rsidRPr="00C44346" w:rsidRDefault="00C44346" w:rsidP="00C44346">
      <w:pPr>
        <w:pStyle w:val="N1"/>
        <w:numPr>
          <w:ilvl w:val="0"/>
          <w:numId w:val="31"/>
        </w:numPr>
        <w:overflowPunct w:val="0"/>
        <w:autoSpaceDE w:val="0"/>
        <w:autoSpaceDN w:val="0"/>
        <w:adjustRightInd w:val="0"/>
        <w:rPr>
          <w:rFonts w:ascii="Times New Roman" w:hAnsi="Times New Roman" w:cs="Times New Roman"/>
          <w:sz w:val="20"/>
        </w:rPr>
      </w:pPr>
      <w:r>
        <w:rPr>
          <w:rFonts w:ascii="Times New Roman" w:hAnsi="Times New Roman" w:cs="Times New Roman"/>
          <w:sz w:val="20"/>
        </w:rPr>
        <w:t>Actual d</w:t>
      </w:r>
      <w:r w:rsidRPr="00C44346">
        <w:rPr>
          <w:rFonts w:ascii="Times New Roman" w:hAnsi="Times New Roman" w:cs="Times New Roman"/>
          <w:sz w:val="20"/>
        </w:rPr>
        <w:t>ata transfer for the related V2X service(s)</w:t>
      </w:r>
    </w:p>
    <w:p w14:paraId="250767D2" w14:textId="445528FF" w:rsidR="00C44346" w:rsidRPr="00C44346" w:rsidRDefault="00C44346" w:rsidP="00C44346">
      <w:pPr>
        <w:pStyle w:val="N1"/>
        <w:numPr>
          <w:ilvl w:val="0"/>
          <w:numId w:val="31"/>
        </w:numPr>
        <w:overflowPunct w:val="0"/>
        <w:autoSpaceDE w:val="0"/>
        <w:autoSpaceDN w:val="0"/>
        <w:adjustRightInd w:val="0"/>
        <w:rPr>
          <w:rFonts w:ascii="Times New Roman" w:hAnsi="Times New Roman" w:cs="Times New Roman"/>
          <w:sz w:val="20"/>
        </w:rPr>
      </w:pPr>
      <w:r>
        <w:rPr>
          <w:rFonts w:ascii="Times New Roman" w:hAnsi="Times New Roman" w:cs="Times New Roman"/>
          <w:sz w:val="20"/>
        </w:rPr>
        <w:t>Keep alive and</w:t>
      </w:r>
      <w:r w:rsidRPr="00C44346">
        <w:rPr>
          <w:rFonts w:ascii="Times New Roman" w:hAnsi="Times New Roman" w:cs="Times New Roman"/>
          <w:sz w:val="20"/>
        </w:rPr>
        <w:t xml:space="preserve"> connection modification signaling </w:t>
      </w:r>
    </w:p>
    <w:p w14:paraId="2826A441" w14:textId="4759AACE" w:rsidR="00C44346" w:rsidRPr="00C44346" w:rsidRDefault="00C44346" w:rsidP="00C44346">
      <w:pPr>
        <w:pStyle w:val="N1"/>
        <w:numPr>
          <w:ilvl w:val="0"/>
          <w:numId w:val="31"/>
        </w:numPr>
        <w:overflowPunct w:val="0"/>
        <w:autoSpaceDE w:val="0"/>
        <w:autoSpaceDN w:val="0"/>
        <w:adjustRightInd w:val="0"/>
        <w:rPr>
          <w:rFonts w:ascii="Times New Roman" w:hAnsi="Times New Roman" w:cs="Times New Roman"/>
          <w:sz w:val="20"/>
        </w:rPr>
      </w:pPr>
      <w:r>
        <w:rPr>
          <w:rFonts w:ascii="Times New Roman" w:hAnsi="Times New Roman" w:cs="Times New Roman"/>
          <w:sz w:val="20"/>
        </w:rPr>
        <w:t>Connection Tear down/termination</w:t>
      </w:r>
      <w:r w:rsidRPr="00C44346">
        <w:rPr>
          <w:rFonts w:ascii="Times New Roman" w:hAnsi="Times New Roman" w:cs="Times New Roman"/>
          <w:sz w:val="20"/>
        </w:rPr>
        <w:t xml:space="preserve"> once the connection is no longer needed</w:t>
      </w:r>
    </w:p>
    <w:p w14:paraId="5741B1C8" w14:textId="77777777" w:rsidR="00C44346" w:rsidRDefault="00C44346" w:rsidP="00305CD5">
      <w:pPr>
        <w:rPr>
          <w:rFonts w:ascii="Times New Roman" w:hAnsi="Times New Roman"/>
          <w:sz w:val="20"/>
          <w:lang w:val="en-GB" w:eastAsia="zh-CN"/>
        </w:rPr>
      </w:pPr>
    </w:p>
    <w:p w14:paraId="65381FD3" w14:textId="5BE5DD22" w:rsidR="00C44346" w:rsidRDefault="00C44346" w:rsidP="00305CD5">
      <w:pPr>
        <w:rPr>
          <w:rFonts w:ascii="Times New Roman" w:hAnsi="Times New Roman"/>
          <w:sz w:val="20"/>
          <w:lang w:val="en-GB" w:eastAsia="zh-CN"/>
        </w:rPr>
      </w:pPr>
      <w:r>
        <w:rPr>
          <w:rFonts w:ascii="Times New Roman" w:hAnsi="Times New Roman"/>
          <w:sz w:val="20"/>
          <w:lang w:val="en-GB" w:eastAsia="zh-CN"/>
        </w:rPr>
        <w:t xml:space="preserve">In this regard, it should be noted that SA2 is spearheading this discussion in their proceedings and have seemingly narrowed the discussion down to considering two distinct options for </w:t>
      </w:r>
      <w:r w:rsidR="00130935">
        <w:rPr>
          <w:rFonts w:ascii="Times New Roman" w:hAnsi="Times New Roman"/>
          <w:sz w:val="20"/>
          <w:lang w:val="en-GB" w:eastAsia="zh-CN"/>
        </w:rPr>
        <w:t xml:space="preserve">the </w:t>
      </w:r>
      <w:r>
        <w:rPr>
          <w:rFonts w:ascii="Times New Roman" w:hAnsi="Times New Roman"/>
          <w:sz w:val="20"/>
          <w:lang w:val="en-GB" w:eastAsia="zh-CN"/>
        </w:rPr>
        <w:t>s</w:t>
      </w:r>
      <w:r w:rsidR="00C61653">
        <w:rPr>
          <w:rFonts w:ascii="Times New Roman" w:hAnsi="Times New Roman"/>
          <w:sz w:val="20"/>
          <w:lang w:val="en-GB" w:eastAsia="zh-CN"/>
        </w:rPr>
        <w:t>ignaling protocol to support this</w:t>
      </w:r>
      <w:r>
        <w:rPr>
          <w:rFonts w:ascii="Times New Roman" w:hAnsi="Times New Roman"/>
          <w:sz w:val="20"/>
          <w:lang w:val="en-GB" w:eastAsia="zh-CN"/>
        </w:rPr>
        <w:t xml:space="preserve"> unicast/groupcast connection management aspect</w:t>
      </w:r>
      <w:r w:rsidR="003F1372">
        <w:rPr>
          <w:rFonts w:ascii="Times New Roman" w:hAnsi="Times New Roman"/>
          <w:sz w:val="20"/>
          <w:lang w:val="en-GB" w:eastAsia="zh-CN"/>
        </w:rPr>
        <w:t xml:space="preserve"> </w:t>
      </w:r>
      <w:sdt>
        <w:sdtPr>
          <w:rPr>
            <w:rFonts w:ascii="Times New Roman" w:hAnsi="Times New Roman"/>
            <w:sz w:val="20"/>
            <w:lang w:val="en-GB" w:eastAsia="zh-CN"/>
          </w:rPr>
          <w:id w:val="-1339917633"/>
          <w:citation/>
        </w:sdtPr>
        <w:sdtEndPr/>
        <w:sdtContent>
          <w:r w:rsidR="003F1372">
            <w:rPr>
              <w:rFonts w:ascii="Times New Roman" w:hAnsi="Times New Roman"/>
              <w:sz w:val="20"/>
              <w:lang w:val="en-GB" w:eastAsia="zh-CN"/>
            </w:rPr>
            <w:fldChar w:fldCharType="begin"/>
          </w:r>
          <w:r w:rsidR="003F1372">
            <w:rPr>
              <w:rFonts w:ascii="Times New Roman" w:hAnsi="Times New Roman"/>
              <w:sz w:val="20"/>
              <w:lang w:eastAsia="zh-CN"/>
            </w:rPr>
            <w:instrText xml:space="preserve"> CITATION 23786 \l 1033 </w:instrText>
          </w:r>
          <w:r w:rsidR="003F1372">
            <w:rPr>
              <w:rFonts w:ascii="Times New Roman" w:hAnsi="Times New Roman"/>
              <w:sz w:val="20"/>
              <w:lang w:val="en-GB" w:eastAsia="zh-CN"/>
            </w:rPr>
            <w:fldChar w:fldCharType="separate"/>
          </w:r>
          <w:r w:rsidR="003F1372" w:rsidRPr="003F1372">
            <w:rPr>
              <w:rFonts w:ascii="Times New Roman" w:hAnsi="Times New Roman"/>
              <w:noProof/>
              <w:sz w:val="20"/>
              <w:lang w:eastAsia="zh-CN"/>
            </w:rPr>
            <w:t>[4]</w:t>
          </w:r>
          <w:r w:rsidR="003F1372">
            <w:rPr>
              <w:rFonts w:ascii="Times New Roman" w:hAnsi="Times New Roman"/>
              <w:sz w:val="20"/>
              <w:lang w:val="en-GB" w:eastAsia="zh-CN"/>
            </w:rPr>
            <w:fldChar w:fldCharType="end"/>
          </w:r>
        </w:sdtContent>
      </w:sdt>
      <w:r>
        <w:rPr>
          <w:rFonts w:ascii="Times New Roman" w:hAnsi="Times New Roman"/>
          <w:sz w:val="20"/>
          <w:lang w:val="en-GB" w:eastAsia="zh-CN"/>
        </w:rPr>
        <w:t xml:space="preserve">: </w:t>
      </w:r>
    </w:p>
    <w:p w14:paraId="467E4339" w14:textId="51D01876" w:rsidR="00C44346" w:rsidRDefault="00C44346" w:rsidP="00C44346">
      <w:pPr>
        <w:pStyle w:val="ListParagraph"/>
        <w:numPr>
          <w:ilvl w:val="0"/>
          <w:numId w:val="32"/>
        </w:numPr>
        <w:rPr>
          <w:rFonts w:ascii="Times New Roman" w:hAnsi="Times New Roman"/>
          <w:sz w:val="20"/>
          <w:lang w:val="en-GB" w:eastAsia="zh-CN"/>
        </w:rPr>
      </w:pPr>
      <w:r>
        <w:rPr>
          <w:rFonts w:ascii="Times New Roman" w:hAnsi="Times New Roman"/>
          <w:sz w:val="20"/>
          <w:lang w:val="en-GB" w:eastAsia="zh-CN"/>
        </w:rPr>
        <w:t xml:space="preserve">Reusing and extending the ProSe </w:t>
      </w:r>
      <w:r w:rsidR="00130935">
        <w:rPr>
          <w:rFonts w:ascii="Times New Roman" w:hAnsi="Times New Roman"/>
          <w:sz w:val="20"/>
          <w:lang w:val="en-GB" w:eastAsia="zh-CN"/>
        </w:rPr>
        <w:t xml:space="preserve">one-to-one communication </w:t>
      </w:r>
      <w:r w:rsidR="000B5647">
        <w:rPr>
          <w:rFonts w:ascii="Times New Roman" w:hAnsi="Times New Roman"/>
          <w:sz w:val="20"/>
          <w:lang w:val="en-GB" w:eastAsia="zh-CN"/>
        </w:rPr>
        <w:t>methodology</w:t>
      </w:r>
      <w:r w:rsidR="00130935">
        <w:rPr>
          <w:rFonts w:ascii="Times New Roman" w:hAnsi="Times New Roman"/>
          <w:sz w:val="20"/>
          <w:lang w:val="en-GB" w:eastAsia="zh-CN"/>
        </w:rPr>
        <w:t xml:space="preserve">, whereby the PC5 signaling protocol </w:t>
      </w:r>
      <w:r w:rsidR="008B0C07">
        <w:rPr>
          <w:rFonts w:ascii="Times New Roman" w:hAnsi="Times New Roman"/>
          <w:sz w:val="20"/>
          <w:lang w:val="en-GB" w:eastAsia="zh-CN"/>
        </w:rPr>
        <w:t xml:space="preserve">defined in </w:t>
      </w:r>
      <w:sdt>
        <w:sdtPr>
          <w:rPr>
            <w:rFonts w:ascii="Times New Roman" w:hAnsi="Times New Roman"/>
            <w:sz w:val="20"/>
            <w:lang w:val="en-GB" w:eastAsia="zh-CN"/>
          </w:rPr>
          <w:id w:val="-834379806"/>
          <w:citation/>
        </w:sdtPr>
        <w:sdtEndPr/>
        <w:sdtContent>
          <w:r w:rsidR="009237FA">
            <w:rPr>
              <w:rFonts w:ascii="Times New Roman" w:hAnsi="Times New Roman"/>
              <w:sz w:val="20"/>
              <w:lang w:val="en-GB" w:eastAsia="zh-CN"/>
            </w:rPr>
            <w:fldChar w:fldCharType="begin"/>
          </w:r>
          <w:r w:rsidR="009237FA">
            <w:rPr>
              <w:rFonts w:ascii="Times New Roman" w:hAnsi="Times New Roman"/>
              <w:sz w:val="20"/>
              <w:lang w:eastAsia="zh-CN"/>
            </w:rPr>
            <w:instrText xml:space="preserve"> CITATION 23303 \l 1033 </w:instrText>
          </w:r>
          <w:r w:rsidR="009237FA">
            <w:rPr>
              <w:rFonts w:ascii="Times New Roman" w:hAnsi="Times New Roman"/>
              <w:sz w:val="20"/>
              <w:lang w:val="en-GB" w:eastAsia="zh-CN"/>
            </w:rPr>
            <w:fldChar w:fldCharType="separate"/>
          </w:r>
          <w:r w:rsidR="003F1372" w:rsidRPr="003F1372">
            <w:rPr>
              <w:rFonts w:ascii="Times New Roman" w:hAnsi="Times New Roman"/>
              <w:noProof/>
              <w:sz w:val="20"/>
              <w:lang w:eastAsia="zh-CN"/>
            </w:rPr>
            <w:t>[5]</w:t>
          </w:r>
          <w:r w:rsidR="009237FA">
            <w:rPr>
              <w:rFonts w:ascii="Times New Roman" w:hAnsi="Times New Roman"/>
              <w:sz w:val="20"/>
              <w:lang w:val="en-GB" w:eastAsia="zh-CN"/>
            </w:rPr>
            <w:fldChar w:fldCharType="end"/>
          </w:r>
        </w:sdtContent>
      </w:sdt>
      <w:r w:rsidR="008B0C07">
        <w:rPr>
          <w:rFonts w:ascii="Times New Roman" w:hAnsi="Times New Roman"/>
          <w:sz w:val="20"/>
          <w:lang w:val="en-GB" w:eastAsia="zh-CN"/>
        </w:rPr>
        <w:t xml:space="preserve"> </w:t>
      </w:r>
      <w:r w:rsidR="00130935">
        <w:rPr>
          <w:rFonts w:ascii="Times New Roman" w:hAnsi="Times New Roman"/>
          <w:sz w:val="20"/>
          <w:lang w:val="en-GB" w:eastAsia="zh-CN"/>
        </w:rPr>
        <w:t>(run over PDCP) can be introduced</w:t>
      </w:r>
      <w:r w:rsidR="00C61653">
        <w:rPr>
          <w:rFonts w:ascii="Times New Roman" w:hAnsi="Times New Roman"/>
          <w:sz w:val="20"/>
          <w:lang w:val="en-GB" w:eastAsia="zh-CN"/>
        </w:rPr>
        <w:t xml:space="preserve"> for NR V2X</w:t>
      </w:r>
    </w:p>
    <w:p w14:paraId="7F0D8F55" w14:textId="3E84965C" w:rsidR="00130935" w:rsidRPr="00C44346" w:rsidRDefault="00130935" w:rsidP="00C44346">
      <w:pPr>
        <w:pStyle w:val="ListParagraph"/>
        <w:numPr>
          <w:ilvl w:val="0"/>
          <w:numId w:val="32"/>
        </w:numPr>
        <w:rPr>
          <w:rFonts w:ascii="Times New Roman" w:hAnsi="Times New Roman"/>
          <w:sz w:val="20"/>
          <w:lang w:val="en-GB" w:eastAsia="zh-CN"/>
        </w:rPr>
      </w:pPr>
      <w:r>
        <w:rPr>
          <w:rFonts w:ascii="Times New Roman" w:hAnsi="Times New Roman"/>
          <w:sz w:val="20"/>
          <w:lang w:val="en-GB" w:eastAsia="zh-CN"/>
        </w:rPr>
        <w:t>Running RRC over PC5 for connection management. In this case, some relevant V2X RRC messages can be extended and reused</w:t>
      </w:r>
      <w:r w:rsidR="00C61653">
        <w:rPr>
          <w:rFonts w:ascii="Times New Roman" w:hAnsi="Times New Roman"/>
          <w:sz w:val="20"/>
          <w:lang w:val="en-GB" w:eastAsia="zh-CN"/>
        </w:rPr>
        <w:t xml:space="preserve"> for exchange between UEs forming the link</w:t>
      </w:r>
    </w:p>
    <w:p w14:paraId="2D1FEACF" w14:textId="5AB5A654" w:rsidR="00130935" w:rsidRDefault="00130935" w:rsidP="00305CD5">
      <w:pPr>
        <w:rPr>
          <w:rFonts w:ascii="Times New Roman" w:hAnsi="Times New Roman"/>
          <w:sz w:val="20"/>
          <w:lang w:val="en-GB" w:eastAsia="zh-CN"/>
        </w:rPr>
      </w:pPr>
      <w:r>
        <w:rPr>
          <w:rFonts w:ascii="Times New Roman" w:hAnsi="Times New Roman"/>
          <w:sz w:val="20"/>
          <w:lang w:val="en-GB" w:eastAsia="zh-CN"/>
        </w:rPr>
        <w:t>Since this issue closely impact</w:t>
      </w:r>
      <w:r w:rsidR="004E1DB9">
        <w:rPr>
          <w:rFonts w:ascii="Times New Roman" w:hAnsi="Times New Roman"/>
          <w:sz w:val="20"/>
          <w:lang w:val="en-GB" w:eastAsia="zh-CN"/>
        </w:rPr>
        <w:t>s</w:t>
      </w:r>
      <w:r>
        <w:rPr>
          <w:rFonts w:ascii="Times New Roman" w:hAnsi="Times New Roman"/>
          <w:sz w:val="20"/>
          <w:lang w:val="en-GB" w:eastAsia="zh-CN"/>
        </w:rPr>
        <w:t xml:space="preserve"> RAN2 work, it would be good to discuss this issue from RAN2 point of view and discuss among the two options. In our view, the first option makes logical sense, i.e. reusing the PC5 signaling protocol for NR V2X connection management. There are several design advantages for this: reduced expected work from RAN2 given the TU</w:t>
      </w:r>
      <w:r w:rsidR="001C6523">
        <w:rPr>
          <w:rFonts w:ascii="Times New Roman" w:hAnsi="Times New Roman"/>
          <w:sz w:val="20"/>
          <w:lang w:val="en-GB" w:eastAsia="zh-CN"/>
        </w:rPr>
        <w:t>s</w:t>
      </w:r>
      <w:r>
        <w:rPr>
          <w:rFonts w:ascii="Times New Roman" w:hAnsi="Times New Roman"/>
          <w:sz w:val="20"/>
          <w:lang w:val="en-GB" w:eastAsia="zh-CN"/>
        </w:rPr>
        <w:t xml:space="preserve"> allocated for this SI, existence of most of the required functionality mentioned above (i.e. establishment of secure layer-2 link, link maintenance and link release over PC5), reliance on L2 identifiers and limited AS layer involvement/comple</w:t>
      </w:r>
      <w:r w:rsidR="000B5647">
        <w:rPr>
          <w:rFonts w:ascii="Times New Roman" w:hAnsi="Times New Roman"/>
          <w:sz w:val="20"/>
          <w:lang w:val="en-GB" w:eastAsia="zh-CN"/>
        </w:rPr>
        <w:t>xity, existing support for security mode establishment and control and so on. Thus, compared to working on defining new RRC functionality for connection management over sidelink, we prefer that PC5 signaling for ProSe direct communication is reused and enhanced for NR V2X.</w:t>
      </w:r>
      <w:r w:rsidR="00667839">
        <w:rPr>
          <w:rFonts w:ascii="Times New Roman" w:hAnsi="Times New Roman"/>
          <w:sz w:val="20"/>
          <w:lang w:val="en-GB" w:eastAsia="zh-CN"/>
        </w:rPr>
        <w:t xml:space="preserve"> </w:t>
      </w:r>
      <w:r w:rsidR="00667839">
        <w:rPr>
          <w:rFonts w:ascii="Times New Roman" w:hAnsi="Times New Roman"/>
          <w:sz w:val="20"/>
          <w:lang w:val="en-GB" w:eastAsia="zh-CN"/>
        </w:rPr>
        <w:t>Of course, depending on physical layer design e.g. HARQ feedback for unicast communication, some additional enhancements at the AS layer might be required</w:t>
      </w:r>
      <w:r w:rsidR="0072723A">
        <w:rPr>
          <w:rFonts w:ascii="Times New Roman" w:hAnsi="Times New Roman"/>
          <w:sz w:val="20"/>
          <w:lang w:val="en-GB" w:eastAsia="zh-CN"/>
        </w:rPr>
        <w:t xml:space="preserve"> and this can be discussed further</w:t>
      </w:r>
      <w:r w:rsidR="00667839">
        <w:rPr>
          <w:rFonts w:ascii="Times New Roman" w:hAnsi="Times New Roman"/>
          <w:sz w:val="20"/>
          <w:lang w:val="en-GB" w:eastAsia="zh-CN"/>
        </w:rPr>
        <w:t>.</w:t>
      </w:r>
    </w:p>
    <w:p w14:paraId="34605BC6" w14:textId="76DA9809" w:rsidR="00791496" w:rsidRPr="006F7B7D" w:rsidRDefault="00791496" w:rsidP="006F7B7D">
      <w:pPr>
        <w:ind w:left="1170" w:hanging="1170"/>
        <w:rPr>
          <w:rFonts w:ascii="Times New Roman" w:eastAsia="Times New Roman" w:hAnsi="Times New Roman"/>
          <w:bCs/>
          <w:i/>
          <w:iCs/>
          <w:sz w:val="20"/>
          <w:szCs w:val="20"/>
          <w:lang w:eastAsia="zh-CN"/>
        </w:rPr>
      </w:pPr>
      <w:r>
        <w:rPr>
          <w:rFonts w:ascii="Times New Roman" w:eastAsia="Times New Roman" w:hAnsi="Times New Roman"/>
          <w:b/>
          <w:bCs/>
          <w:sz w:val="20"/>
          <w:szCs w:val="20"/>
          <w:u w:val="single"/>
          <w:lang w:val="en-GB" w:eastAsia="zh-CN"/>
        </w:rPr>
        <w:t>Proposal</w:t>
      </w:r>
      <w:r w:rsidR="00773964">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1C6523">
        <w:rPr>
          <w:rFonts w:ascii="Times New Roman" w:eastAsia="Times New Roman" w:hAnsi="Times New Roman"/>
          <w:bCs/>
          <w:i/>
          <w:iCs/>
          <w:sz w:val="20"/>
          <w:szCs w:val="20"/>
          <w:lang w:eastAsia="zh-CN"/>
        </w:rPr>
        <w:t xml:space="preserve">The PC5 signaling protocol used for </w:t>
      </w:r>
      <w:r>
        <w:rPr>
          <w:rFonts w:ascii="Times New Roman" w:eastAsia="Times New Roman" w:hAnsi="Times New Roman"/>
          <w:bCs/>
          <w:i/>
          <w:iCs/>
          <w:sz w:val="20"/>
          <w:szCs w:val="20"/>
          <w:lang w:eastAsia="zh-CN"/>
        </w:rPr>
        <w:t>ProSe</w:t>
      </w:r>
      <w:r w:rsidR="001C6523">
        <w:rPr>
          <w:rFonts w:ascii="Times New Roman" w:eastAsia="Times New Roman" w:hAnsi="Times New Roman"/>
          <w:bCs/>
          <w:i/>
          <w:iCs/>
          <w:sz w:val="20"/>
          <w:szCs w:val="20"/>
          <w:lang w:eastAsia="zh-CN"/>
        </w:rPr>
        <w:t xml:space="preserve"> </w:t>
      </w:r>
      <w:r w:rsidR="008B0C07">
        <w:rPr>
          <w:rFonts w:ascii="Times New Roman" w:eastAsia="Times New Roman" w:hAnsi="Times New Roman"/>
          <w:bCs/>
          <w:i/>
          <w:iCs/>
          <w:sz w:val="20"/>
          <w:szCs w:val="20"/>
          <w:lang w:eastAsia="zh-CN"/>
        </w:rPr>
        <w:t>one-to-one</w:t>
      </w:r>
      <w:r w:rsidR="001C6523">
        <w:rPr>
          <w:rFonts w:ascii="Times New Roman" w:eastAsia="Times New Roman" w:hAnsi="Times New Roman"/>
          <w:bCs/>
          <w:i/>
          <w:iCs/>
          <w:sz w:val="20"/>
          <w:szCs w:val="20"/>
          <w:lang w:eastAsia="zh-CN"/>
        </w:rPr>
        <w:t xml:space="preserve"> communication from LTE should be reused and extended for supporting unicast/groupcast connection management in NR V2X.</w:t>
      </w:r>
    </w:p>
    <w:p w14:paraId="05FEFBBF" w14:textId="3448FD2F" w:rsidR="00926ABB" w:rsidRPr="008032FE" w:rsidRDefault="006F7B7D"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w:t>
      </w:r>
      <w:r w:rsidR="008032FE">
        <w:rPr>
          <w:rFonts w:ascii="Arial" w:eastAsia="MS Mincho" w:hAnsi="Arial" w:cs="Arial"/>
          <w:bCs/>
          <w:sz w:val="26"/>
          <w:szCs w:val="26"/>
          <w:lang w:val="en-GB" w:eastAsia="en-GB"/>
        </w:rPr>
        <w:t xml:space="preserve">ositioning accuracy </w:t>
      </w:r>
      <w:r w:rsidR="008B5422">
        <w:rPr>
          <w:rFonts w:ascii="Arial" w:eastAsia="MS Mincho" w:hAnsi="Arial" w:cs="Arial"/>
          <w:bCs/>
          <w:sz w:val="26"/>
          <w:szCs w:val="26"/>
          <w:lang w:val="en-GB" w:eastAsia="en-GB"/>
        </w:rPr>
        <w:t xml:space="preserve">requirement </w:t>
      </w:r>
      <w:r w:rsidR="008032FE">
        <w:rPr>
          <w:rFonts w:ascii="Arial" w:eastAsia="MS Mincho" w:hAnsi="Arial" w:cs="Arial"/>
          <w:bCs/>
          <w:sz w:val="26"/>
          <w:szCs w:val="26"/>
          <w:lang w:val="en-GB" w:eastAsia="en-GB"/>
        </w:rPr>
        <w:t>for group communication</w:t>
      </w:r>
    </w:p>
    <w:p w14:paraId="2335BF40" w14:textId="77777777" w:rsidR="008032FE" w:rsidRDefault="008032FE" w:rsidP="00305CD5">
      <w:pPr>
        <w:rPr>
          <w:rFonts w:ascii="Times New Roman" w:hAnsi="Times New Roman"/>
          <w:sz w:val="20"/>
          <w:lang w:val="en-GB" w:eastAsia="zh-CN"/>
        </w:rPr>
      </w:pPr>
    </w:p>
    <w:p w14:paraId="3EE33255" w14:textId="5F324DAC" w:rsidR="009B5872" w:rsidRDefault="008A12F1" w:rsidP="00305CD5">
      <w:pPr>
        <w:rPr>
          <w:rFonts w:ascii="Times New Roman" w:hAnsi="Times New Roman"/>
          <w:sz w:val="20"/>
          <w:lang w:val="en-GB" w:eastAsia="zh-CN"/>
        </w:rPr>
      </w:pPr>
      <w:r>
        <w:rPr>
          <w:rFonts w:ascii="Times New Roman" w:hAnsi="Times New Roman"/>
          <w:sz w:val="20"/>
          <w:lang w:val="en-GB" w:eastAsia="zh-CN"/>
        </w:rPr>
        <w:t xml:space="preserve">From the set of general requirements discussed in </w:t>
      </w:r>
      <w:sdt>
        <w:sdtPr>
          <w:rPr>
            <w:rFonts w:ascii="Times New Roman" w:hAnsi="Times New Roman"/>
            <w:sz w:val="20"/>
            <w:lang w:val="en-GB" w:eastAsia="zh-CN"/>
          </w:rPr>
          <w:id w:val="-943925688"/>
          <w:citation/>
        </w:sdtPr>
        <w:sdtEndPr/>
        <w:sdtContent>
          <w:r w:rsidR="009237FA">
            <w:rPr>
              <w:rFonts w:ascii="Times New Roman" w:hAnsi="Times New Roman"/>
              <w:sz w:val="20"/>
              <w:lang w:val="en-GB" w:eastAsia="zh-CN"/>
            </w:rPr>
            <w:fldChar w:fldCharType="begin"/>
          </w:r>
          <w:r w:rsidR="009237FA">
            <w:rPr>
              <w:rFonts w:ascii="Times New Roman" w:hAnsi="Times New Roman"/>
              <w:sz w:val="20"/>
              <w:lang w:eastAsia="zh-CN"/>
            </w:rPr>
            <w:instrText xml:space="preserve"> CITATION 22186 \l 1033 </w:instrText>
          </w:r>
          <w:r w:rsidR="009237FA">
            <w:rPr>
              <w:rFonts w:ascii="Times New Roman" w:hAnsi="Times New Roman"/>
              <w:sz w:val="20"/>
              <w:lang w:val="en-GB" w:eastAsia="zh-CN"/>
            </w:rPr>
            <w:fldChar w:fldCharType="separate"/>
          </w:r>
          <w:r w:rsidR="003F1372" w:rsidRPr="003F1372">
            <w:rPr>
              <w:rFonts w:ascii="Times New Roman" w:hAnsi="Times New Roman"/>
              <w:noProof/>
              <w:sz w:val="20"/>
              <w:lang w:eastAsia="zh-CN"/>
            </w:rPr>
            <w:t>[3]</w:t>
          </w:r>
          <w:r w:rsidR="009237FA">
            <w:rPr>
              <w:rFonts w:ascii="Times New Roman" w:hAnsi="Times New Roman"/>
              <w:sz w:val="20"/>
              <w:lang w:val="en-GB" w:eastAsia="zh-CN"/>
            </w:rPr>
            <w:fldChar w:fldCharType="end"/>
          </w:r>
        </w:sdtContent>
      </w:sdt>
      <w:r>
        <w:rPr>
          <w:rFonts w:ascii="Times New Roman" w:hAnsi="Times New Roman"/>
          <w:sz w:val="20"/>
          <w:lang w:val="en-GB" w:eastAsia="zh-CN"/>
        </w:rPr>
        <w:t>, one aspect that needs some discussion pertains to the following:</w:t>
      </w:r>
    </w:p>
    <w:tbl>
      <w:tblPr>
        <w:tblStyle w:val="TableGrid"/>
        <w:tblW w:w="0" w:type="auto"/>
        <w:tblLook w:val="04A0" w:firstRow="1" w:lastRow="0" w:firstColumn="1" w:lastColumn="0" w:noHBand="0" w:noVBand="1"/>
      </w:tblPr>
      <w:tblGrid>
        <w:gridCol w:w="9629"/>
      </w:tblGrid>
      <w:tr w:rsidR="008A12F1" w14:paraId="03190B99" w14:textId="77777777" w:rsidTr="008A12F1">
        <w:tc>
          <w:tcPr>
            <w:tcW w:w="9629" w:type="dxa"/>
          </w:tcPr>
          <w:p w14:paraId="28CAB1F0" w14:textId="1687DE09" w:rsidR="008A12F1" w:rsidRPr="008A12F1" w:rsidRDefault="008A12F1" w:rsidP="008A12F1">
            <w:pPr>
              <w:overflowPunct w:val="0"/>
              <w:autoSpaceDE w:val="0"/>
              <w:autoSpaceDN w:val="0"/>
              <w:adjustRightInd w:val="0"/>
              <w:spacing w:after="180" w:line="240" w:lineRule="auto"/>
              <w:textAlignment w:val="baseline"/>
              <w:rPr>
                <w:rFonts w:ascii="Times New Roman" w:eastAsia="Malgun Gothic" w:hAnsi="Times New Roman"/>
                <w:sz w:val="20"/>
                <w:szCs w:val="20"/>
                <w:lang w:eastAsia="ko-KR"/>
              </w:rPr>
            </w:pPr>
            <w:r w:rsidRPr="008A12F1">
              <w:rPr>
                <w:rFonts w:ascii="Times New Roman" w:eastAsia="Malgun Gothic" w:hAnsi="Times New Roman" w:hint="eastAsia"/>
                <w:sz w:val="20"/>
                <w:szCs w:val="20"/>
                <w:lang w:eastAsia="ko-KR"/>
              </w:rPr>
              <w:t>[R.5.1</w:t>
            </w:r>
            <w:r w:rsidRPr="008A12F1">
              <w:rPr>
                <w:rFonts w:ascii="Times New Roman" w:eastAsia="Malgun Gothic" w:hAnsi="Times New Roman"/>
                <w:sz w:val="20"/>
                <w:szCs w:val="20"/>
                <w:lang w:eastAsia="ko-KR"/>
              </w:rPr>
              <w:t>-007]</w:t>
            </w:r>
            <w:r w:rsidRPr="008A12F1">
              <w:rPr>
                <w:rFonts w:ascii="Times New Roman" w:eastAsia="Malgun Gothic" w:hAnsi="Times New Roman"/>
                <w:sz w:val="20"/>
                <w:szCs w:val="20"/>
                <w:lang w:eastAsia="ko-KR"/>
              </w:rPr>
              <w:tab/>
              <w:t>The 3GPP system shall support relative lateral position accuracy of 0.1 m between UEs supporting V2X application.</w:t>
            </w:r>
          </w:p>
        </w:tc>
      </w:tr>
    </w:tbl>
    <w:p w14:paraId="4C10B42E" w14:textId="77777777" w:rsidR="008A12F1" w:rsidRDefault="008A12F1" w:rsidP="00305CD5">
      <w:pPr>
        <w:rPr>
          <w:rFonts w:ascii="Times New Roman" w:hAnsi="Times New Roman"/>
          <w:sz w:val="20"/>
          <w:lang w:val="en-GB" w:eastAsia="zh-CN"/>
        </w:rPr>
      </w:pPr>
    </w:p>
    <w:p w14:paraId="755DB211" w14:textId="51BFA581" w:rsidR="008A12F1" w:rsidRDefault="008A12F1" w:rsidP="00305CD5">
      <w:pPr>
        <w:rPr>
          <w:rFonts w:ascii="Times New Roman" w:hAnsi="Times New Roman"/>
          <w:sz w:val="20"/>
          <w:lang w:val="en-GB" w:eastAsia="zh-CN"/>
        </w:rPr>
      </w:pPr>
      <w:r>
        <w:rPr>
          <w:rFonts w:ascii="Times New Roman" w:hAnsi="Times New Roman"/>
          <w:sz w:val="20"/>
          <w:lang w:val="en-GB" w:eastAsia="zh-CN"/>
        </w:rPr>
        <w:t xml:space="preserve">This seems especially relevant to the vehicle platooning use case as well, where vehicles are supposed to travel at much smaller inter-platoon distances for </w:t>
      </w:r>
      <w:r w:rsidR="004F6FC9">
        <w:rPr>
          <w:rFonts w:ascii="Times New Roman" w:hAnsi="Times New Roman"/>
          <w:sz w:val="20"/>
          <w:lang w:val="en-GB" w:eastAsia="zh-CN"/>
        </w:rPr>
        <w:t xml:space="preserve">reduced </w:t>
      </w:r>
      <w:r>
        <w:rPr>
          <w:rFonts w:ascii="Times New Roman" w:hAnsi="Times New Roman"/>
          <w:sz w:val="20"/>
          <w:lang w:val="en-GB" w:eastAsia="zh-CN"/>
        </w:rPr>
        <w:t xml:space="preserve">fuel </w:t>
      </w:r>
      <w:r w:rsidR="004F6FC9">
        <w:rPr>
          <w:rFonts w:ascii="Times New Roman" w:hAnsi="Times New Roman"/>
          <w:sz w:val="20"/>
          <w:lang w:val="en-GB" w:eastAsia="zh-CN"/>
        </w:rPr>
        <w:t>consumption and reduced exhaust emissions</w:t>
      </w:r>
      <w:r>
        <w:rPr>
          <w:rFonts w:ascii="Times New Roman" w:hAnsi="Times New Roman"/>
          <w:sz w:val="20"/>
          <w:lang w:val="en-GB" w:eastAsia="zh-CN"/>
        </w:rPr>
        <w:t xml:space="preserve"> </w:t>
      </w:r>
      <w:sdt>
        <w:sdtPr>
          <w:rPr>
            <w:rFonts w:ascii="Times New Roman" w:hAnsi="Times New Roman"/>
            <w:sz w:val="20"/>
            <w:lang w:val="en-GB" w:eastAsia="zh-CN"/>
          </w:rPr>
          <w:id w:val="786618306"/>
          <w:citation/>
        </w:sdtPr>
        <w:sdtEndPr/>
        <w:sdtContent>
          <w:r w:rsidR="004F6FC9">
            <w:rPr>
              <w:rFonts w:ascii="Times New Roman" w:hAnsi="Times New Roman"/>
              <w:sz w:val="20"/>
              <w:lang w:val="en-GB" w:eastAsia="zh-CN"/>
            </w:rPr>
            <w:fldChar w:fldCharType="begin"/>
          </w:r>
          <w:r w:rsidR="00E8135A">
            <w:rPr>
              <w:rFonts w:ascii="Times New Roman" w:hAnsi="Times New Roman"/>
              <w:sz w:val="20"/>
              <w:lang w:eastAsia="zh-CN"/>
            </w:rPr>
            <w:instrText xml:space="preserve">CITATION V2Xsurvey \l 1033 </w:instrText>
          </w:r>
          <w:r w:rsidR="004F6FC9">
            <w:rPr>
              <w:rFonts w:ascii="Times New Roman" w:hAnsi="Times New Roman"/>
              <w:sz w:val="20"/>
              <w:lang w:val="en-GB" w:eastAsia="zh-CN"/>
            </w:rPr>
            <w:fldChar w:fldCharType="separate"/>
          </w:r>
          <w:r w:rsidR="003F1372" w:rsidRPr="003F1372">
            <w:rPr>
              <w:rFonts w:ascii="Times New Roman" w:hAnsi="Times New Roman"/>
              <w:noProof/>
              <w:sz w:val="20"/>
              <w:lang w:eastAsia="zh-CN"/>
            </w:rPr>
            <w:t>[6]</w:t>
          </w:r>
          <w:r w:rsidR="004F6FC9">
            <w:rPr>
              <w:rFonts w:ascii="Times New Roman" w:hAnsi="Times New Roman"/>
              <w:sz w:val="20"/>
              <w:lang w:val="en-GB" w:eastAsia="zh-CN"/>
            </w:rPr>
            <w:fldChar w:fldCharType="end"/>
          </w:r>
        </w:sdtContent>
      </w:sdt>
      <w:r>
        <w:rPr>
          <w:rFonts w:ascii="Times New Roman" w:hAnsi="Times New Roman"/>
          <w:sz w:val="20"/>
          <w:lang w:val="en-GB" w:eastAsia="zh-CN"/>
        </w:rPr>
        <w:t xml:space="preserve">. So, the need for accurate vehicle positioning seems essential. From SA2 discussions, it seems that the platoon operations and </w:t>
      </w:r>
      <w:r w:rsidR="00963E9A" w:rsidRPr="00963E9A">
        <w:rPr>
          <w:rFonts w:ascii="Times New Roman" w:hAnsi="Times New Roman"/>
          <w:sz w:val="20"/>
          <w:lang w:val="en-GB" w:eastAsia="zh-CN"/>
        </w:rPr>
        <w:t>management, including controlling the number of UEs within the group, is expected to be performed at application layer, which is out of scope of 3GPP</w:t>
      </w:r>
      <w:r w:rsidR="00963E9A">
        <w:rPr>
          <w:rFonts w:ascii="Times New Roman" w:hAnsi="Times New Roman"/>
          <w:sz w:val="20"/>
          <w:lang w:val="en-GB" w:eastAsia="zh-CN"/>
        </w:rPr>
        <w:t xml:space="preserve"> </w:t>
      </w:r>
      <w:sdt>
        <w:sdtPr>
          <w:rPr>
            <w:rFonts w:ascii="Times New Roman" w:hAnsi="Times New Roman"/>
            <w:sz w:val="20"/>
            <w:lang w:val="en-GB" w:eastAsia="zh-CN"/>
          </w:rPr>
          <w:id w:val="-258524012"/>
          <w:citation/>
        </w:sdtPr>
        <w:sdtEndPr/>
        <w:sdtContent>
          <w:r w:rsidR="004F6FC9">
            <w:rPr>
              <w:rFonts w:ascii="Times New Roman" w:hAnsi="Times New Roman"/>
              <w:sz w:val="20"/>
              <w:lang w:val="en-GB" w:eastAsia="zh-CN"/>
            </w:rPr>
            <w:fldChar w:fldCharType="begin"/>
          </w:r>
          <w:r w:rsidR="004F6FC9">
            <w:rPr>
              <w:rFonts w:ascii="Times New Roman" w:hAnsi="Times New Roman"/>
              <w:sz w:val="20"/>
              <w:lang w:eastAsia="zh-CN"/>
            </w:rPr>
            <w:instrText xml:space="preserve"> CITATION 22186 \l 1033 </w:instrText>
          </w:r>
          <w:r w:rsidR="004F6FC9">
            <w:rPr>
              <w:rFonts w:ascii="Times New Roman" w:hAnsi="Times New Roman"/>
              <w:sz w:val="20"/>
              <w:lang w:val="en-GB" w:eastAsia="zh-CN"/>
            </w:rPr>
            <w:fldChar w:fldCharType="separate"/>
          </w:r>
          <w:r w:rsidR="003F1372" w:rsidRPr="003F1372">
            <w:rPr>
              <w:rFonts w:ascii="Times New Roman" w:hAnsi="Times New Roman"/>
              <w:noProof/>
              <w:sz w:val="20"/>
              <w:lang w:eastAsia="zh-CN"/>
            </w:rPr>
            <w:t>[3]</w:t>
          </w:r>
          <w:r w:rsidR="004F6FC9">
            <w:rPr>
              <w:rFonts w:ascii="Times New Roman" w:hAnsi="Times New Roman"/>
              <w:sz w:val="20"/>
              <w:lang w:val="en-GB" w:eastAsia="zh-CN"/>
            </w:rPr>
            <w:fldChar w:fldCharType="end"/>
          </w:r>
        </w:sdtContent>
      </w:sdt>
      <w:r w:rsidR="00963E9A" w:rsidRPr="00963E9A">
        <w:rPr>
          <w:rFonts w:ascii="Times New Roman" w:hAnsi="Times New Roman"/>
          <w:sz w:val="20"/>
          <w:lang w:val="en-GB" w:eastAsia="zh-CN"/>
        </w:rPr>
        <w:t>.</w:t>
      </w:r>
      <w:r w:rsidR="00963E9A">
        <w:rPr>
          <w:rFonts w:ascii="Times New Roman" w:hAnsi="Times New Roman"/>
          <w:sz w:val="20"/>
          <w:lang w:val="en-GB" w:eastAsia="zh-CN"/>
        </w:rPr>
        <w:t xml:space="preserve"> For this case, we assume that the positional accuracy requirement above needs to be met by mechanisms outside of 3GPP, e.g. GNSS, sensors, etc. In this case, we wonder how this can be achieved without involvement of the 3GPP/AS layer. So, RAN2 is proposed to discuss if the above requirement can indeed be met by V2X UEs and no effort </w:t>
      </w:r>
      <w:r w:rsidR="004E1DB9">
        <w:rPr>
          <w:rFonts w:ascii="Times New Roman" w:hAnsi="Times New Roman"/>
          <w:sz w:val="20"/>
          <w:lang w:val="en-GB" w:eastAsia="zh-CN"/>
        </w:rPr>
        <w:t xml:space="preserve">is </w:t>
      </w:r>
      <w:r w:rsidR="00963E9A">
        <w:rPr>
          <w:rFonts w:ascii="Times New Roman" w:hAnsi="Times New Roman"/>
          <w:sz w:val="20"/>
          <w:lang w:val="en-GB" w:eastAsia="zh-CN"/>
        </w:rPr>
        <w:t xml:space="preserve">needed, at least from RAN2 </w:t>
      </w:r>
      <w:r w:rsidR="00EF69D3">
        <w:rPr>
          <w:rFonts w:ascii="Times New Roman" w:hAnsi="Times New Roman"/>
          <w:sz w:val="20"/>
          <w:lang w:val="en-GB" w:eastAsia="zh-CN"/>
        </w:rPr>
        <w:t>sidelink</w:t>
      </w:r>
      <w:r w:rsidR="008032FE">
        <w:rPr>
          <w:rFonts w:ascii="Times New Roman" w:hAnsi="Times New Roman"/>
          <w:sz w:val="20"/>
          <w:lang w:val="en-GB" w:eastAsia="zh-CN"/>
        </w:rPr>
        <w:t xml:space="preserve"> design for enabling groupcast communication for V2X</w:t>
      </w:r>
      <w:r w:rsidR="00963E9A">
        <w:rPr>
          <w:rFonts w:ascii="Times New Roman" w:hAnsi="Times New Roman"/>
          <w:sz w:val="20"/>
          <w:lang w:val="en-GB" w:eastAsia="zh-CN"/>
        </w:rPr>
        <w:t>.</w:t>
      </w:r>
    </w:p>
    <w:p w14:paraId="0EF5DB93" w14:textId="3B07973E" w:rsidR="00791496" w:rsidRPr="00151954" w:rsidRDefault="00791496" w:rsidP="00151954">
      <w:pPr>
        <w:ind w:left="1170" w:hanging="1170"/>
        <w:rPr>
          <w:rFonts w:ascii="Times New Roman" w:eastAsia="Times New Roman" w:hAnsi="Times New Roman"/>
          <w:bCs/>
          <w:i/>
          <w:iCs/>
          <w:sz w:val="20"/>
          <w:szCs w:val="20"/>
          <w:lang w:eastAsia="zh-CN"/>
        </w:rPr>
      </w:pPr>
      <w:r>
        <w:rPr>
          <w:rFonts w:ascii="Times New Roman" w:eastAsia="Times New Roman" w:hAnsi="Times New Roman"/>
          <w:b/>
          <w:bCs/>
          <w:sz w:val="20"/>
          <w:szCs w:val="20"/>
          <w:u w:val="single"/>
          <w:lang w:val="en-GB" w:eastAsia="zh-CN"/>
        </w:rPr>
        <w:t>Proposal</w:t>
      </w:r>
      <w:r w:rsidR="00773964">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F6FC9">
        <w:rPr>
          <w:rFonts w:ascii="Times New Roman" w:eastAsia="Times New Roman" w:hAnsi="Times New Roman"/>
          <w:bCs/>
          <w:i/>
          <w:iCs/>
          <w:sz w:val="20"/>
          <w:szCs w:val="20"/>
          <w:lang w:eastAsia="zh-CN"/>
        </w:rPr>
        <w:t>RAN2 confirms that n</w:t>
      </w:r>
      <w:r>
        <w:rPr>
          <w:rFonts w:ascii="Times New Roman" w:eastAsia="Times New Roman" w:hAnsi="Times New Roman"/>
          <w:bCs/>
          <w:i/>
          <w:iCs/>
          <w:sz w:val="20"/>
          <w:szCs w:val="20"/>
          <w:lang w:eastAsia="zh-CN"/>
        </w:rPr>
        <w:t>o need for involvement of the AS layer</w:t>
      </w:r>
      <w:r w:rsidR="004F6FC9">
        <w:rPr>
          <w:rFonts w:ascii="Times New Roman" w:eastAsia="Times New Roman" w:hAnsi="Times New Roman"/>
          <w:bCs/>
          <w:i/>
          <w:iCs/>
          <w:sz w:val="20"/>
          <w:szCs w:val="20"/>
          <w:lang w:eastAsia="zh-CN"/>
        </w:rPr>
        <w:t xml:space="preserve"> for meeting the positioning accuracy requirements for NR V2X is foreseen.</w:t>
      </w:r>
    </w:p>
    <w:p w14:paraId="18889849" w14:textId="607A1DA3" w:rsidR="0097341E" w:rsidRPr="00305CD5" w:rsidRDefault="0097341E" w:rsidP="0097341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Support of RLC AM for unicast and groupcast</w:t>
      </w:r>
    </w:p>
    <w:p w14:paraId="3FA00358" w14:textId="77777777" w:rsidR="000D7F02" w:rsidRDefault="000D7F02" w:rsidP="00F17014">
      <w:pPr>
        <w:rPr>
          <w:rFonts w:ascii="Times New Roman" w:hAnsi="Times New Roman"/>
          <w:sz w:val="20"/>
          <w:lang w:val="en-GB" w:eastAsia="zh-CN"/>
        </w:rPr>
      </w:pPr>
    </w:p>
    <w:p w14:paraId="7BD3A3AB" w14:textId="403D39A1" w:rsidR="00F17014" w:rsidRDefault="00963E9A" w:rsidP="00F17014">
      <w:pPr>
        <w:rPr>
          <w:rFonts w:ascii="Times New Roman" w:hAnsi="Times New Roman"/>
          <w:sz w:val="20"/>
          <w:lang w:val="en-GB" w:eastAsia="zh-CN"/>
        </w:rPr>
      </w:pPr>
      <w:r>
        <w:rPr>
          <w:rFonts w:ascii="Times New Roman" w:hAnsi="Times New Roman"/>
          <w:sz w:val="20"/>
          <w:lang w:val="en-GB" w:eastAsia="zh-CN"/>
        </w:rPr>
        <w:t xml:space="preserve">From a sub-layer perspective, the need for RLC AM mode, at least for unicast </w:t>
      </w:r>
      <w:r w:rsidR="004E1DB9">
        <w:rPr>
          <w:rFonts w:ascii="Times New Roman" w:hAnsi="Times New Roman"/>
          <w:sz w:val="20"/>
          <w:lang w:val="en-GB" w:eastAsia="zh-CN"/>
        </w:rPr>
        <w:t xml:space="preserve">communication </w:t>
      </w:r>
      <w:r>
        <w:rPr>
          <w:rFonts w:ascii="Times New Roman" w:hAnsi="Times New Roman"/>
          <w:sz w:val="20"/>
          <w:lang w:val="en-GB" w:eastAsia="zh-CN"/>
        </w:rPr>
        <w:t xml:space="preserve">needs to be discussed. For groupcast, it is not clear if RLC AM needs to be considered, considering that potential solutions in SA2 seem to imply that 3GPP system is not required to be aware of the existence of any eV2X group </w:t>
      </w:r>
      <w:r w:rsidR="00F17014">
        <w:rPr>
          <w:rFonts w:ascii="Times New Roman" w:hAnsi="Times New Roman"/>
          <w:sz w:val="20"/>
          <w:lang w:val="en-GB" w:eastAsia="zh-CN"/>
        </w:rPr>
        <w:t>within</w:t>
      </w:r>
      <w:r w:rsidR="000D7F02">
        <w:rPr>
          <w:rFonts w:ascii="Times New Roman" w:hAnsi="Times New Roman"/>
          <w:sz w:val="20"/>
          <w:lang w:val="en-GB" w:eastAsia="zh-CN"/>
        </w:rPr>
        <w:t xml:space="preserve"> the V2X application</w:t>
      </w:r>
      <w:r>
        <w:rPr>
          <w:rFonts w:ascii="Times New Roman" w:hAnsi="Times New Roman"/>
          <w:sz w:val="20"/>
          <w:lang w:val="en-GB" w:eastAsia="zh-CN"/>
        </w:rPr>
        <w:t xml:space="preserve"> </w:t>
      </w:r>
      <w:r w:rsidR="000D7F02">
        <w:rPr>
          <w:rFonts w:ascii="Times New Roman" w:hAnsi="Times New Roman"/>
          <w:sz w:val="20"/>
          <w:lang w:val="en-GB" w:eastAsia="zh-CN"/>
        </w:rPr>
        <w:t>(</w:t>
      </w:r>
      <w:r>
        <w:rPr>
          <w:rFonts w:ascii="Times New Roman" w:hAnsi="Times New Roman"/>
          <w:sz w:val="20"/>
          <w:lang w:val="en-GB" w:eastAsia="zh-CN"/>
        </w:rPr>
        <w:t>apart from potentially the destination L2 ID assignment by the application layer</w:t>
      </w:r>
      <w:r w:rsidR="000D7F02">
        <w:rPr>
          <w:rFonts w:ascii="Times New Roman" w:hAnsi="Times New Roman"/>
          <w:sz w:val="20"/>
          <w:lang w:val="en-GB" w:eastAsia="zh-CN"/>
        </w:rPr>
        <w:t>)</w:t>
      </w:r>
      <w:r>
        <w:rPr>
          <w:rFonts w:ascii="Times New Roman" w:hAnsi="Times New Roman"/>
          <w:sz w:val="20"/>
          <w:lang w:val="en-GB" w:eastAsia="zh-CN"/>
        </w:rPr>
        <w:t xml:space="preserve">. So, we focus on the case of unicast in this discussion. Different from RLC UM, the RLC AM operation in NR </w:t>
      </w:r>
      <w:r w:rsidR="00F17014">
        <w:rPr>
          <w:rFonts w:ascii="Times New Roman" w:hAnsi="Times New Roman"/>
          <w:sz w:val="20"/>
          <w:lang w:val="en-GB" w:eastAsia="zh-CN"/>
        </w:rPr>
        <w:t xml:space="preserve">offers feedback using STATUS PDUs for </w:t>
      </w:r>
      <w:r w:rsidR="00F17014">
        <w:rPr>
          <w:rFonts w:ascii="Times New Roman" w:hAnsi="Times New Roman"/>
          <w:sz w:val="20"/>
          <w:lang w:val="en-GB" w:eastAsia="zh-CN"/>
        </w:rPr>
        <w:lastRenderedPageBreak/>
        <w:t xml:space="preserve">higher reliability operation. This seems relevant for many of the V2X advanced use cases which require unicast operation over sidelink. Even with potential HARQ feedback support, which is being considered in RAN1, we think that RLC AM with ARQ feedback would be beneficial for such cases, e.g. 99.999% reliability at L2/L3 and would not be too complex to consider. </w:t>
      </w:r>
      <w:r w:rsidR="004E07CD">
        <w:rPr>
          <w:rFonts w:ascii="Times New Roman" w:hAnsi="Times New Roman"/>
          <w:sz w:val="20"/>
          <w:lang w:val="en-GB" w:eastAsia="zh-CN"/>
        </w:rPr>
        <w:t>One issue here is proper configuration for related RLC parameters over sidelink between the two U</w:t>
      </w:r>
      <w:r w:rsidR="006A14F5">
        <w:rPr>
          <w:rFonts w:ascii="Times New Roman" w:hAnsi="Times New Roman"/>
          <w:sz w:val="20"/>
          <w:lang w:val="en-GB" w:eastAsia="zh-CN"/>
        </w:rPr>
        <w:t>Es and this</w:t>
      </w:r>
      <w:r w:rsidR="004E07CD">
        <w:rPr>
          <w:rFonts w:ascii="Times New Roman" w:hAnsi="Times New Roman"/>
          <w:sz w:val="20"/>
          <w:lang w:val="en-GB" w:eastAsia="zh-CN"/>
        </w:rPr>
        <w:t xml:space="preserve"> can be considered in stage 3 discussions.</w:t>
      </w:r>
      <w:r w:rsidR="00F17014">
        <w:rPr>
          <w:rFonts w:ascii="Times New Roman" w:hAnsi="Times New Roman"/>
          <w:sz w:val="20"/>
          <w:lang w:val="en-GB" w:eastAsia="zh-CN"/>
        </w:rPr>
        <w:t xml:space="preserve"> So, </w:t>
      </w:r>
      <w:r w:rsidR="004E07CD">
        <w:rPr>
          <w:rFonts w:ascii="Times New Roman" w:hAnsi="Times New Roman"/>
          <w:sz w:val="20"/>
          <w:lang w:val="en-GB" w:eastAsia="zh-CN"/>
        </w:rPr>
        <w:t xml:space="preserve">in view of stringent reliability requirements for V2X use cases, </w:t>
      </w:r>
      <w:r w:rsidR="00F17014">
        <w:rPr>
          <w:rFonts w:ascii="Times New Roman" w:hAnsi="Times New Roman"/>
          <w:sz w:val="20"/>
          <w:lang w:val="en-GB" w:eastAsia="zh-CN"/>
        </w:rPr>
        <w:t xml:space="preserve">we propose to consider </w:t>
      </w:r>
      <w:r w:rsidR="004E07CD">
        <w:rPr>
          <w:rFonts w:ascii="Times New Roman" w:hAnsi="Times New Roman"/>
          <w:sz w:val="20"/>
          <w:lang w:val="en-GB" w:eastAsia="zh-CN"/>
        </w:rPr>
        <w:t>RLC AM</w:t>
      </w:r>
      <w:r w:rsidR="00563F72">
        <w:rPr>
          <w:rFonts w:ascii="Times New Roman" w:hAnsi="Times New Roman"/>
          <w:sz w:val="20"/>
          <w:lang w:val="en-GB" w:eastAsia="zh-CN"/>
        </w:rPr>
        <w:t xml:space="preserve"> support</w:t>
      </w:r>
      <w:r w:rsidR="004E07CD">
        <w:rPr>
          <w:rFonts w:ascii="Times New Roman" w:hAnsi="Times New Roman"/>
          <w:sz w:val="20"/>
          <w:lang w:val="en-GB" w:eastAsia="zh-CN"/>
        </w:rPr>
        <w:t xml:space="preserve">, at least </w:t>
      </w:r>
      <w:r w:rsidR="00F17014">
        <w:rPr>
          <w:rFonts w:ascii="Times New Roman" w:hAnsi="Times New Roman"/>
          <w:sz w:val="20"/>
          <w:lang w:val="en-GB" w:eastAsia="zh-CN"/>
        </w:rPr>
        <w:t>for unicast</w:t>
      </w:r>
      <w:r w:rsidR="004E07CD">
        <w:rPr>
          <w:rFonts w:ascii="Times New Roman" w:hAnsi="Times New Roman"/>
          <w:sz w:val="20"/>
          <w:lang w:val="en-GB" w:eastAsia="zh-CN"/>
        </w:rPr>
        <w:t xml:space="preserve"> case. The case of supporting this for groupcast needs to</w:t>
      </w:r>
      <w:r w:rsidR="0093100C">
        <w:rPr>
          <w:rFonts w:ascii="Times New Roman" w:hAnsi="Times New Roman"/>
          <w:sz w:val="20"/>
          <w:lang w:val="en-GB" w:eastAsia="zh-CN"/>
        </w:rPr>
        <w:t xml:space="preserve"> be</w:t>
      </w:r>
      <w:r w:rsidR="004E07CD">
        <w:rPr>
          <w:rFonts w:ascii="Times New Roman" w:hAnsi="Times New Roman"/>
          <w:sz w:val="20"/>
          <w:lang w:val="en-GB" w:eastAsia="zh-CN"/>
        </w:rPr>
        <w:t xml:space="preserve"> further discussed based on for i</w:t>
      </w:r>
      <w:r w:rsidR="0072723A">
        <w:rPr>
          <w:rFonts w:ascii="Times New Roman" w:hAnsi="Times New Roman"/>
          <w:sz w:val="20"/>
          <w:lang w:val="en-GB" w:eastAsia="zh-CN"/>
        </w:rPr>
        <w:t xml:space="preserve">nstance, if we consider it as </w:t>
      </w:r>
      <w:r w:rsidR="004E07CD">
        <w:rPr>
          <w:rFonts w:ascii="Times New Roman" w:hAnsi="Times New Roman"/>
          <w:sz w:val="20"/>
          <w:lang w:val="en-GB" w:eastAsia="zh-CN"/>
        </w:rPr>
        <w:t xml:space="preserve">an extension of unicast with </w:t>
      </w:r>
      <w:r w:rsidR="004E07CD" w:rsidRPr="001C68AC">
        <w:rPr>
          <w:rFonts w:ascii="Times New Roman" w:hAnsi="Times New Roman"/>
          <w:i/>
          <w:sz w:val="20"/>
          <w:lang w:val="en-GB" w:eastAsia="zh-CN"/>
        </w:rPr>
        <w:t>N</w:t>
      </w:r>
      <w:r w:rsidR="004E07CD">
        <w:rPr>
          <w:rFonts w:ascii="Times New Roman" w:hAnsi="Times New Roman"/>
          <w:sz w:val="20"/>
          <w:lang w:val="en-GB" w:eastAsia="zh-CN"/>
        </w:rPr>
        <w:t xml:space="preserve"> receivers or more similar to broadcast </w:t>
      </w:r>
      <w:r w:rsidR="001C68AC">
        <w:rPr>
          <w:rFonts w:ascii="Times New Roman" w:hAnsi="Times New Roman"/>
          <w:sz w:val="20"/>
          <w:lang w:val="en-GB" w:eastAsia="zh-CN"/>
        </w:rPr>
        <w:t xml:space="preserve">for a certain set of UEs </w:t>
      </w:r>
      <w:r w:rsidR="004E07CD">
        <w:rPr>
          <w:rFonts w:ascii="Times New Roman" w:hAnsi="Times New Roman"/>
          <w:sz w:val="20"/>
          <w:lang w:val="en-GB" w:eastAsia="zh-CN"/>
        </w:rPr>
        <w:t xml:space="preserve">without the need for such high reliability requirement. </w:t>
      </w:r>
    </w:p>
    <w:p w14:paraId="38C54BCB" w14:textId="2D41F6AC" w:rsidR="00A85069" w:rsidRPr="00397FA3" w:rsidRDefault="0032490D" w:rsidP="0097341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964">
        <w:rPr>
          <w:rFonts w:ascii="Times New Roman" w:eastAsia="Times New Roman" w:hAnsi="Times New Roman"/>
          <w:b/>
          <w:bCs/>
          <w:sz w:val="20"/>
          <w:szCs w:val="20"/>
          <w:u w:val="single"/>
          <w:lang w:val="en-GB" w:eastAsia="zh-CN"/>
        </w:rPr>
        <w:t xml:space="preserve"> 3</w:t>
      </w:r>
      <w:r w:rsidR="0037540A">
        <w:rPr>
          <w:rFonts w:ascii="Times New Roman" w:eastAsia="Times New Roman" w:hAnsi="Times New Roman"/>
          <w:b/>
          <w:bCs/>
          <w:sz w:val="20"/>
          <w:szCs w:val="20"/>
          <w:u w:val="single"/>
          <w:lang w:val="en-GB" w:eastAsia="zh-CN"/>
        </w:rPr>
        <w:t>:</w:t>
      </w:r>
      <w:r w:rsidR="0037540A">
        <w:rPr>
          <w:rFonts w:ascii="Times New Roman" w:eastAsia="Times New Roman" w:hAnsi="Times New Roman"/>
          <w:b/>
          <w:bCs/>
          <w:sz w:val="20"/>
          <w:szCs w:val="20"/>
          <w:lang w:val="en-GB" w:eastAsia="zh-CN"/>
        </w:rPr>
        <w:tab/>
      </w:r>
      <w:r w:rsidR="004E07CD">
        <w:rPr>
          <w:rFonts w:ascii="Times New Roman" w:eastAsia="Times New Roman" w:hAnsi="Times New Roman"/>
          <w:bCs/>
          <w:i/>
          <w:sz w:val="20"/>
          <w:szCs w:val="20"/>
          <w:lang w:val="en-GB" w:eastAsia="zh-CN"/>
        </w:rPr>
        <w:t>RAN2 to agree to support RLC AM over sidelink for unicast scenario. For groupcast, this can be FFS</w:t>
      </w:r>
      <w:r w:rsidR="0037540A">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54CA6410"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693133">
        <w:rPr>
          <w:rFonts w:ascii="Times New Roman" w:eastAsia="Times New Roman" w:hAnsi="Times New Roman"/>
          <w:bCs/>
          <w:sz w:val="20"/>
          <w:szCs w:val="20"/>
          <w:lang w:val="en-GB" w:eastAsia="zh-CN"/>
        </w:rPr>
        <w:t>support of unicast and groupcast communication over NR sidelink</w:t>
      </w:r>
      <w:r w:rsidR="00883D0A">
        <w:rPr>
          <w:rFonts w:ascii="Times New Roman" w:eastAsia="Times New Roman" w:hAnsi="Times New Roman"/>
          <w:bCs/>
          <w:sz w:val="20"/>
          <w:szCs w:val="20"/>
          <w:lang w:val="en-GB" w:eastAsia="zh-CN"/>
        </w:rPr>
        <w:t xml:space="preserve"> for supporting advanced V2X use cases</w:t>
      </w:r>
      <w:r w:rsidR="00BD4C5D">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765288F3" w14:textId="77777777" w:rsidR="000A7231" w:rsidRPr="00991763" w:rsidRDefault="000A7231" w:rsidP="000A7231">
      <w:pPr>
        <w:ind w:left="1170" w:hanging="1170"/>
        <w:rPr>
          <w:rFonts w:ascii="Times New Roman" w:eastAsia="Times New Roman" w:hAnsi="Times New Roman"/>
          <w:bCs/>
          <w:i/>
          <w:iCs/>
          <w:sz w:val="20"/>
          <w:szCs w:val="20"/>
          <w:lang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iCs/>
          <w:sz w:val="20"/>
          <w:szCs w:val="20"/>
          <w:lang w:eastAsia="zh-CN"/>
        </w:rPr>
        <w:t>The</w:t>
      </w:r>
      <w:r w:rsidRPr="00991763">
        <w:rPr>
          <w:rFonts w:ascii="Times New Roman" w:eastAsia="Times New Roman" w:hAnsi="Times New Roman"/>
          <w:bCs/>
          <w:i/>
          <w:iCs/>
          <w:sz w:val="20"/>
          <w:szCs w:val="20"/>
          <w:lang w:eastAsia="zh-CN"/>
        </w:rPr>
        <w:t xml:space="preserve"> </w:t>
      </w:r>
      <w:r>
        <w:rPr>
          <w:rFonts w:ascii="Times New Roman" w:eastAsia="Times New Roman" w:hAnsi="Times New Roman"/>
          <w:bCs/>
          <w:i/>
          <w:iCs/>
          <w:sz w:val="20"/>
          <w:szCs w:val="20"/>
          <w:lang w:eastAsia="zh-CN"/>
        </w:rPr>
        <w:t>need to support</w:t>
      </w:r>
      <w:r w:rsidRPr="00991763">
        <w:rPr>
          <w:rFonts w:ascii="Times New Roman" w:eastAsia="Times New Roman" w:hAnsi="Times New Roman"/>
          <w:bCs/>
          <w:i/>
          <w:iCs/>
          <w:sz w:val="20"/>
          <w:szCs w:val="20"/>
          <w:lang w:eastAsia="zh-CN"/>
        </w:rPr>
        <w:t xml:space="preserve"> unicast and groupcast </w:t>
      </w:r>
      <w:r>
        <w:rPr>
          <w:rFonts w:ascii="Times New Roman" w:eastAsia="Times New Roman" w:hAnsi="Times New Roman"/>
          <w:bCs/>
          <w:i/>
          <w:iCs/>
          <w:sz w:val="20"/>
          <w:szCs w:val="20"/>
          <w:lang w:eastAsia="zh-CN"/>
        </w:rPr>
        <w:t xml:space="preserve">communication </w:t>
      </w:r>
      <w:r w:rsidRPr="00991763">
        <w:rPr>
          <w:rFonts w:ascii="Times New Roman" w:eastAsia="Times New Roman" w:hAnsi="Times New Roman"/>
          <w:bCs/>
          <w:i/>
          <w:iCs/>
          <w:sz w:val="20"/>
          <w:szCs w:val="20"/>
          <w:lang w:eastAsia="zh-CN"/>
        </w:rPr>
        <w:t xml:space="preserve">over </w:t>
      </w:r>
      <w:r>
        <w:rPr>
          <w:rFonts w:ascii="Times New Roman" w:eastAsia="Times New Roman" w:hAnsi="Times New Roman"/>
          <w:bCs/>
          <w:i/>
          <w:iCs/>
          <w:sz w:val="20"/>
          <w:szCs w:val="20"/>
          <w:lang w:eastAsia="zh-CN"/>
        </w:rPr>
        <w:t xml:space="preserve">NR </w:t>
      </w:r>
      <w:r w:rsidRPr="00991763">
        <w:rPr>
          <w:rFonts w:ascii="Times New Roman" w:eastAsia="Times New Roman" w:hAnsi="Times New Roman"/>
          <w:bCs/>
          <w:i/>
          <w:iCs/>
          <w:sz w:val="20"/>
          <w:szCs w:val="20"/>
          <w:lang w:eastAsia="zh-CN"/>
        </w:rPr>
        <w:t>sidelink</w:t>
      </w:r>
      <w:r>
        <w:rPr>
          <w:rFonts w:ascii="Times New Roman" w:eastAsia="Times New Roman" w:hAnsi="Times New Roman"/>
          <w:bCs/>
          <w:i/>
          <w:iCs/>
          <w:sz w:val="20"/>
          <w:szCs w:val="20"/>
          <w:lang w:eastAsia="zh-CN"/>
        </w:rPr>
        <w:t xml:space="preserve"> for advanced use cases is undeniable.</w:t>
      </w:r>
    </w:p>
    <w:p w14:paraId="2537F3AF" w14:textId="77777777" w:rsidR="00F923B2" w:rsidRPr="006F7B7D" w:rsidRDefault="00F923B2" w:rsidP="00F923B2">
      <w:pPr>
        <w:ind w:left="1170" w:hanging="1170"/>
        <w:rPr>
          <w:rFonts w:ascii="Times New Roman" w:eastAsia="Times New Roman" w:hAnsi="Times New Roman"/>
          <w:bCs/>
          <w:i/>
          <w:iCs/>
          <w:sz w:val="20"/>
          <w:szCs w:val="20"/>
          <w:lang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iCs/>
          <w:sz w:val="20"/>
          <w:szCs w:val="20"/>
          <w:lang w:eastAsia="zh-CN"/>
        </w:rPr>
        <w:t>The PC5 signaling protocol used for ProSe one-to-one communication from LTE should be reused and extended for supporting unicast/groupcast connection management in NR V2X.</w:t>
      </w:r>
    </w:p>
    <w:p w14:paraId="6E8C4C40" w14:textId="77777777" w:rsidR="00F923B2" w:rsidRPr="00151954" w:rsidRDefault="00F923B2" w:rsidP="00F923B2">
      <w:pPr>
        <w:ind w:left="1170" w:hanging="1170"/>
        <w:rPr>
          <w:rFonts w:ascii="Times New Roman" w:eastAsia="Times New Roman" w:hAnsi="Times New Roman"/>
          <w:bCs/>
          <w:i/>
          <w:iCs/>
          <w:sz w:val="20"/>
          <w:szCs w:val="20"/>
          <w:lang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iCs/>
          <w:sz w:val="20"/>
          <w:szCs w:val="20"/>
          <w:lang w:eastAsia="zh-CN"/>
        </w:rPr>
        <w:t>RAN2 confirms that no need for involvement of the AS layer for meeting the positioning accuracy requirements for NR V2X is foreseen.</w:t>
      </w:r>
    </w:p>
    <w:p w14:paraId="17561EA0" w14:textId="77777777" w:rsidR="00F923B2" w:rsidRPr="00397FA3" w:rsidRDefault="00F923B2" w:rsidP="00F923B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agree to support RLC AM over sidelink for unicast scenario. For groupcast, this can be FFS.</w:t>
      </w:r>
    </w:p>
    <w:p w14:paraId="23A0270F" w14:textId="375A3BE1" w:rsidR="0072723A" w:rsidRPr="0072723A" w:rsidRDefault="0072723A" w:rsidP="0072723A">
      <w:pPr>
        <w:pStyle w:val="Tdoc"/>
      </w:pPr>
      <w:bookmarkStart w:id="1" w:name="_GoBack"/>
      <w:bookmarkEnd w:id="1"/>
      <w:r>
        <w:t>References</w:t>
      </w:r>
      <w:r w:rsidR="003F1372">
        <w:fldChar w:fldCharType="begin"/>
      </w:r>
      <w:r w:rsidR="003F1372">
        <w:instrText xml:space="preserve"> BIBLIOGRAPHY  \l 1033 </w:instrText>
      </w:r>
      <w:r w:rsidR="003F137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72723A" w14:paraId="2D5A5D1C" w14:textId="77777777">
        <w:trPr>
          <w:divId w:val="1018239368"/>
          <w:tblCellSpacing w:w="15" w:type="dxa"/>
        </w:trPr>
        <w:tc>
          <w:tcPr>
            <w:tcW w:w="50" w:type="pct"/>
            <w:hideMark/>
          </w:tcPr>
          <w:p w14:paraId="76DD6D62" w14:textId="77777777" w:rsidR="0072723A" w:rsidRDefault="0072723A">
            <w:pPr>
              <w:pStyle w:val="Bibliography"/>
              <w:rPr>
                <w:noProof/>
                <w:sz w:val="24"/>
                <w:szCs w:val="24"/>
              </w:rPr>
            </w:pPr>
            <w:r>
              <w:rPr>
                <w:noProof/>
              </w:rPr>
              <w:t xml:space="preserve">[1] </w:t>
            </w:r>
          </w:p>
        </w:tc>
        <w:tc>
          <w:tcPr>
            <w:tcW w:w="0" w:type="auto"/>
            <w:hideMark/>
          </w:tcPr>
          <w:p w14:paraId="27BA339A" w14:textId="77777777" w:rsidR="0072723A" w:rsidRDefault="0072723A">
            <w:pPr>
              <w:pStyle w:val="Bibliography"/>
              <w:rPr>
                <w:noProof/>
              </w:rPr>
            </w:pPr>
            <w:r>
              <w:rPr>
                <w:noProof/>
              </w:rPr>
              <w:t xml:space="preserve">"RP-181429, "New SID: Study on NR V2X", Vodafone". </w:t>
            </w:r>
          </w:p>
        </w:tc>
      </w:tr>
      <w:tr w:rsidR="0072723A" w14:paraId="7FA68B86" w14:textId="77777777">
        <w:trPr>
          <w:divId w:val="1018239368"/>
          <w:tblCellSpacing w:w="15" w:type="dxa"/>
        </w:trPr>
        <w:tc>
          <w:tcPr>
            <w:tcW w:w="50" w:type="pct"/>
            <w:hideMark/>
          </w:tcPr>
          <w:p w14:paraId="7EB2BD8E" w14:textId="77777777" w:rsidR="0072723A" w:rsidRDefault="0072723A">
            <w:pPr>
              <w:pStyle w:val="Bibliography"/>
              <w:rPr>
                <w:noProof/>
              </w:rPr>
            </w:pPr>
            <w:r>
              <w:rPr>
                <w:noProof/>
              </w:rPr>
              <w:t xml:space="preserve">[2] </w:t>
            </w:r>
          </w:p>
        </w:tc>
        <w:tc>
          <w:tcPr>
            <w:tcW w:w="0" w:type="auto"/>
            <w:hideMark/>
          </w:tcPr>
          <w:p w14:paraId="2A1EEE3E" w14:textId="77777777" w:rsidR="0072723A" w:rsidRDefault="0072723A">
            <w:pPr>
              <w:pStyle w:val="Bibliography"/>
              <w:rPr>
                <w:noProof/>
              </w:rPr>
            </w:pPr>
            <w:r>
              <w:rPr>
                <w:noProof/>
              </w:rPr>
              <w:t xml:space="preserve">"R2-1814056, Connection management aspects for NR SL V2X design, Intel Corporation". </w:t>
            </w:r>
          </w:p>
        </w:tc>
      </w:tr>
      <w:tr w:rsidR="0072723A" w14:paraId="06A7DF46" w14:textId="77777777">
        <w:trPr>
          <w:divId w:val="1018239368"/>
          <w:tblCellSpacing w:w="15" w:type="dxa"/>
        </w:trPr>
        <w:tc>
          <w:tcPr>
            <w:tcW w:w="50" w:type="pct"/>
            <w:hideMark/>
          </w:tcPr>
          <w:p w14:paraId="33438D11" w14:textId="77777777" w:rsidR="0072723A" w:rsidRDefault="0072723A">
            <w:pPr>
              <w:pStyle w:val="Bibliography"/>
              <w:rPr>
                <w:noProof/>
              </w:rPr>
            </w:pPr>
            <w:r>
              <w:rPr>
                <w:noProof/>
              </w:rPr>
              <w:t xml:space="preserve">[3] </w:t>
            </w:r>
          </w:p>
        </w:tc>
        <w:tc>
          <w:tcPr>
            <w:tcW w:w="0" w:type="auto"/>
            <w:hideMark/>
          </w:tcPr>
          <w:p w14:paraId="4187828B" w14:textId="77777777" w:rsidR="0072723A" w:rsidRDefault="0072723A">
            <w:pPr>
              <w:pStyle w:val="Bibliography"/>
              <w:rPr>
                <w:noProof/>
              </w:rPr>
            </w:pPr>
            <w:r>
              <w:rPr>
                <w:noProof/>
              </w:rPr>
              <w:t xml:space="preserve">"TR 22.186, Enhancement of 3GPP support for V2X scenarios; Stage 1". </w:t>
            </w:r>
          </w:p>
        </w:tc>
      </w:tr>
      <w:tr w:rsidR="0072723A" w14:paraId="1CC80CBF" w14:textId="77777777">
        <w:trPr>
          <w:divId w:val="1018239368"/>
          <w:tblCellSpacing w:w="15" w:type="dxa"/>
        </w:trPr>
        <w:tc>
          <w:tcPr>
            <w:tcW w:w="50" w:type="pct"/>
            <w:hideMark/>
          </w:tcPr>
          <w:p w14:paraId="712D2C8F" w14:textId="77777777" w:rsidR="0072723A" w:rsidRDefault="0072723A">
            <w:pPr>
              <w:pStyle w:val="Bibliography"/>
              <w:rPr>
                <w:noProof/>
              </w:rPr>
            </w:pPr>
            <w:r>
              <w:rPr>
                <w:noProof/>
              </w:rPr>
              <w:t xml:space="preserve">[4] </w:t>
            </w:r>
          </w:p>
        </w:tc>
        <w:tc>
          <w:tcPr>
            <w:tcW w:w="0" w:type="auto"/>
            <w:hideMark/>
          </w:tcPr>
          <w:p w14:paraId="6D1369A0" w14:textId="77777777" w:rsidR="0072723A" w:rsidRDefault="0072723A">
            <w:pPr>
              <w:pStyle w:val="Bibliography"/>
              <w:rPr>
                <w:noProof/>
              </w:rPr>
            </w:pPr>
            <w:r>
              <w:rPr>
                <w:noProof/>
              </w:rPr>
              <w:t xml:space="preserve">"TR 23.786, Study on architecture enhancements for EPS and 5G System to support advanced V2X services". </w:t>
            </w:r>
          </w:p>
        </w:tc>
      </w:tr>
      <w:tr w:rsidR="0072723A" w14:paraId="3D242FD9" w14:textId="77777777">
        <w:trPr>
          <w:divId w:val="1018239368"/>
          <w:tblCellSpacing w:w="15" w:type="dxa"/>
        </w:trPr>
        <w:tc>
          <w:tcPr>
            <w:tcW w:w="50" w:type="pct"/>
            <w:hideMark/>
          </w:tcPr>
          <w:p w14:paraId="419DCB56" w14:textId="77777777" w:rsidR="0072723A" w:rsidRDefault="0072723A">
            <w:pPr>
              <w:pStyle w:val="Bibliography"/>
              <w:rPr>
                <w:noProof/>
              </w:rPr>
            </w:pPr>
            <w:r>
              <w:rPr>
                <w:noProof/>
              </w:rPr>
              <w:t xml:space="preserve">[5] </w:t>
            </w:r>
          </w:p>
        </w:tc>
        <w:tc>
          <w:tcPr>
            <w:tcW w:w="0" w:type="auto"/>
            <w:hideMark/>
          </w:tcPr>
          <w:p w14:paraId="5D8E74D0" w14:textId="77777777" w:rsidR="0072723A" w:rsidRDefault="0072723A">
            <w:pPr>
              <w:pStyle w:val="Bibliography"/>
              <w:rPr>
                <w:noProof/>
              </w:rPr>
            </w:pPr>
            <w:r>
              <w:rPr>
                <w:noProof/>
              </w:rPr>
              <w:t xml:space="preserve">"TS 23.303, Proximity-based services (ProSe); Stage 2". </w:t>
            </w:r>
          </w:p>
        </w:tc>
      </w:tr>
      <w:tr w:rsidR="0072723A" w14:paraId="57C2740C" w14:textId="77777777">
        <w:trPr>
          <w:divId w:val="1018239368"/>
          <w:tblCellSpacing w:w="15" w:type="dxa"/>
        </w:trPr>
        <w:tc>
          <w:tcPr>
            <w:tcW w:w="50" w:type="pct"/>
            <w:hideMark/>
          </w:tcPr>
          <w:p w14:paraId="304C5AF8" w14:textId="77777777" w:rsidR="0072723A" w:rsidRDefault="0072723A">
            <w:pPr>
              <w:pStyle w:val="Bibliography"/>
              <w:rPr>
                <w:noProof/>
              </w:rPr>
            </w:pPr>
            <w:r>
              <w:rPr>
                <w:noProof/>
              </w:rPr>
              <w:t xml:space="preserve">[6] </w:t>
            </w:r>
          </w:p>
        </w:tc>
        <w:tc>
          <w:tcPr>
            <w:tcW w:w="0" w:type="auto"/>
            <w:hideMark/>
          </w:tcPr>
          <w:p w14:paraId="7C4AAC57" w14:textId="77777777" w:rsidR="0072723A" w:rsidRDefault="0072723A">
            <w:pPr>
              <w:pStyle w:val="Bibliography"/>
              <w:rPr>
                <w:noProof/>
              </w:rPr>
            </w:pPr>
            <w:r>
              <w:rPr>
                <w:noProof/>
              </w:rPr>
              <w:t xml:space="preserve">"D. Jia, K. Lu, J. Wang, X. Zhang and X. Shen, A Survey on Platoon-Based Vehicular Cyber-Physical Systems". </w:t>
            </w:r>
          </w:p>
        </w:tc>
      </w:tr>
    </w:tbl>
    <w:p w14:paraId="59EAE6AB" w14:textId="77777777" w:rsidR="0072723A" w:rsidRDefault="0072723A">
      <w:pPr>
        <w:divId w:val="1018239368"/>
        <w:rPr>
          <w:rFonts w:eastAsia="Times New Roman"/>
          <w:noProof/>
        </w:rPr>
      </w:pPr>
    </w:p>
    <w:p w14:paraId="691EAA26" w14:textId="6591A799" w:rsidR="00C73BA9" w:rsidRDefault="003F1372">
      <w:r>
        <w:fldChar w:fldCharType="end"/>
      </w:r>
    </w:p>
    <w:p w14:paraId="4196A02B" w14:textId="65BAC889" w:rsidR="00DF25A3" w:rsidRDefault="00DF25A3"/>
    <w:bookmarkEnd w:id="0"/>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10259" w:rsidRDefault="00A10259">
      <w:pPr>
        <w:spacing w:after="0" w:line="240" w:lineRule="auto"/>
      </w:pPr>
      <w:r>
        <w:separator/>
      </w:r>
    </w:p>
  </w:endnote>
  <w:endnote w:type="continuationSeparator" w:id="0">
    <w:p w14:paraId="50A28EF3" w14:textId="77777777" w:rsidR="00A10259" w:rsidRDefault="00A10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10259" w:rsidRDefault="00A10259"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358A">
      <w:rPr>
        <w:rFonts w:ascii="Arial" w:hAnsi="Arial" w:cs="Arial"/>
        <w:b/>
        <w:noProof/>
        <w:sz w:val="18"/>
        <w:szCs w:val="18"/>
      </w:rPr>
      <w:t>1</w:t>
    </w:r>
    <w:r>
      <w:rPr>
        <w:rFonts w:ascii="Arial" w:hAnsi="Arial" w:cs="Arial"/>
        <w:b/>
        <w:sz w:val="18"/>
        <w:szCs w:val="18"/>
      </w:rPr>
      <w:fldChar w:fldCharType="end"/>
    </w:r>
  </w:p>
  <w:p w14:paraId="50A28EF5" w14:textId="77777777" w:rsidR="00A10259" w:rsidRDefault="00A1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10259" w:rsidRDefault="00A10259">
      <w:pPr>
        <w:spacing w:after="0" w:line="240" w:lineRule="auto"/>
      </w:pPr>
      <w:r>
        <w:separator/>
      </w:r>
    </w:p>
  </w:footnote>
  <w:footnote w:type="continuationSeparator" w:id="0">
    <w:p w14:paraId="50A28EF1" w14:textId="77777777" w:rsidR="00A10259" w:rsidRDefault="00A10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0"/>
  </w:num>
  <w:num w:numId="3">
    <w:abstractNumId w:val="15"/>
  </w:num>
  <w:num w:numId="4">
    <w:abstractNumId w:val="14"/>
  </w:num>
  <w:num w:numId="5">
    <w:abstractNumId w:val="5"/>
    <w:lvlOverride w:ilvl="0">
      <w:startOverride w:val="1"/>
    </w:lvlOverride>
  </w:num>
  <w:num w:numId="6">
    <w:abstractNumId w:val="8"/>
    <w:lvlOverride w:ilvl="0">
      <w:startOverride w:val="2"/>
    </w:lvlOverride>
  </w:num>
  <w:num w:numId="7">
    <w:abstractNumId w:val="27"/>
  </w:num>
  <w:num w:numId="8">
    <w:abstractNumId w:val="11"/>
  </w:num>
  <w:num w:numId="9">
    <w:abstractNumId w:val="9"/>
  </w:num>
  <w:num w:numId="10">
    <w:abstractNumId w:val="23"/>
  </w:num>
  <w:num w:numId="11">
    <w:abstractNumId w:val="29"/>
  </w:num>
  <w:num w:numId="12">
    <w:abstractNumId w:val="7"/>
  </w:num>
  <w:num w:numId="13">
    <w:abstractNumId w:val="10"/>
  </w:num>
  <w:num w:numId="14">
    <w:abstractNumId w:val="3"/>
  </w:num>
  <w:num w:numId="15">
    <w:abstractNumId w:val="4"/>
  </w:num>
  <w:num w:numId="16">
    <w:abstractNumId w:val="13"/>
  </w:num>
  <w:num w:numId="17">
    <w:abstractNumId w:val="26"/>
  </w:num>
  <w:num w:numId="18">
    <w:abstractNumId w:val="12"/>
  </w:num>
  <w:num w:numId="19">
    <w:abstractNumId w:val="24"/>
  </w:num>
  <w:num w:numId="20">
    <w:abstractNumId w:val="2"/>
  </w:num>
  <w:num w:numId="21">
    <w:abstractNumId w:val="28"/>
  </w:num>
  <w:num w:numId="22">
    <w:abstractNumId w:val="1"/>
  </w:num>
  <w:num w:numId="23">
    <w:abstractNumId w:val="22"/>
  </w:num>
  <w:num w:numId="24">
    <w:abstractNumId w:val="31"/>
  </w:num>
  <w:num w:numId="25">
    <w:abstractNumId w:val="21"/>
  </w:num>
  <w:num w:numId="26">
    <w:abstractNumId w:val="18"/>
  </w:num>
  <w:num w:numId="27">
    <w:abstractNumId w:val="17"/>
  </w:num>
  <w:num w:numId="28">
    <w:abstractNumId w:val="30"/>
  </w:num>
  <w:num w:numId="29">
    <w:abstractNumId w:val="0"/>
  </w:num>
  <w:num w:numId="30">
    <w:abstractNumId w:val="6"/>
  </w:num>
  <w:num w:numId="31">
    <w:abstractNumId w:val="19"/>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D2"/>
    <w:rsid w:val="0002151A"/>
    <w:rsid w:val="00027F83"/>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7231"/>
    <w:rsid w:val="000A7E1C"/>
    <w:rsid w:val="000B5647"/>
    <w:rsid w:val="000B7D31"/>
    <w:rsid w:val="000D7F02"/>
    <w:rsid w:val="000E4761"/>
    <w:rsid w:val="000E493C"/>
    <w:rsid w:val="000F1C37"/>
    <w:rsid w:val="000F54CA"/>
    <w:rsid w:val="00100001"/>
    <w:rsid w:val="00111236"/>
    <w:rsid w:val="0011358A"/>
    <w:rsid w:val="0011610B"/>
    <w:rsid w:val="00120B9E"/>
    <w:rsid w:val="00130935"/>
    <w:rsid w:val="00143E86"/>
    <w:rsid w:val="00143F5D"/>
    <w:rsid w:val="00144CD4"/>
    <w:rsid w:val="00147C5C"/>
    <w:rsid w:val="00151954"/>
    <w:rsid w:val="00151E30"/>
    <w:rsid w:val="00153EA5"/>
    <w:rsid w:val="00154CC9"/>
    <w:rsid w:val="00160710"/>
    <w:rsid w:val="0016207C"/>
    <w:rsid w:val="0016488C"/>
    <w:rsid w:val="00171180"/>
    <w:rsid w:val="00171868"/>
    <w:rsid w:val="00175B7F"/>
    <w:rsid w:val="00175DCB"/>
    <w:rsid w:val="001851B0"/>
    <w:rsid w:val="00195430"/>
    <w:rsid w:val="00197B45"/>
    <w:rsid w:val="001A793C"/>
    <w:rsid w:val="001B7098"/>
    <w:rsid w:val="001C137C"/>
    <w:rsid w:val="001C6523"/>
    <w:rsid w:val="001C68AC"/>
    <w:rsid w:val="001C6E8B"/>
    <w:rsid w:val="001D28A0"/>
    <w:rsid w:val="001E221E"/>
    <w:rsid w:val="001E54F9"/>
    <w:rsid w:val="001F221E"/>
    <w:rsid w:val="00203D1C"/>
    <w:rsid w:val="0020567B"/>
    <w:rsid w:val="0020671E"/>
    <w:rsid w:val="00220EC4"/>
    <w:rsid w:val="00225341"/>
    <w:rsid w:val="0024165F"/>
    <w:rsid w:val="00251D31"/>
    <w:rsid w:val="00253F58"/>
    <w:rsid w:val="00255F2A"/>
    <w:rsid w:val="00260222"/>
    <w:rsid w:val="00260FE6"/>
    <w:rsid w:val="00262F71"/>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05CD5"/>
    <w:rsid w:val="0032490D"/>
    <w:rsid w:val="00330823"/>
    <w:rsid w:val="00332463"/>
    <w:rsid w:val="00332851"/>
    <w:rsid w:val="00336D1D"/>
    <w:rsid w:val="003379D6"/>
    <w:rsid w:val="00337A0E"/>
    <w:rsid w:val="00345654"/>
    <w:rsid w:val="0035278E"/>
    <w:rsid w:val="00361EF9"/>
    <w:rsid w:val="0037540A"/>
    <w:rsid w:val="003848A3"/>
    <w:rsid w:val="00384CB8"/>
    <w:rsid w:val="00385E3E"/>
    <w:rsid w:val="00396B24"/>
    <w:rsid w:val="00397FA3"/>
    <w:rsid w:val="003A24B7"/>
    <w:rsid w:val="003A766F"/>
    <w:rsid w:val="003B424F"/>
    <w:rsid w:val="003B6208"/>
    <w:rsid w:val="003B6BC4"/>
    <w:rsid w:val="003C2812"/>
    <w:rsid w:val="003D1D55"/>
    <w:rsid w:val="003E1161"/>
    <w:rsid w:val="003E76DD"/>
    <w:rsid w:val="003F0F74"/>
    <w:rsid w:val="003F1372"/>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9607B"/>
    <w:rsid w:val="004A45E2"/>
    <w:rsid w:val="004B2F1A"/>
    <w:rsid w:val="004C546C"/>
    <w:rsid w:val="004D44CA"/>
    <w:rsid w:val="004D6C2B"/>
    <w:rsid w:val="004D7A2E"/>
    <w:rsid w:val="004E07CD"/>
    <w:rsid w:val="004E1DB9"/>
    <w:rsid w:val="004E2339"/>
    <w:rsid w:val="004E3975"/>
    <w:rsid w:val="004E3ED3"/>
    <w:rsid w:val="004F6FC9"/>
    <w:rsid w:val="005067A7"/>
    <w:rsid w:val="00511AF4"/>
    <w:rsid w:val="0051392C"/>
    <w:rsid w:val="005214C0"/>
    <w:rsid w:val="005231DC"/>
    <w:rsid w:val="00523734"/>
    <w:rsid w:val="005279F9"/>
    <w:rsid w:val="00533984"/>
    <w:rsid w:val="00545C8C"/>
    <w:rsid w:val="0055379C"/>
    <w:rsid w:val="00555440"/>
    <w:rsid w:val="0055706A"/>
    <w:rsid w:val="00557402"/>
    <w:rsid w:val="00563F72"/>
    <w:rsid w:val="00593190"/>
    <w:rsid w:val="00597FD5"/>
    <w:rsid w:val="005A4656"/>
    <w:rsid w:val="005A7CEA"/>
    <w:rsid w:val="005C158A"/>
    <w:rsid w:val="005C3DFF"/>
    <w:rsid w:val="005D11BA"/>
    <w:rsid w:val="005E3E1B"/>
    <w:rsid w:val="005E4E14"/>
    <w:rsid w:val="005F30EF"/>
    <w:rsid w:val="00625D8E"/>
    <w:rsid w:val="00627647"/>
    <w:rsid w:val="00633024"/>
    <w:rsid w:val="00661C20"/>
    <w:rsid w:val="00667231"/>
    <w:rsid w:val="00667839"/>
    <w:rsid w:val="006720DF"/>
    <w:rsid w:val="00673EBD"/>
    <w:rsid w:val="00693133"/>
    <w:rsid w:val="00696FDC"/>
    <w:rsid w:val="006A14F5"/>
    <w:rsid w:val="006A27E5"/>
    <w:rsid w:val="006A65D5"/>
    <w:rsid w:val="006C65A8"/>
    <w:rsid w:val="006D0058"/>
    <w:rsid w:val="006D512C"/>
    <w:rsid w:val="006D53FD"/>
    <w:rsid w:val="006D7CC2"/>
    <w:rsid w:val="006E0F37"/>
    <w:rsid w:val="006F631D"/>
    <w:rsid w:val="006F7B7D"/>
    <w:rsid w:val="00705D31"/>
    <w:rsid w:val="00710503"/>
    <w:rsid w:val="00711B34"/>
    <w:rsid w:val="00714FF2"/>
    <w:rsid w:val="007158F5"/>
    <w:rsid w:val="00722993"/>
    <w:rsid w:val="00723298"/>
    <w:rsid w:val="0072723A"/>
    <w:rsid w:val="00732A41"/>
    <w:rsid w:val="00732CD4"/>
    <w:rsid w:val="007336B5"/>
    <w:rsid w:val="007356BA"/>
    <w:rsid w:val="00740D3E"/>
    <w:rsid w:val="00743313"/>
    <w:rsid w:val="007646CF"/>
    <w:rsid w:val="00773964"/>
    <w:rsid w:val="00777344"/>
    <w:rsid w:val="00781376"/>
    <w:rsid w:val="00786A05"/>
    <w:rsid w:val="00786EC6"/>
    <w:rsid w:val="00791496"/>
    <w:rsid w:val="00791A9C"/>
    <w:rsid w:val="00792327"/>
    <w:rsid w:val="00797358"/>
    <w:rsid w:val="007A2068"/>
    <w:rsid w:val="007A49CD"/>
    <w:rsid w:val="007B7DD5"/>
    <w:rsid w:val="007C3A70"/>
    <w:rsid w:val="007D042C"/>
    <w:rsid w:val="007D05E3"/>
    <w:rsid w:val="007D32DD"/>
    <w:rsid w:val="007F2F4C"/>
    <w:rsid w:val="008032FE"/>
    <w:rsid w:val="00813FBF"/>
    <w:rsid w:val="00826CBA"/>
    <w:rsid w:val="00827742"/>
    <w:rsid w:val="00833E79"/>
    <w:rsid w:val="00835599"/>
    <w:rsid w:val="008418C6"/>
    <w:rsid w:val="00842457"/>
    <w:rsid w:val="00861C7A"/>
    <w:rsid w:val="008669B1"/>
    <w:rsid w:val="00875F14"/>
    <w:rsid w:val="00876F5D"/>
    <w:rsid w:val="008775ED"/>
    <w:rsid w:val="00883D0A"/>
    <w:rsid w:val="00883EF2"/>
    <w:rsid w:val="008848AB"/>
    <w:rsid w:val="00886353"/>
    <w:rsid w:val="00897CC2"/>
    <w:rsid w:val="008A12F1"/>
    <w:rsid w:val="008A1604"/>
    <w:rsid w:val="008A3B9F"/>
    <w:rsid w:val="008A3EC6"/>
    <w:rsid w:val="008B0017"/>
    <w:rsid w:val="008B0C07"/>
    <w:rsid w:val="008B1A68"/>
    <w:rsid w:val="008B5422"/>
    <w:rsid w:val="008B7DB0"/>
    <w:rsid w:val="008C0567"/>
    <w:rsid w:val="008C6004"/>
    <w:rsid w:val="008D2846"/>
    <w:rsid w:val="008E03BE"/>
    <w:rsid w:val="008E4A12"/>
    <w:rsid w:val="008E5071"/>
    <w:rsid w:val="008F15B9"/>
    <w:rsid w:val="008F7B19"/>
    <w:rsid w:val="00901F6D"/>
    <w:rsid w:val="00902C16"/>
    <w:rsid w:val="009158B7"/>
    <w:rsid w:val="00915CAD"/>
    <w:rsid w:val="009209B1"/>
    <w:rsid w:val="009215C6"/>
    <w:rsid w:val="009237FA"/>
    <w:rsid w:val="00925869"/>
    <w:rsid w:val="00926ABB"/>
    <w:rsid w:val="00927261"/>
    <w:rsid w:val="0093100C"/>
    <w:rsid w:val="009331B4"/>
    <w:rsid w:val="00934516"/>
    <w:rsid w:val="00936F83"/>
    <w:rsid w:val="00942718"/>
    <w:rsid w:val="00943572"/>
    <w:rsid w:val="00943FF6"/>
    <w:rsid w:val="00944290"/>
    <w:rsid w:val="009459D5"/>
    <w:rsid w:val="0094797B"/>
    <w:rsid w:val="00952743"/>
    <w:rsid w:val="00954A13"/>
    <w:rsid w:val="00955F6D"/>
    <w:rsid w:val="009573C2"/>
    <w:rsid w:val="00963E9A"/>
    <w:rsid w:val="0097341E"/>
    <w:rsid w:val="009737B4"/>
    <w:rsid w:val="009759A1"/>
    <w:rsid w:val="00981471"/>
    <w:rsid w:val="00991763"/>
    <w:rsid w:val="009917F0"/>
    <w:rsid w:val="009A301E"/>
    <w:rsid w:val="009A3832"/>
    <w:rsid w:val="009A5E1C"/>
    <w:rsid w:val="009B5872"/>
    <w:rsid w:val="009B6A2D"/>
    <w:rsid w:val="009C4F61"/>
    <w:rsid w:val="009D5BAB"/>
    <w:rsid w:val="009E4EC5"/>
    <w:rsid w:val="009E6ED4"/>
    <w:rsid w:val="009E7171"/>
    <w:rsid w:val="009F06CB"/>
    <w:rsid w:val="009F731B"/>
    <w:rsid w:val="009F758B"/>
    <w:rsid w:val="00A01CDB"/>
    <w:rsid w:val="00A10259"/>
    <w:rsid w:val="00A3157F"/>
    <w:rsid w:val="00A35BD3"/>
    <w:rsid w:val="00A44954"/>
    <w:rsid w:val="00A45F0D"/>
    <w:rsid w:val="00A5035B"/>
    <w:rsid w:val="00A507B8"/>
    <w:rsid w:val="00A53711"/>
    <w:rsid w:val="00A601C3"/>
    <w:rsid w:val="00A63B12"/>
    <w:rsid w:val="00A71626"/>
    <w:rsid w:val="00A824AF"/>
    <w:rsid w:val="00A83DE0"/>
    <w:rsid w:val="00A85069"/>
    <w:rsid w:val="00A86A88"/>
    <w:rsid w:val="00A92667"/>
    <w:rsid w:val="00AB388C"/>
    <w:rsid w:val="00AC4F72"/>
    <w:rsid w:val="00AD20FE"/>
    <w:rsid w:val="00AE026E"/>
    <w:rsid w:val="00AE0A3D"/>
    <w:rsid w:val="00AE13FE"/>
    <w:rsid w:val="00AE5BAD"/>
    <w:rsid w:val="00AF256D"/>
    <w:rsid w:val="00B019D2"/>
    <w:rsid w:val="00B14023"/>
    <w:rsid w:val="00B20B32"/>
    <w:rsid w:val="00B329F9"/>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C0AA3"/>
    <w:rsid w:val="00BC43D3"/>
    <w:rsid w:val="00BD4114"/>
    <w:rsid w:val="00BD4C5D"/>
    <w:rsid w:val="00BD4D14"/>
    <w:rsid w:val="00BD6433"/>
    <w:rsid w:val="00BD67D0"/>
    <w:rsid w:val="00BE0DBD"/>
    <w:rsid w:val="00BE6D20"/>
    <w:rsid w:val="00BF78E3"/>
    <w:rsid w:val="00C10CE1"/>
    <w:rsid w:val="00C14009"/>
    <w:rsid w:val="00C16A65"/>
    <w:rsid w:val="00C27475"/>
    <w:rsid w:val="00C348A8"/>
    <w:rsid w:val="00C44346"/>
    <w:rsid w:val="00C47BFB"/>
    <w:rsid w:val="00C61653"/>
    <w:rsid w:val="00C641CB"/>
    <w:rsid w:val="00C65B7C"/>
    <w:rsid w:val="00C667DF"/>
    <w:rsid w:val="00C67B49"/>
    <w:rsid w:val="00C73BA9"/>
    <w:rsid w:val="00C84589"/>
    <w:rsid w:val="00C8595C"/>
    <w:rsid w:val="00C90D45"/>
    <w:rsid w:val="00CA2D04"/>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5233B"/>
    <w:rsid w:val="00D65AAE"/>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E0063E"/>
    <w:rsid w:val="00E01E30"/>
    <w:rsid w:val="00E10C75"/>
    <w:rsid w:val="00E13016"/>
    <w:rsid w:val="00E14C3C"/>
    <w:rsid w:val="00E267E6"/>
    <w:rsid w:val="00E31E29"/>
    <w:rsid w:val="00E31E41"/>
    <w:rsid w:val="00E32368"/>
    <w:rsid w:val="00E42BBE"/>
    <w:rsid w:val="00E53137"/>
    <w:rsid w:val="00E60548"/>
    <w:rsid w:val="00E63487"/>
    <w:rsid w:val="00E65894"/>
    <w:rsid w:val="00E6786C"/>
    <w:rsid w:val="00E73BA3"/>
    <w:rsid w:val="00E76581"/>
    <w:rsid w:val="00E772C0"/>
    <w:rsid w:val="00E77D40"/>
    <w:rsid w:val="00E8135A"/>
    <w:rsid w:val="00E86837"/>
    <w:rsid w:val="00E87B8A"/>
    <w:rsid w:val="00E93113"/>
    <w:rsid w:val="00E936F6"/>
    <w:rsid w:val="00EA395E"/>
    <w:rsid w:val="00EB0968"/>
    <w:rsid w:val="00EC1C57"/>
    <w:rsid w:val="00EC7E0A"/>
    <w:rsid w:val="00ED00AF"/>
    <w:rsid w:val="00ED13F3"/>
    <w:rsid w:val="00ED7949"/>
    <w:rsid w:val="00EE3B7D"/>
    <w:rsid w:val="00EF69D3"/>
    <w:rsid w:val="00EF7293"/>
    <w:rsid w:val="00F14233"/>
    <w:rsid w:val="00F14583"/>
    <w:rsid w:val="00F16547"/>
    <w:rsid w:val="00F16840"/>
    <w:rsid w:val="00F17014"/>
    <w:rsid w:val="00F20B33"/>
    <w:rsid w:val="00F2103E"/>
    <w:rsid w:val="00F239D6"/>
    <w:rsid w:val="00F244A6"/>
    <w:rsid w:val="00F25073"/>
    <w:rsid w:val="00F267E0"/>
    <w:rsid w:val="00F27189"/>
    <w:rsid w:val="00F348B9"/>
    <w:rsid w:val="00F349C6"/>
    <w:rsid w:val="00F37D4B"/>
    <w:rsid w:val="00F37FEE"/>
    <w:rsid w:val="00F443D7"/>
    <w:rsid w:val="00F46717"/>
    <w:rsid w:val="00F6097D"/>
    <w:rsid w:val="00F71990"/>
    <w:rsid w:val="00F77B6D"/>
    <w:rsid w:val="00F77BD9"/>
    <w:rsid w:val="00F816A9"/>
    <w:rsid w:val="00F83629"/>
    <w:rsid w:val="00F87B5D"/>
    <w:rsid w:val="00F923B2"/>
    <w:rsid w:val="00F97382"/>
    <w:rsid w:val="00FA03CA"/>
    <w:rsid w:val="00FA458F"/>
    <w:rsid w:val="00FA4DC9"/>
    <w:rsid w:val="00FB08ED"/>
    <w:rsid w:val="00FC16BC"/>
    <w:rsid w:val="00FC2DCE"/>
    <w:rsid w:val="00FC2EDB"/>
    <w:rsid w:val="00FD039C"/>
    <w:rsid w:val="00FD6454"/>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0091">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8573806">
      <w:bodyDiv w:val="1"/>
      <w:marLeft w:val="0"/>
      <w:marRight w:val="0"/>
      <w:marTop w:val="0"/>
      <w:marBottom w:val="0"/>
      <w:divBdr>
        <w:top w:val="none" w:sz="0" w:space="0" w:color="auto"/>
        <w:left w:val="none" w:sz="0" w:space="0" w:color="auto"/>
        <w:bottom w:val="none" w:sz="0" w:space="0" w:color="auto"/>
        <w:right w:val="none" w:sz="0" w:space="0" w:color="auto"/>
      </w:divBdr>
    </w:div>
    <w:div w:id="29308601">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0634982">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65419791">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5325374">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149973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5191076">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3609333">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6671371">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65984857">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9158559">
      <w:bodyDiv w:val="1"/>
      <w:marLeft w:val="0"/>
      <w:marRight w:val="0"/>
      <w:marTop w:val="0"/>
      <w:marBottom w:val="0"/>
      <w:divBdr>
        <w:top w:val="none" w:sz="0" w:space="0" w:color="auto"/>
        <w:left w:val="none" w:sz="0" w:space="0" w:color="auto"/>
        <w:bottom w:val="none" w:sz="0" w:space="0" w:color="auto"/>
        <w:right w:val="none" w:sz="0" w:space="0" w:color="auto"/>
      </w:divBdr>
    </w:div>
    <w:div w:id="394621886">
      <w:bodyDiv w:val="1"/>
      <w:marLeft w:val="0"/>
      <w:marRight w:val="0"/>
      <w:marTop w:val="0"/>
      <w:marBottom w:val="0"/>
      <w:divBdr>
        <w:top w:val="none" w:sz="0" w:space="0" w:color="auto"/>
        <w:left w:val="none" w:sz="0" w:space="0" w:color="auto"/>
        <w:bottom w:val="none" w:sz="0" w:space="0" w:color="auto"/>
        <w:right w:val="none" w:sz="0" w:space="0" w:color="auto"/>
      </w:divBdr>
    </w:div>
    <w:div w:id="399250195">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3887265">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6142974">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5725667">
      <w:bodyDiv w:val="1"/>
      <w:marLeft w:val="0"/>
      <w:marRight w:val="0"/>
      <w:marTop w:val="0"/>
      <w:marBottom w:val="0"/>
      <w:divBdr>
        <w:top w:val="none" w:sz="0" w:space="0" w:color="auto"/>
        <w:left w:val="none" w:sz="0" w:space="0" w:color="auto"/>
        <w:bottom w:val="none" w:sz="0" w:space="0" w:color="auto"/>
        <w:right w:val="none" w:sz="0" w:space="0" w:color="auto"/>
      </w:divBdr>
    </w:div>
    <w:div w:id="554392187">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1428665">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729672">
      <w:bodyDiv w:val="1"/>
      <w:marLeft w:val="0"/>
      <w:marRight w:val="0"/>
      <w:marTop w:val="0"/>
      <w:marBottom w:val="0"/>
      <w:divBdr>
        <w:top w:val="none" w:sz="0" w:space="0" w:color="auto"/>
        <w:left w:val="none" w:sz="0" w:space="0" w:color="auto"/>
        <w:bottom w:val="none" w:sz="0" w:space="0" w:color="auto"/>
        <w:right w:val="none" w:sz="0" w:space="0" w:color="auto"/>
      </w:divBdr>
    </w:div>
    <w:div w:id="63336732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9677945">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68601061">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4749345">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19596685">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0762245">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51926286">
      <w:bodyDiv w:val="1"/>
      <w:marLeft w:val="0"/>
      <w:marRight w:val="0"/>
      <w:marTop w:val="0"/>
      <w:marBottom w:val="0"/>
      <w:divBdr>
        <w:top w:val="none" w:sz="0" w:space="0" w:color="auto"/>
        <w:left w:val="none" w:sz="0" w:space="0" w:color="auto"/>
        <w:bottom w:val="none" w:sz="0" w:space="0" w:color="auto"/>
        <w:right w:val="none" w:sz="0" w:space="0" w:color="auto"/>
      </w:divBdr>
    </w:div>
    <w:div w:id="773790199">
      <w:bodyDiv w:val="1"/>
      <w:marLeft w:val="0"/>
      <w:marRight w:val="0"/>
      <w:marTop w:val="0"/>
      <w:marBottom w:val="0"/>
      <w:divBdr>
        <w:top w:val="none" w:sz="0" w:space="0" w:color="auto"/>
        <w:left w:val="none" w:sz="0" w:space="0" w:color="auto"/>
        <w:bottom w:val="none" w:sz="0" w:space="0" w:color="auto"/>
        <w:right w:val="none" w:sz="0" w:space="0" w:color="auto"/>
      </w:divBdr>
    </w:div>
    <w:div w:id="775713811">
      <w:bodyDiv w:val="1"/>
      <w:marLeft w:val="0"/>
      <w:marRight w:val="0"/>
      <w:marTop w:val="0"/>
      <w:marBottom w:val="0"/>
      <w:divBdr>
        <w:top w:val="none" w:sz="0" w:space="0" w:color="auto"/>
        <w:left w:val="none" w:sz="0" w:space="0" w:color="auto"/>
        <w:bottom w:val="none" w:sz="0" w:space="0" w:color="auto"/>
        <w:right w:val="none" w:sz="0" w:space="0" w:color="auto"/>
      </w:divBdr>
    </w:div>
    <w:div w:id="805704216">
      <w:bodyDiv w:val="1"/>
      <w:marLeft w:val="0"/>
      <w:marRight w:val="0"/>
      <w:marTop w:val="0"/>
      <w:marBottom w:val="0"/>
      <w:divBdr>
        <w:top w:val="none" w:sz="0" w:space="0" w:color="auto"/>
        <w:left w:val="none" w:sz="0" w:space="0" w:color="auto"/>
        <w:bottom w:val="none" w:sz="0" w:space="0" w:color="auto"/>
        <w:right w:val="none" w:sz="0" w:space="0" w:color="auto"/>
      </w:divBdr>
    </w:div>
    <w:div w:id="806749329">
      <w:bodyDiv w:val="1"/>
      <w:marLeft w:val="0"/>
      <w:marRight w:val="0"/>
      <w:marTop w:val="0"/>
      <w:marBottom w:val="0"/>
      <w:divBdr>
        <w:top w:val="none" w:sz="0" w:space="0" w:color="auto"/>
        <w:left w:val="none" w:sz="0" w:space="0" w:color="auto"/>
        <w:bottom w:val="none" w:sz="0" w:space="0" w:color="auto"/>
        <w:right w:val="none" w:sz="0" w:space="0" w:color="auto"/>
      </w:divBdr>
    </w:div>
    <w:div w:id="807627331">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09713850">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2644521">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1170906">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4732532">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271232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27351676">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001476">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18239368">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43284525">
      <w:bodyDiv w:val="1"/>
      <w:marLeft w:val="0"/>
      <w:marRight w:val="0"/>
      <w:marTop w:val="0"/>
      <w:marBottom w:val="0"/>
      <w:divBdr>
        <w:top w:val="none" w:sz="0" w:space="0" w:color="auto"/>
        <w:left w:val="none" w:sz="0" w:space="0" w:color="auto"/>
        <w:bottom w:val="none" w:sz="0" w:space="0" w:color="auto"/>
        <w:right w:val="none" w:sz="0" w:space="0" w:color="auto"/>
      </w:divBdr>
    </w:div>
    <w:div w:id="1050111593">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714809">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3984927">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751290">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2306839">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77235101">
      <w:bodyDiv w:val="1"/>
      <w:marLeft w:val="0"/>
      <w:marRight w:val="0"/>
      <w:marTop w:val="0"/>
      <w:marBottom w:val="0"/>
      <w:divBdr>
        <w:top w:val="none" w:sz="0" w:space="0" w:color="auto"/>
        <w:left w:val="none" w:sz="0" w:space="0" w:color="auto"/>
        <w:bottom w:val="none" w:sz="0" w:space="0" w:color="auto"/>
        <w:right w:val="none" w:sz="0" w:space="0" w:color="auto"/>
      </w:divBdr>
    </w:div>
    <w:div w:id="1186561154">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0092053">
      <w:bodyDiv w:val="1"/>
      <w:marLeft w:val="0"/>
      <w:marRight w:val="0"/>
      <w:marTop w:val="0"/>
      <w:marBottom w:val="0"/>
      <w:divBdr>
        <w:top w:val="none" w:sz="0" w:space="0" w:color="auto"/>
        <w:left w:val="none" w:sz="0" w:space="0" w:color="auto"/>
        <w:bottom w:val="none" w:sz="0" w:space="0" w:color="auto"/>
        <w:right w:val="none" w:sz="0" w:space="0" w:color="auto"/>
      </w:divBdr>
    </w:div>
    <w:div w:id="1256355974">
      <w:bodyDiv w:val="1"/>
      <w:marLeft w:val="0"/>
      <w:marRight w:val="0"/>
      <w:marTop w:val="0"/>
      <w:marBottom w:val="0"/>
      <w:divBdr>
        <w:top w:val="none" w:sz="0" w:space="0" w:color="auto"/>
        <w:left w:val="none" w:sz="0" w:space="0" w:color="auto"/>
        <w:bottom w:val="none" w:sz="0" w:space="0" w:color="auto"/>
        <w:right w:val="none" w:sz="0" w:space="0" w:color="auto"/>
      </w:divBdr>
    </w:div>
    <w:div w:id="1262298858">
      <w:bodyDiv w:val="1"/>
      <w:marLeft w:val="0"/>
      <w:marRight w:val="0"/>
      <w:marTop w:val="0"/>
      <w:marBottom w:val="0"/>
      <w:divBdr>
        <w:top w:val="none" w:sz="0" w:space="0" w:color="auto"/>
        <w:left w:val="none" w:sz="0" w:space="0" w:color="auto"/>
        <w:bottom w:val="none" w:sz="0" w:space="0" w:color="auto"/>
        <w:right w:val="none" w:sz="0" w:space="0" w:color="auto"/>
      </w:divBdr>
    </w:div>
    <w:div w:id="1262303946">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8345029">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661015">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2685934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8025381">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5084881">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102099">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2725281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63518967">
      <w:bodyDiv w:val="1"/>
      <w:marLeft w:val="0"/>
      <w:marRight w:val="0"/>
      <w:marTop w:val="0"/>
      <w:marBottom w:val="0"/>
      <w:divBdr>
        <w:top w:val="none" w:sz="0" w:space="0" w:color="auto"/>
        <w:left w:val="none" w:sz="0" w:space="0" w:color="auto"/>
        <w:bottom w:val="none" w:sz="0" w:space="0" w:color="auto"/>
        <w:right w:val="none" w:sz="0" w:space="0" w:color="auto"/>
      </w:divBdr>
    </w:div>
    <w:div w:id="1583561685">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5452947">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0672543">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95690945">
      <w:bodyDiv w:val="1"/>
      <w:marLeft w:val="0"/>
      <w:marRight w:val="0"/>
      <w:marTop w:val="0"/>
      <w:marBottom w:val="0"/>
      <w:divBdr>
        <w:top w:val="none" w:sz="0" w:space="0" w:color="auto"/>
        <w:left w:val="none" w:sz="0" w:space="0" w:color="auto"/>
        <w:bottom w:val="none" w:sz="0" w:space="0" w:color="auto"/>
        <w:right w:val="none" w:sz="0" w:space="0" w:color="auto"/>
      </w:divBdr>
    </w:div>
    <w:div w:id="169712127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229161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6025171">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0834667">
      <w:bodyDiv w:val="1"/>
      <w:marLeft w:val="0"/>
      <w:marRight w:val="0"/>
      <w:marTop w:val="0"/>
      <w:marBottom w:val="0"/>
      <w:divBdr>
        <w:top w:val="none" w:sz="0" w:space="0" w:color="auto"/>
        <w:left w:val="none" w:sz="0" w:space="0" w:color="auto"/>
        <w:bottom w:val="none" w:sz="0" w:space="0" w:color="auto"/>
        <w:right w:val="none" w:sz="0" w:space="0" w:color="auto"/>
      </w:divBdr>
    </w:div>
    <w:div w:id="1781028718">
      <w:bodyDiv w:val="1"/>
      <w:marLeft w:val="0"/>
      <w:marRight w:val="0"/>
      <w:marTop w:val="0"/>
      <w:marBottom w:val="0"/>
      <w:divBdr>
        <w:top w:val="none" w:sz="0" w:space="0" w:color="auto"/>
        <w:left w:val="none" w:sz="0" w:space="0" w:color="auto"/>
        <w:bottom w:val="none" w:sz="0" w:space="0" w:color="auto"/>
        <w:right w:val="none" w:sz="0" w:space="0" w:color="auto"/>
      </w:divBdr>
    </w:div>
    <w:div w:id="1788886791">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3673266">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575929">
      <w:bodyDiv w:val="1"/>
      <w:marLeft w:val="0"/>
      <w:marRight w:val="0"/>
      <w:marTop w:val="0"/>
      <w:marBottom w:val="0"/>
      <w:divBdr>
        <w:top w:val="none" w:sz="0" w:space="0" w:color="auto"/>
        <w:left w:val="none" w:sz="0" w:space="0" w:color="auto"/>
        <w:bottom w:val="none" w:sz="0" w:space="0" w:color="auto"/>
        <w:right w:val="none" w:sz="0" w:space="0" w:color="auto"/>
      </w:divBdr>
    </w:div>
    <w:div w:id="1951744443">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882481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5617134">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796630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0027564">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3</b:RefOrder>
  </b:Source>
  <b:Source>
    <b:Tag>23303</b:Tag>
    <b:SourceType>ConferenceProceedings</b:SourceType>
    <b:Guid>{8A873B2A-F997-4EEB-82C4-2685B7AE72B7}</b:Guid>
    <b:Title>TS 23.303, Proximity-based services (ProSe); Stage 2</b:Title>
    <b:RefOrder>5</b:RefOrder>
  </b:Source>
  <b:Source>
    <b:Tag>V2Xsurvey</b:Tag>
    <b:SourceType>ConferenceProceedings</b:SourceType>
    <b:Guid>{F0B12256-AD28-41B3-A6F3-AE2CCF356CA8}</b:Guid>
    <b:Title>D. Jia, K. Lu, J. Wang, X. Zhang and X. Shen, A Survey on Platoon-Based Vehicular Cyber-Physical Systems</b:Title>
    <b:RefOrder>6</b:RefOrder>
  </b:Source>
  <b:Source>
    <b:Tag>23786</b:Tag>
    <b:SourceType>ConferenceProceedings</b:SourceType>
    <b:Guid>{0C19B50A-01BF-45FE-B784-458827B420C3}</b:Guid>
    <b:Title>TR 23.786, Study on architecture enhancements for EPS and 5G System to support advanced V2X services</b:Title>
    <b:RefOrder>4</b:RefOrder>
  </b:Source>
  <b:Source>
    <b:Tag>ConnMgmtDiscoverydetails</b:Tag>
    <b:SourceType>ConferenceProceedings</b:SourceType>
    <b:Guid>{180952EE-BBB7-4436-AD8B-44C7A16FF634}</b:Guid>
    <b:Title>R2-1814056, Connection management aspects for NR SL V2X design, Intel Corporation</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7994855C-7E2C-43E0-8902-433388EA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7920</TotalTime>
  <Pages>3</Pages>
  <Words>1436</Words>
  <Characters>7838</Characters>
  <Application>Microsoft Office Word</Application>
  <DocSecurity>0</DocSecurity>
  <Lines>129</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307</cp:revision>
  <dcterms:created xsi:type="dcterms:W3CDTF">2017-08-12T02:26:00Z</dcterms:created>
  <dcterms:modified xsi:type="dcterms:W3CDTF">2018-09-28T04:28:00Z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4a4b5e4f-564b-4fe4-97f7-1820cc1901f5</vt:lpwstr>
  </property>
  <property fmtid="{D5CDD505-2E9C-101B-9397-08002B2CF9AE}" pid="4" name="CTP_BU">
    <vt:lpwstr>NA</vt:lpwstr>
  </property>
  <property fmtid="{D5CDD505-2E9C-101B-9397-08002B2CF9AE}" pid="5" name="CTP_TimeStamp">
    <vt:lpwstr>2018-09-28 04:28:05Z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