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5A5122" w14:textId="4E54BB2F" w:rsidR="00463675" w:rsidRDefault="00AC4EF3">
      <w:pPr>
        <w:pStyle w:val="a3"/>
        <w:tabs>
          <w:tab w:val="clear" w:pos="8306"/>
          <w:tab w:val="right" w:pos="7088"/>
          <w:tab w:val="right" w:pos="9781"/>
        </w:tabs>
        <w:rPr>
          <w:rFonts w:ascii="Arial" w:hAnsi="Arial" w:cs="Arial"/>
          <w:b/>
          <w:bCs/>
          <w:sz w:val="22"/>
          <w:lang w:eastAsia="ja-JP"/>
        </w:rPr>
      </w:pPr>
      <w:r>
        <w:rPr>
          <w:rFonts w:ascii="Arial" w:hAnsi="Arial" w:cs="Arial"/>
          <w:b/>
          <w:bCs/>
          <w:sz w:val="22"/>
        </w:rPr>
        <w:t>3GPP TSG-RAN WG2 Meeting #103</w:t>
      </w:r>
      <w:r w:rsidR="00463675">
        <w:rPr>
          <w:rFonts w:ascii="Arial" w:hAnsi="Arial" w:cs="Arial"/>
          <w:b/>
          <w:bCs/>
          <w:sz w:val="22"/>
        </w:rPr>
        <w:tab/>
      </w:r>
      <w:bookmarkStart w:id="0" w:name="_GoBack"/>
      <w:bookmarkEnd w:id="0"/>
      <w:r w:rsidR="00463675">
        <w:rPr>
          <w:rFonts w:ascii="Arial" w:hAnsi="Arial" w:cs="Arial"/>
          <w:b/>
          <w:bCs/>
          <w:sz w:val="22"/>
        </w:rPr>
        <w:tab/>
      </w:r>
      <w:r w:rsidR="00463675">
        <w:rPr>
          <w:rFonts w:ascii="Arial" w:hAnsi="Arial" w:cs="Arial"/>
          <w:b/>
          <w:bCs/>
          <w:sz w:val="22"/>
        </w:rPr>
        <w:tab/>
        <w:t xml:space="preserve">Tdoc </w:t>
      </w:r>
      <w:r>
        <w:rPr>
          <w:rFonts w:ascii="Arial" w:hAnsi="Arial" w:cs="Arial"/>
          <w:b/>
          <w:bCs/>
          <w:sz w:val="22"/>
        </w:rPr>
        <w:t>R2-181</w:t>
      </w:r>
      <w:r w:rsidR="006F05EE">
        <w:rPr>
          <w:rFonts w:ascii="Arial" w:hAnsi="Arial" w:cs="Arial" w:hint="eastAsia"/>
          <w:b/>
          <w:bCs/>
          <w:sz w:val="22"/>
          <w:lang w:eastAsia="ja-JP"/>
        </w:rPr>
        <w:t>3</w:t>
      </w:r>
      <w:r w:rsidR="006F05EE">
        <w:rPr>
          <w:rFonts w:ascii="Arial" w:hAnsi="Arial" w:cs="Arial"/>
          <w:b/>
          <w:bCs/>
          <w:sz w:val="22"/>
          <w:lang w:eastAsia="ja-JP"/>
        </w:rPr>
        <w:t>360</w:t>
      </w:r>
    </w:p>
    <w:p w14:paraId="5CE73920" w14:textId="34D1CFF0" w:rsidR="00463675" w:rsidRDefault="00AC4EF3">
      <w:pPr>
        <w:pStyle w:val="a3"/>
        <w:tabs>
          <w:tab w:val="clear" w:pos="8306"/>
          <w:tab w:val="right" w:pos="9639"/>
        </w:tabs>
        <w:rPr>
          <w:rFonts w:ascii="Arial" w:hAnsi="Arial" w:cs="Arial"/>
          <w:b/>
          <w:bCs/>
          <w:sz w:val="22"/>
        </w:rPr>
      </w:pPr>
      <w:r>
        <w:rPr>
          <w:rFonts w:ascii="Arial" w:hAnsi="Arial" w:cs="Arial"/>
          <w:b/>
          <w:bCs/>
          <w:sz w:val="22"/>
        </w:rPr>
        <w:t>Gothenburg</w:t>
      </w:r>
      <w:r w:rsidR="00463675">
        <w:rPr>
          <w:rFonts w:ascii="Arial" w:hAnsi="Arial" w:cs="Arial"/>
          <w:b/>
          <w:bCs/>
          <w:sz w:val="22"/>
        </w:rPr>
        <w:t xml:space="preserve">, </w:t>
      </w:r>
      <w:r>
        <w:rPr>
          <w:rFonts w:ascii="Arial" w:hAnsi="Arial" w:cs="Arial"/>
          <w:b/>
          <w:bCs/>
          <w:sz w:val="22"/>
        </w:rPr>
        <w:t>Sweden</w:t>
      </w:r>
      <w:r w:rsidR="00463675">
        <w:rPr>
          <w:rFonts w:ascii="Arial" w:hAnsi="Arial" w:cs="Arial"/>
          <w:b/>
          <w:bCs/>
          <w:sz w:val="22"/>
        </w:rPr>
        <w:t xml:space="preserve">, </w:t>
      </w:r>
      <w:r>
        <w:rPr>
          <w:rFonts w:ascii="Arial" w:hAnsi="Arial" w:cs="Arial"/>
          <w:b/>
          <w:bCs/>
          <w:sz w:val="22"/>
        </w:rPr>
        <w:t>20</w:t>
      </w:r>
      <w:r w:rsidRPr="00AC4EF3">
        <w:rPr>
          <w:rFonts w:ascii="Arial" w:hAnsi="Arial" w:cs="Arial"/>
          <w:b/>
          <w:bCs/>
          <w:sz w:val="22"/>
          <w:vertAlign w:val="superscript"/>
        </w:rPr>
        <w:t>th</w:t>
      </w:r>
      <w:r>
        <w:rPr>
          <w:rFonts w:ascii="Arial" w:hAnsi="Arial" w:cs="Arial"/>
          <w:b/>
          <w:bCs/>
          <w:sz w:val="22"/>
        </w:rPr>
        <w:t xml:space="preserve"> – 24</w:t>
      </w:r>
      <w:r w:rsidRPr="00AC4EF3">
        <w:rPr>
          <w:rFonts w:ascii="Arial" w:hAnsi="Arial" w:cs="Arial"/>
          <w:b/>
          <w:bCs/>
          <w:sz w:val="22"/>
          <w:vertAlign w:val="superscript"/>
        </w:rPr>
        <w:t>th</w:t>
      </w:r>
      <w:r>
        <w:rPr>
          <w:rFonts w:ascii="Arial" w:hAnsi="Arial" w:cs="Arial"/>
          <w:b/>
          <w:bCs/>
          <w:sz w:val="22"/>
        </w:rPr>
        <w:t xml:space="preserve"> August 2018</w:t>
      </w:r>
      <w:r w:rsidR="00463675">
        <w:rPr>
          <w:rFonts w:ascii="Arial" w:hAnsi="Arial" w:cs="Arial"/>
          <w:b/>
          <w:bCs/>
          <w:sz w:val="22"/>
        </w:rPr>
        <w:t>.</w:t>
      </w:r>
    </w:p>
    <w:p w14:paraId="2D876E2C" w14:textId="77777777" w:rsidR="00463675" w:rsidRDefault="00463675">
      <w:pPr>
        <w:rPr>
          <w:rFonts w:ascii="Arial" w:hAnsi="Arial" w:cs="Arial"/>
        </w:rPr>
      </w:pPr>
    </w:p>
    <w:p w14:paraId="3F9A56E4" w14:textId="4EE5C46E" w:rsidR="00463675" w:rsidRPr="00CD6B84" w:rsidRDefault="00463675">
      <w:pPr>
        <w:spacing w:after="60"/>
        <w:ind w:left="1985" w:hanging="1985"/>
        <w:rPr>
          <w:rFonts w:ascii="Arial" w:hAnsi="Arial" w:cs="Arial"/>
          <w:bCs/>
        </w:rPr>
      </w:pPr>
      <w:r>
        <w:rPr>
          <w:rFonts w:ascii="Arial" w:hAnsi="Arial" w:cs="Arial"/>
          <w:b/>
        </w:rPr>
        <w:t>Title:</w:t>
      </w:r>
      <w:r>
        <w:rPr>
          <w:rFonts w:ascii="Arial" w:hAnsi="Arial" w:cs="Arial"/>
          <w:b/>
        </w:rPr>
        <w:tab/>
      </w:r>
      <w:commentRangeStart w:id="1"/>
      <w:r>
        <w:rPr>
          <w:rFonts w:ascii="Arial" w:hAnsi="Arial" w:cs="Arial"/>
          <w:b/>
          <w:color w:val="FF0000"/>
        </w:rPr>
        <w:t>[DRAFT]</w:t>
      </w:r>
      <w:commentRangeEnd w:id="1"/>
      <w:r>
        <w:rPr>
          <w:rStyle w:val="a8"/>
          <w:rFonts w:ascii="Arial" w:hAnsi="Arial"/>
          <w:vanish/>
          <w:sz w:val="20"/>
        </w:rPr>
        <w:commentReference w:id="1"/>
      </w:r>
      <w:r w:rsidR="00CD6B84">
        <w:rPr>
          <w:rFonts w:ascii="Arial" w:hAnsi="Arial" w:cs="Arial"/>
          <w:bCs/>
          <w:color w:val="FF0000"/>
        </w:rPr>
        <w:t xml:space="preserve"> </w:t>
      </w:r>
      <w:r w:rsidR="00CD6B84" w:rsidRPr="00CD6B84">
        <w:rPr>
          <w:rFonts w:ascii="Arial" w:hAnsi="Arial" w:cs="Arial"/>
          <w:bCs/>
        </w:rPr>
        <w:t>LS on capability signalling for intra-band non-contiguous band combination</w:t>
      </w:r>
      <w:r w:rsidR="00021499">
        <w:rPr>
          <w:rFonts w:ascii="Arial" w:hAnsi="Arial" w:cs="Arial"/>
          <w:bCs/>
        </w:rPr>
        <w:t xml:space="preserve"> and handling of contiguous EN-DC across LTE and NR</w:t>
      </w:r>
    </w:p>
    <w:p w14:paraId="1F04388E" w14:textId="08AE186A" w:rsidR="00463675" w:rsidRPr="00CD6B84" w:rsidRDefault="00463675">
      <w:pPr>
        <w:spacing w:after="60"/>
        <w:ind w:left="1985" w:hanging="1985"/>
        <w:rPr>
          <w:rFonts w:ascii="Arial" w:hAnsi="Arial" w:cs="Arial"/>
          <w:bCs/>
        </w:rPr>
      </w:pPr>
      <w:r w:rsidRPr="00CD6B84">
        <w:rPr>
          <w:rFonts w:ascii="Arial" w:hAnsi="Arial" w:cs="Arial"/>
          <w:b/>
        </w:rPr>
        <w:t>Response to:</w:t>
      </w:r>
      <w:r w:rsidRPr="00CD6B84">
        <w:rPr>
          <w:rFonts w:ascii="Arial" w:hAnsi="Arial" w:cs="Arial"/>
          <w:bCs/>
        </w:rPr>
        <w:tab/>
      </w:r>
    </w:p>
    <w:p w14:paraId="7FFA5D40" w14:textId="55E83F89" w:rsidR="00463675" w:rsidRPr="00CD6B84" w:rsidRDefault="00463675">
      <w:pPr>
        <w:spacing w:after="60"/>
        <w:ind w:left="1985" w:hanging="1985"/>
        <w:rPr>
          <w:rFonts w:ascii="Arial" w:hAnsi="Arial" w:cs="Arial"/>
          <w:bCs/>
        </w:rPr>
      </w:pPr>
      <w:r w:rsidRPr="00CD6B84">
        <w:rPr>
          <w:rFonts w:ascii="Arial" w:hAnsi="Arial" w:cs="Arial"/>
          <w:b/>
        </w:rPr>
        <w:t>Release:</w:t>
      </w:r>
      <w:r w:rsidRPr="00CD6B84">
        <w:rPr>
          <w:rFonts w:ascii="Arial" w:hAnsi="Arial" w:cs="Arial"/>
          <w:bCs/>
        </w:rPr>
        <w:tab/>
        <w:t xml:space="preserve">Release </w:t>
      </w:r>
      <w:r w:rsidR="00CD6B84" w:rsidRPr="00CD6B84">
        <w:rPr>
          <w:rFonts w:ascii="Arial" w:hAnsi="Arial" w:cs="Arial"/>
          <w:bCs/>
        </w:rPr>
        <w:t>15</w:t>
      </w:r>
    </w:p>
    <w:p w14:paraId="42D84CE5" w14:textId="6DE7C084" w:rsidR="00463675" w:rsidRPr="00CD6B84" w:rsidRDefault="00463675">
      <w:pPr>
        <w:spacing w:after="60"/>
        <w:ind w:left="1985" w:hanging="1985"/>
        <w:rPr>
          <w:rFonts w:ascii="Arial" w:hAnsi="Arial" w:cs="Arial"/>
          <w:bCs/>
        </w:rPr>
      </w:pPr>
      <w:r w:rsidRPr="00CD6B84">
        <w:rPr>
          <w:rFonts w:ascii="Arial" w:hAnsi="Arial" w:cs="Arial"/>
          <w:b/>
        </w:rPr>
        <w:t>Work Item:</w:t>
      </w:r>
      <w:r w:rsidRPr="00CD6B84">
        <w:rPr>
          <w:rFonts w:ascii="Arial" w:hAnsi="Arial" w:cs="Arial"/>
          <w:bCs/>
        </w:rPr>
        <w:tab/>
      </w:r>
      <w:r w:rsidR="00CD6B84" w:rsidRPr="00CD6B84">
        <w:rPr>
          <w:rFonts w:ascii="Arial" w:hAnsi="Arial" w:cs="Arial"/>
          <w:bCs/>
        </w:rPr>
        <w:t>NR_newRAT-Core</w:t>
      </w:r>
    </w:p>
    <w:p w14:paraId="7F0AD5B6" w14:textId="77777777" w:rsidR="00463675" w:rsidRPr="00CD6B84" w:rsidRDefault="00463675">
      <w:pPr>
        <w:spacing w:after="60"/>
        <w:ind w:left="1985" w:hanging="1985"/>
        <w:rPr>
          <w:rFonts w:ascii="Arial" w:hAnsi="Arial" w:cs="Arial"/>
          <w:b/>
        </w:rPr>
      </w:pPr>
    </w:p>
    <w:p w14:paraId="5DB5B63B" w14:textId="47F54F68" w:rsidR="00463675" w:rsidRPr="00CD6B84" w:rsidRDefault="00463675">
      <w:pPr>
        <w:spacing w:after="60"/>
        <w:ind w:left="1985" w:hanging="1985"/>
        <w:rPr>
          <w:rFonts w:ascii="Arial" w:hAnsi="Arial" w:cs="Arial"/>
          <w:bCs/>
        </w:rPr>
      </w:pPr>
      <w:r w:rsidRPr="00CD6B84">
        <w:rPr>
          <w:rFonts w:ascii="Arial" w:hAnsi="Arial" w:cs="Arial"/>
          <w:b/>
        </w:rPr>
        <w:t>Source:</w:t>
      </w:r>
      <w:r w:rsidR="00CD6B84" w:rsidRPr="00CD6B84">
        <w:rPr>
          <w:rFonts w:ascii="Arial" w:hAnsi="Arial" w:cs="Arial"/>
          <w:bCs/>
        </w:rPr>
        <w:tab/>
        <w:t>NTT DOCOMO, INC. (to be RAN2)</w:t>
      </w:r>
    </w:p>
    <w:p w14:paraId="1F1CCCE1" w14:textId="201D6F9A" w:rsidR="00463675" w:rsidRPr="00CD6B84" w:rsidRDefault="00463675">
      <w:pPr>
        <w:spacing w:after="60"/>
        <w:ind w:left="1985" w:hanging="1985"/>
        <w:rPr>
          <w:rFonts w:ascii="Arial" w:hAnsi="Arial" w:cs="Arial"/>
          <w:bCs/>
        </w:rPr>
      </w:pPr>
      <w:r w:rsidRPr="00CD6B84">
        <w:rPr>
          <w:rFonts w:ascii="Arial" w:hAnsi="Arial" w:cs="Arial"/>
          <w:b/>
        </w:rPr>
        <w:t>To:</w:t>
      </w:r>
      <w:r w:rsidRPr="00CD6B84">
        <w:rPr>
          <w:rFonts w:ascii="Arial" w:hAnsi="Arial" w:cs="Arial"/>
          <w:bCs/>
        </w:rPr>
        <w:tab/>
      </w:r>
      <w:r w:rsidR="00CD6B84" w:rsidRPr="00CD6B84">
        <w:rPr>
          <w:rFonts w:ascii="Arial" w:hAnsi="Arial" w:cs="Arial"/>
          <w:bCs/>
        </w:rPr>
        <w:t>RAN4</w:t>
      </w:r>
    </w:p>
    <w:p w14:paraId="2EEC863E" w14:textId="244F1D58"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42E6BC55" w14:textId="77777777" w:rsidR="00463675" w:rsidRDefault="00463675">
      <w:pPr>
        <w:spacing w:after="60"/>
        <w:ind w:left="1985" w:hanging="1985"/>
        <w:rPr>
          <w:rFonts w:ascii="Arial" w:hAnsi="Arial" w:cs="Arial"/>
          <w:bCs/>
        </w:rPr>
      </w:pPr>
    </w:p>
    <w:p w14:paraId="28D3F17B"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65E3C509" w14:textId="5ABD5836" w:rsidR="00463675" w:rsidRDefault="00463675">
      <w:pPr>
        <w:pStyle w:val="4"/>
        <w:tabs>
          <w:tab w:val="left" w:pos="2268"/>
        </w:tabs>
        <w:ind w:left="567"/>
        <w:rPr>
          <w:rFonts w:cs="Arial"/>
          <w:b w:val="0"/>
          <w:bCs/>
        </w:rPr>
      </w:pPr>
      <w:r>
        <w:rPr>
          <w:rFonts w:cs="Arial"/>
        </w:rPr>
        <w:t>Name:</w:t>
      </w:r>
      <w:r>
        <w:rPr>
          <w:rFonts w:cs="Arial"/>
          <w:b w:val="0"/>
          <w:bCs/>
        </w:rPr>
        <w:tab/>
      </w:r>
      <w:r w:rsidR="00F748B1">
        <w:rPr>
          <w:rFonts w:cs="Arial"/>
          <w:b w:val="0"/>
          <w:bCs/>
        </w:rPr>
        <w:t>Hideaki Takahashi</w:t>
      </w:r>
    </w:p>
    <w:p w14:paraId="6E0AE3CD" w14:textId="0FDD8787" w:rsidR="00463675" w:rsidRDefault="00463675">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r w:rsidR="00F748B1">
        <w:rPr>
          <w:rFonts w:ascii="Arial" w:hAnsi="Arial" w:cs="Arial"/>
          <w:bCs/>
        </w:rPr>
        <w:t>+81 46 840 3190</w:t>
      </w:r>
    </w:p>
    <w:p w14:paraId="32D22124" w14:textId="0883554A" w:rsidR="00463675" w:rsidRDefault="00463675">
      <w:pPr>
        <w:pStyle w:val="7"/>
        <w:tabs>
          <w:tab w:val="left" w:pos="2268"/>
        </w:tabs>
        <w:ind w:left="567"/>
        <w:rPr>
          <w:rFonts w:cs="Arial"/>
          <w:b w:val="0"/>
          <w:bCs/>
        </w:rPr>
      </w:pPr>
      <w:r>
        <w:rPr>
          <w:rFonts w:cs="Arial"/>
        </w:rPr>
        <w:t>E-mail Address:</w:t>
      </w:r>
      <w:r>
        <w:rPr>
          <w:rFonts w:cs="Arial"/>
          <w:b w:val="0"/>
          <w:bCs/>
        </w:rPr>
        <w:tab/>
      </w:r>
      <w:r w:rsidR="00F748B1">
        <w:rPr>
          <w:rFonts w:cs="Arial"/>
          <w:b w:val="0"/>
          <w:bCs/>
        </w:rPr>
        <w:t>hideaki dot takahashi dot vx at nttdocomo dot com</w:t>
      </w:r>
    </w:p>
    <w:p w14:paraId="424E2AAF" w14:textId="77777777" w:rsidR="00463675" w:rsidRDefault="00463675">
      <w:pPr>
        <w:spacing w:after="60"/>
        <w:ind w:left="1985" w:hanging="1985"/>
        <w:rPr>
          <w:rFonts w:ascii="Arial" w:hAnsi="Arial" w:cs="Arial"/>
          <w:b/>
        </w:rPr>
      </w:pPr>
    </w:p>
    <w:p w14:paraId="4BC855CA"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9" w:history="1">
        <w:r w:rsidRPr="007D3A93">
          <w:rPr>
            <w:rStyle w:val="ac"/>
            <w:rFonts w:ascii="Arial" w:hAnsi="Arial" w:cs="Arial"/>
            <w:b/>
          </w:rPr>
          <w:t>mailto:3GPPLiaison@etsi.org</w:t>
        </w:r>
      </w:hyperlink>
      <w:r>
        <w:rPr>
          <w:rFonts w:ascii="Arial" w:hAnsi="Arial" w:cs="Arial"/>
          <w:b/>
        </w:rPr>
        <w:t xml:space="preserve"> </w:t>
      </w:r>
      <w:r>
        <w:rPr>
          <w:rFonts w:ascii="Arial" w:hAnsi="Arial" w:cs="Arial"/>
          <w:bCs/>
        </w:rPr>
        <w:tab/>
      </w:r>
    </w:p>
    <w:p w14:paraId="5F8FF488" w14:textId="77777777" w:rsidR="00923E7C" w:rsidRDefault="00923E7C">
      <w:pPr>
        <w:spacing w:after="60"/>
        <w:ind w:left="1985" w:hanging="1985"/>
        <w:rPr>
          <w:rFonts w:ascii="Arial" w:hAnsi="Arial" w:cs="Arial"/>
          <w:b/>
        </w:rPr>
      </w:pPr>
    </w:p>
    <w:p w14:paraId="30A4F08E" w14:textId="5DC02968"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42AD47AF" w14:textId="77777777" w:rsidR="00463675" w:rsidRDefault="00463675">
      <w:pPr>
        <w:pBdr>
          <w:bottom w:val="single" w:sz="4" w:space="1" w:color="auto"/>
        </w:pBdr>
        <w:rPr>
          <w:rFonts w:ascii="Arial" w:hAnsi="Arial" w:cs="Arial"/>
        </w:rPr>
      </w:pPr>
    </w:p>
    <w:p w14:paraId="0CA3E516" w14:textId="77777777" w:rsidR="00463675" w:rsidRDefault="00463675">
      <w:pPr>
        <w:rPr>
          <w:rFonts w:ascii="Arial" w:hAnsi="Arial" w:cs="Arial"/>
        </w:rPr>
      </w:pPr>
    </w:p>
    <w:p w14:paraId="06982EAC" w14:textId="4B148316" w:rsidR="00463675" w:rsidRDefault="00463675">
      <w:pPr>
        <w:spacing w:after="120"/>
        <w:rPr>
          <w:rFonts w:ascii="Arial" w:hAnsi="Arial" w:cs="Arial"/>
          <w:b/>
        </w:rPr>
      </w:pPr>
      <w:r>
        <w:rPr>
          <w:rFonts w:ascii="Arial" w:hAnsi="Arial" w:cs="Arial"/>
          <w:b/>
        </w:rPr>
        <w:t xml:space="preserve">1. </w:t>
      </w:r>
      <w:r w:rsidR="00021499">
        <w:rPr>
          <w:rFonts w:ascii="Arial" w:hAnsi="Arial" w:cs="Arial"/>
          <w:b/>
        </w:rPr>
        <w:t>Intra-band non-contiguous CA signalling</w:t>
      </w:r>
    </w:p>
    <w:p w14:paraId="797AA3B5" w14:textId="713F039B" w:rsidR="00A87791" w:rsidRDefault="00CB4440">
      <w:pPr>
        <w:pStyle w:val="a3"/>
        <w:tabs>
          <w:tab w:val="clear" w:pos="4153"/>
          <w:tab w:val="clear" w:pos="8306"/>
        </w:tabs>
        <w:rPr>
          <w:rFonts w:ascii="Arial" w:hAnsi="Arial" w:cs="Arial"/>
        </w:rPr>
      </w:pPr>
      <w:r>
        <w:rPr>
          <w:rFonts w:ascii="Arial" w:hAnsi="Arial" w:cs="Arial"/>
        </w:rPr>
        <w:t xml:space="preserve">LTE CA supports the mechanism to reduce the capability signalling size of intra-band non-contiguous band combinations, </w:t>
      </w:r>
      <w:r w:rsidR="00B22C74">
        <w:rPr>
          <w:rFonts w:ascii="Arial" w:hAnsi="Arial" w:cs="Arial"/>
        </w:rPr>
        <w:t xml:space="preserve">a.k.a. </w:t>
      </w:r>
      <w:r w:rsidR="00707DD4" w:rsidRPr="00707DD4">
        <w:rPr>
          <w:rFonts w:ascii="Arial" w:hAnsi="Arial" w:cs="Arial"/>
          <w:i/>
        </w:rPr>
        <w:t>reducedIntNonContComb</w:t>
      </w:r>
      <w:r w:rsidR="00707DD4">
        <w:rPr>
          <w:rFonts w:ascii="Arial" w:hAnsi="Arial" w:cs="Arial"/>
        </w:rPr>
        <w:t xml:space="preserve"> (see section </w:t>
      </w:r>
      <w:r w:rsidR="00041FA8">
        <w:rPr>
          <w:rFonts w:ascii="Arial" w:hAnsi="Arial" w:cs="Arial"/>
        </w:rPr>
        <w:t xml:space="preserve">5 </w:t>
      </w:r>
      <w:r w:rsidR="00707DD4">
        <w:rPr>
          <w:rFonts w:ascii="Arial" w:hAnsi="Arial" w:cs="Arial"/>
        </w:rPr>
        <w:t>for reference).</w:t>
      </w:r>
      <w:r w:rsidR="005C67A4">
        <w:rPr>
          <w:rFonts w:ascii="Arial" w:hAnsi="Arial" w:cs="Arial"/>
        </w:rPr>
        <w:t xml:space="preserve"> </w:t>
      </w:r>
      <w:r w:rsidR="009E15B4" w:rsidRPr="009E15B4">
        <w:rPr>
          <w:rFonts w:ascii="Arial" w:hAnsi="Arial" w:cs="Arial"/>
        </w:rPr>
        <w:t>By this mechanism the UE can reduce the explicitly listed intra-band contiguous band combinations. Since it was introduced in a later release of LTE, the UE had to indicate that it supports this reduced signalling by a UE capability bit and the eNB had to indicate that it understands the reduced signalling, too.</w:t>
      </w:r>
    </w:p>
    <w:p w14:paraId="319E1E68" w14:textId="1A0146DD" w:rsidR="005302FB" w:rsidRDefault="005302FB">
      <w:pPr>
        <w:pStyle w:val="a3"/>
        <w:tabs>
          <w:tab w:val="clear" w:pos="4153"/>
          <w:tab w:val="clear" w:pos="8306"/>
        </w:tabs>
        <w:rPr>
          <w:rFonts w:ascii="Arial" w:hAnsi="Arial" w:cs="Arial"/>
        </w:rPr>
      </w:pPr>
    </w:p>
    <w:p w14:paraId="3E083FE9" w14:textId="703A781A" w:rsidR="005302FB" w:rsidRDefault="005302FB">
      <w:pPr>
        <w:pStyle w:val="a3"/>
        <w:tabs>
          <w:tab w:val="clear" w:pos="4153"/>
          <w:tab w:val="clear" w:pos="8306"/>
        </w:tabs>
        <w:rPr>
          <w:rFonts w:ascii="Arial" w:hAnsi="Arial" w:cs="Arial"/>
        </w:rPr>
      </w:pPr>
      <w:r>
        <w:rPr>
          <w:rFonts w:ascii="Arial" w:hAnsi="Arial" w:cs="Arial"/>
        </w:rPr>
        <w:t xml:space="preserve">RAN2 discussed whether </w:t>
      </w:r>
      <w:r w:rsidR="003A26D6">
        <w:rPr>
          <w:rFonts w:ascii="Arial" w:hAnsi="Arial" w:cs="Arial"/>
        </w:rPr>
        <w:t xml:space="preserve">the same signalling reduction scheme should be supported for NR as </w:t>
      </w:r>
      <w:r w:rsidR="003A26D6" w:rsidRPr="007A04BB">
        <w:rPr>
          <w:rFonts w:ascii="Arial" w:hAnsi="Arial" w:cs="Arial"/>
          <w:b/>
        </w:rPr>
        <w:t>default</w:t>
      </w:r>
      <w:r w:rsidR="003A26D6">
        <w:rPr>
          <w:rFonts w:ascii="Arial" w:hAnsi="Arial" w:cs="Arial"/>
        </w:rPr>
        <w:t xml:space="preserve"> UE behaviour. To conclude, RAN4 feedback is deemed as necessary, since RAN2 introduced the </w:t>
      </w:r>
      <w:r w:rsidR="003A26D6" w:rsidRPr="003A26D6">
        <w:rPr>
          <w:rFonts w:ascii="Arial" w:hAnsi="Arial" w:cs="Arial"/>
          <w:i/>
        </w:rPr>
        <w:t>reducedIntNonContComb</w:t>
      </w:r>
      <w:r w:rsidR="003A26D6">
        <w:rPr>
          <w:rFonts w:ascii="Arial" w:hAnsi="Arial" w:cs="Arial"/>
        </w:rPr>
        <w:t xml:space="preserve"> for LTE based on RAN4 input.</w:t>
      </w:r>
    </w:p>
    <w:p w14:paraId="4A90F758" w14:textId="77777777" w:rsidR="00021499" w:rsidRDefault="00021499">
      <w:pPr>
        <w:pStyle w:val="a3"/>
        <w:tabs>
          <w:tab w:val="clear" w:pos="4153"/>
          <w:tab w:val="clear" w:pos="8306"/>
        </w:tabs>
        <w:rPr>
          <w:rFonts w:ascii="Arial" w:hAnsi="Arial" w:cs="Arial"/>
        </w:rPr>
      </w:pPr>
    </w:p>
    <w:p w14:paraId="2E155480" w14:textId="6A775A20" w:rsidR="00021499" w:rsidRDefault="00021499" w:rsidP="00021499">
      <w:pPr>
        <w:spacing w:after="120"/>
        <w:rPr>
          <w:rFonts w:ascii="Arial" w:hAnsi="Arial" w:cs="Arial"/>
          <w:b/>
        </w:rPr>
      </w:pPr>
      <w:r>
        <w:rPr>
          <w:rFonts w:ascii="Arial" w:hAnsi="Arial" w:cs="Arial"/>
          <w:b/>
        </w:rPr>
        <w:t>2. Handling of TA in Synchronous EN-DC</w:t>
      </w:r>
    </w:p>
    <w:p w14:paraId="7532AF53" w14:textId="623ACC3B" w:rsidR="00021499" w:rsidRDefault="00021499" w:rsidP="00021499">
      <w:pPr>
        <w:pStyle w:val="a3"/>
        <w:tabs>
          <w:tab w:val="clear" w:pos="4153"/>
          <w:tab w:val="clear" w:pos="8306"/>
        </w:tabs>
        <w:rPr>
          <w:rFonts w:ascii="Arial" w:hAnsi="Arial" w:cs="Arial"/>
        </w:rPr>
      </w:pPr>
      <w:r>
        <w:rPr>
          <w:rFonts w:ascii="Arial" w:hAnsi="Arial" w:cs="Arial"/>
        </w:rPr>
        <w:t>RAN4 has defined some EN-DC combinations which are termed synchronous, where LTE and NR are time-aligned. RAN4 has also defined some EN-DC combinations where the spectrum is contiguous across LTE and NR, which also results in synchronous EN-DC configuration.</w:t>
      </w:r>
    </w:p>
    <w:p w14:paraId="374A9605" w14:textId="77777777" w:rsidR="00021499" w:rsidRDefault="00021499" w:rsidP="00021499">
      <w:pPr>
        <w:pStyle w:val="a3"/>
        <w:tabs>
          <w:tab w:val="clear" w:pos="4153"/>
          <w:tab w:val="clear" w:pos="8306"/>
        </w:tabs>
        <w:rPr>
          <w:rFonts w:ascii="Arial" w:hAnsi="Arial" w:cs="Arial"/>
        </w:rPr>
      </w:pPr>
    </w:p>
    <w:p w14:paraId="0586112C" w14:textId="4FFC179B" w:rsidR="0093398A" w:rsidRDefault="0093398A" w:rsidP="00021499">
      <w:pPr>
        <w:pStyle w:val="a3"/>
        <w:tabs>
          <w:tab w:val="clear" w:pos="4153"/>
          <w:tab w:val="clear" w:pos="8306"/>
        </w:tabs>
        <w:rPr>
          <w:rFonts w:ascii="Arial" w:hAnsi="Arial" w:cs="Arial"/>
        </w:rPr>
      </w:pPr>
      <w:r>
        <w:rPr>
          <w:rFonts w:ascii="Arial" w:hAnsi="Arial" w:cs="Arial"/>
        </w:rPr>
        <w:t>RAN2 is trying to understand if RAN2 should distinguish between the EN-DC combination where the spectrum is contiguous across LTE and NR and the EN-DC band combination where both LTE and NR are in the same band, but not in one contiguous spectrum</w:t>
      </w:r>
    </w:p>
    <w:p w14:paraId="15227C0A" w14:textId="77777777" w:rsidR="0093398A" w:rsidRDefault="0093398A" w:rsidP="00021499">
      <w:pPr>
        <w:pStyle w:val="a3"/>
        <w:tabs>
          <w:tab w:val="clear" w:pos="4153"/>
          <w:tab w:val="clear" w:pos="8306"/>
        </w:tabs>
        <w:rPr>
          <w:rFonts w:ascii="Arial" w:hAnsi="Arial" w:cs="Arial"/>
        </w:rPr>
      </w:pPr>
    </w:p>
    <w:p w14:paraId="5028D0B3" w14:textId="66FD403B" w:rsidR="00021499" w:rsidRDefault="0093398A" w:rsidP="00021499">
      <w:pPr>
        <w:pStyle w:val="a3"/>
        <w:tabs>
          <w:tab w:val="clear" w:pos="4153"/>
          <w:tab w:val="clear" w:pos="8306"/>
        </w:tabs>
        <w:rPr>
          <w:rFonts w:ascii="Arial" w:hAnsi="Arial" w:cs="Arial"/>
        </w:rPr>
      </w:pPr>
      <w:r>
        <w:rPr>
          <w:rFonts w:ascii="Arial" w:hAnsi="Arial" w:cs="Arial"/>
        </w:rPr>
        <w:t xml:space="preserve">Also </w:t>
      </w:r>
      <w:r w:rsidR="00021499">
        <w:rPr>
          <w:rFonts w:ascii="Arial" w:hAnsi="Arial" w:cs="Arial"/>
        </w:rPr>
        <w:t>RAN2 is trying to incorporate ‘timing advance’ handling for these synchronous EN-DC combinations</w:t>
      </w:r>
      <w:r w:rsidR="008E3633">
        <w:rPr>
          <w:rFonts w:ascii="Arial" w:hAnsi="Arial" w:cs="Arial"/>
        </w:rPr>
        <w:t xml:space="preserve"> and see the below possible way: </w:t>
      </w:r>
      <w:r w:rsidR="00021499">
        <w:rPr>
          <w:rFonts w:ascii="Arial" w:hAnsi="Arial" w:cs="Arial"/>
        </w:rPr>
        <w:t>.</w:t>
      </w:r>
    </w:p>
    <w:p w14:paraId="7FC975A8" w14:textId="347CEADB" w:rsidR="00021499" w:rsidRDefault="00021499" w:rsidP="00021499">
      <w:pPr>
        <w:pStyle w:val="a3"/>
        <w:tabs>
          <w:tab w:val="clear" w:pos="4153"/>
          <w:tab w:val="clear" w:pos="8306"/>
        </w:tabs>
        <w:rPr>
          <w:rFonts w:ascii="Arial" w:hAnsi="Arial" w:cs="Arial"/>
        </w:rPr>
      </w:pPr>
      <w:r>
        <w:rPr>
          <w:rFonts w:ascii="Arial" w:hAnsi="Arial" w:cs="Arial"/>
        </w:rPr>
        <w:t xml:space="preserve">  </w:t>
      </w:r>
    </w:p>
    <w:p w14:paraId="74726B69" w14:textId="13A96EAA" w:rsidR="005E4FC9" w:rsidRDefault="005E4FC9" w:rsidP="007A04BB">
      <w:pPr>
        <w:pStyle w:val="a3"/>
        <w:tabs>
          <w:tab w:val="clear" w:pos="4153"/>
          <w:tab w:val="clear" w:pos="8306"/>
        </w:tabs>
        <w:ind w:left="360"/>
        <w:rPr>
          <w:rFonts w:ascii="Arial" w:hAnsi="Arial" w:cs="Arial"/>
        </w:rPr>
      </w:pPr>
      <w:r>
        <w:rPr>
          <w:rFonts w:ascii="Arial" w:hAnsi="Arial" w:cs="Arial"/>
        </w:rPr>
        <w:t>The same timing advance command is to be provided to the UE by both LTE and NR at the same time, so that the UE can adjust the timing for both RATs accordingly</w:t>
      </w:r>
      <w:r w:rsidR="006C24EA">
        <w:rPr>
          <w:rFonts w:ascii="Arial" w:hAnsi="Arial" w:cs="Arial"/>
        </w:rPr>
        <w:t xml:space="preserve">. In other words, </w:t>
      </w:r>
      <w:r w:rsidR="00AE78E5">
        <w:rPr>
          <w:rFonts w:ascii="Arial" w:hAnsi="Arial" w:cs="Arial"/>
        </w:rPr>
        <w:t xml:space="preserve">the network ensures that the </w:t>
      </w:r>
      <w:r w:rsidR="006C24EA">
        <w:rPr>
          <w:rFonts w:ascii="Arial" w:hAnsi="Arial" w:cs="Arial"/>
        </w:rPr>
        <w:t xml:space="preserve">UE is </w:t>
      </w:r>
      <w:r w:rsidR="00AE78E5">
        <w:rPr>
          <w:rFonts w:ascii="Arial" w:hAnsi="Arial" w:cs="Arial"/>
        </w:rPr>
        <w:t xml:space="preserve">not required to perform LTE and NR with different uplink timing, even when the UE is </w:t>
      </w:r>
      <w:r w:rsidR="006C24EA">
        <w:rPr>
          <w:rFonts w:ascii="Arial" w:hAnsi="Arial" w:cs="Arial"/>
        </w:rPr>
        <w:t>capable of maintaining TAs in LTE and NR, independently (i.e. in total two TAGs across LTE and NR).</w:t>
      </w:r>
    </w:p>
    <w:p w14:paraId="7348260B" w14:textId="77777777" w:rsidR="00A87791" w:rsidRPr="00A87791" w:rsidRDefault="00A87791">
      <w:pPr>
        <w:pStyle w:val="a3"/>
        <w:tabs>
          <w:tab w:val="clear" w:pos="4153"/>
          <w:tab w:val="clear" w:pos="8306"/>
        </w:tabs>
        <w:rPr>
          <w:rFonts w:ascii="Arial" w:hAnsi="Arial" w:cs="Arial"/>
        </w:rPr>
      </w:pPr>
    </w:p>
    <w:p w14:paraId="5BD2AE58" w14:textId="1EB10511" w:rsidR="00463675" w:rsidRDefault="005E4FC9">
      <w:pPr>
        <w:spacing w:after="120"/>
        <w:rPr>
          <w:rFonts w:ascii="Arial" w:hAnsi="Arial" w:cs="Arial"/>
          <w:b/>
        </w:rPr>
      </w:pPr>
      <w:r>
        <w:rPr>
          <w:rFonts w:ascii="Arial" w:hAnsi="Arial" w:cs="Arial"/>
          <w:b/>
        </w:rPr>
        <w:t>3</w:t>
      </w:r>
      <w:r w:rsidR="00463675">
        <w:rPr>
          <w:rFonts w:ascii="Arial" w:hAnsi="Arial" w:cs="Arial"/>
          <w:b/>
        </w:rPr>
        <w:t>. Actions:</w:t>
      </w:r>
    </w:p>
    <w:p w14:paraId="3C774042" w14:textId="440E3F8B" w:rsidR="00463675" w:rsidRDefault="00463675">
      <w:pPr>
        <w:spacing w:after="120"/>
        <w:ind w:left="1985" w:hanging="1985"/>
        <w:rPr>
          <w:rFonts w:ascii="Arial" w:hAnsi="Arial" w:cs="Arial"/>
          <w:b/>
        </w:rPr>
      </w:pPr>
      <w:r>
        <w:rPr>
          <w:rFonts w:ascii="Arial" w:hAnsi="Arial" w:cs="Arial"/>
          <w:b/>
        </w:rPr>
        <w:t xml:space="preserve">To </w:t>
      </w:r>
      <w:r w:rsidR="009D0355" w:rsidRPr="009D0355">
        <w:rPr>
          <w:rFonts w:ascii="Arial" w:hAnsi="Arial" w:cs="Arial"/>
          <w:b/>
        </w:rPr>
        <w:t>RAN4</w:t>
      </w:r>
      <w:r w:rsidRPr="009D0355">
        <w:rPr>
          <w:rFonts w:ascii="Arial" w:hAnsi="Arial" w:cs="Arial"/>
          <w:b/>
        </w:rPr>
        <w:t xml:space="preserve"> </w:t>
      </w:r>
      <w:r>
        <w:rPr>
          <w:rFonts w:ascii="Arial" w:hAnsi="Arial" w:cs="Arial"/>
          <w:b/>
        </w:rPr>
        <w:t>group.</w:t>
      </w:r>
    </w:p>
    <w:p w14:paraId="6AFD288D" w14:textId="77777777" w:rsidR="001D547E" w:rsidRDefault="00463675" w:rsidP="001E6B33">
      <w:pPr>
        <w:spacing w:after="120"/>
        <w:ind w:left="993" w:hanging="993"/>
        <w:rPr>
          <w:rFonts w:ascii="Arial" w:hAnsi="Arial" w:cs="Arial"/>
        </w:rPr>
      </w:pPr>
      <w:r>
        <w:rPr>
          <w:rFonts w:ascii="Arial" w:hAnsi="Arial" w:cs="Arial"/>
          <w:b/>
        </w:rPr>
        <w:t xml:space="preserve">ACTION: </w:t>
      </w:r>
      <w:r>
        <w:rPr>
          <w:rFonts w:ascii="Arial" w:hAnsi="Arial" w:cs="Arial"/>
          <w:b/>
        </w:rPr>
        <w:tab/>
      </w:r>
      <w:r w:rsidR="009D0355" w:rsidRPr="001E6B33">
        <w:rPr>
          <w:rFonts w:ascii="Arial" w:hAnsi="Arial" w:cs="Arial"/>
        </w:rPr>
        <w:t>RAN2</w:t>
      </w:r>
      <w:r w:rsidRPr="001E6B33">
        <w:rPr>
          <w:rFonts w:ascii="Arial" w:hAnsi="Arial" w:cs="Arial"/>
        </w:rPr>
        <w:t xml:space="preserve"> </w:t>
      </w:r>
      <w:r w:rsidR="009D0355" w:rsidRPr="001E6B33">
        <w:rPr>
          <w:rFonts w:ascii="Arial" w:hAnsi="Arial" w:cs="Arial"/>
        </w:rPr>
        <w:t>respectfully asks RAN4</w:t>
      </w:r>
      <w:r w:rsidR="001E6B33" w:rsidRPr="001E6B33">
        <w:rPr>
          <w:rFonts w:ascii="Arial" w:hAnsi="Arial" w:cs="Arial"/>
        </w:rPr>
        <w:t xml:space="preserve"> to </w:t>
      </w:r>
      <w:r w:rsidR="001E6B33">
        <w:rPr>
          <w:rFonts w:ascii="Arial" w:hAnsi="Arial" w:cs="Arial"/>
        </w:rPr>
        <w:t>provide their feedback</w:t>
      </w:r>
    </w:p>
    <w:p w14:paraId="15A8F4C0" w14:textId="417FF0E5" w:rsidR="00463675" w:rsidRDefault="001D547E" w:rsidP="000E5F96">
      <w:pPr>
        <w:spacing w:after="120"/>
        <w:ind w:left="993" w:hanging="273"/>
        <w:rPr>
          <w:rFonts w:ascii="Arial" w:hAnsi="Arial" w:cs="Arial"/>
        </w:rPr>
      </w:pPr>
      <w:r>
        <w:rPr>
          <w:rFonts w:ascii="Arial" w:hAnsi="Arial" w:cs="Arial" w:hint="eastAsia"/>
          <w:b/>
          <w:lang w:eastAsia="ja-JP"/>
        </w:rPr>
        <w:t>-</w:t>
      </w:r>
      <w:r>
        <w:rPr>
          <w:rFonts w:ascii="Arial" w:hAnsi="Arial" w:cs="Arial" w:hint="eastAsia"/>
          <w:b/>
          <w:lang w:eastAsia="ja-JP"/>
        </w:rPr>
        <w:tab/>
      </w:r>
      <w:r w:rsidR="001E6B33">
        <w:rPr>
          <w:rFonts w:ascii="Arial" w:hAnsi="Arial" w:cs="Arial"/>
        </w:rPr>
        <w:t xml:space="preserve"> whether the </w:t>
      </w:r>
      <w:r w:rsidR="001E6B33" w:rsidRPr="001E6B33">
        <w:rPr>
          <w:rFonts w:ascii="Arial" w:hAnsi="Arial" w:cs="Arial"/>
          <w:i/>
        </w:rPr>
        <w:t>reducedIntNonContComb</w:t>
      </w:r>
      <w:r w:rsidR="001E6B33">
        <w:rPr>
          <w:rFonts w:ascii="Arial" w:hAnsi="Arial" w:cs="Arial"/>
        </w:rPr>
        <w:t xml:space="preserve"> supported for LTE is beneficial for NR and so should be supported as </w:t>
      </w:r>
      <w:r w:rsidR="001E6B33" w:rsidRPr="007A04BB">
        <w:rPr>
          <w:rFonts w:ascii="Arial" w:hAnsi="Arial" w:cs="Arial"/>
          <w:b/>
        </w:rPr>
        <w:t>default</w:t>
      </w:r>
      <w:r w:rsidR="001E6B33">
        <w:rPr>
          <w:rFonts w:ascii="Arial" w:hAnsi="Arial" w:cs="Arial"/>
        </w:rPr>
        <w:t xml:space="preserve"> UE behaviour.</w:t>
      </w:r>
    </w:p>
    <w:p w14:paraId="6449618C" w14:textId="375578A7" w:rsidR="001D547E" w:rsidRPr="001E6B33" w:rsidRDefault="001D547E" w:rsidP="000E5F96">
      <w:pPr>
        <w:spacing w:after="120"/>
        <w:ind w:left="993" w:hanging="273"/>
        <w:rPr>
          <w:rFonts w:ascii="Arial" w:hAnsi="Arial" w:cs="Arial"/>
        </w:rPr>
      </w:pPr>
      <w:r>
        <w:rPr>
          <w:rFonts w:ascii="Arial" w:hAnsi="Arial" w:cs="Arial"/>
          <w:b/>
          <w:lang w:eastAsia="ja-JP"/>
        </w:rPr>
        <w:lastRenderedPageBreak/>
        <w:t>-</w:t>
      </w:r>
      <w:r>
        <w:rPr>
          <w:rFonts w:ascii="Arial" w:hAnsi="Arial" w:cs="Arial"/>
        </w:rPr>
        <w:tab/>
      </w:r>
      <w:r>
        <w:rPr>
          <w:rFonts w:ascii="Arial" w:hAnsi="Arial" w:cs="Arial"/>
        </w:rPr>
        <w:t>whether</w:t>
      </w:r>
      <w:r w:rsidRPr="007A04BB">
        <w:rPr>
          <w:rFonts w:ascii="Arial" w:hAnsi="Arial" w:cs="Arial"/>
        </w:rPr>
        <w:t xml:space="preserve"> </w:t>
      </w:r>
      <w:r>
        <w:rPr>
          <w:rFonts w:ascii="Arial" w:hAnsi="Arial" w:cs="Arial"/>
        </w:rPr>
        <w:t>RAN2 should differentiate between LTE and NR EN-DC combinations where one of the combinations is on a contiguous spectrum and the other one is where the LTE and NR bands are just on the same band, but not contiguous.</w:t>
      </w:r>
    </w:p>
    <w:p w14:paraId="0DC213DD" w14:textId="77777777" w:rsidR="00463675" w:rsidRDefault="00463675">
      <w:pPr>
        <w:spacing w:after="120"/>
        <w:ind w:left="993" w:hanging="993"/>
        <w:rPr>
          <w:rFonts w:ascii="Arial" w:hAnsi="Arial" w:cs="Arial"/>
        </w:rPr>
      </w:pPr>
    </w:p>
    <w:p w14:paraId="1AB7F80E" w14:textId="09424919" w:rsidR="005E4FC9" w:rsidRDefault="005E4FC9" w:rsidP="005E4FC9">
      <w:pPr>
        <w:spacing w:after="120"/>
        <w:ind w:left="1985" w:hanging="1985"/>
        <w:rPr>
          <w:rFonts w:ascii="Arial" w:hAnsi="Arial" w:cs="Arial"/>
          <w:b/>
        </w:rPr>
      </w:pPr>
      <w:r>
        <w:rPr>
          <w:rFonts w:ascii="Arial" w:hAnsi="Arial" w:cs="Arial"/>
          <w:b/>
        </w:rPr>
        <w:t xml:space="preserve">To </w:t>
      </w:r>
      <w:r w:rsidRPr="009D0355">
        <w:rPr>
          <w:rFonts w:ascii="Arial" w:hAnsi="Arial" w:cs="Arial"/>
          <w:b/>
        </w:rPr>
        <w:t>RAN</w:t>
      </w:r>
      <w:r>
        <w:rPr>
          <w:rFonts w:ascii="Arial" w:hAnsi="Arial" w:cs="Arial"/>
          <w:b/>
        </w:rPr>
        <w:t xml:space="preserve"> 1 and RAN</w:t>
      </w:r>
      <w:r w:rsidRPr="009D0355">
        <w:rPr>
          <w:rFonts w:ascii="Arial" w:hAnsi="Arial" w:cs="Arial"/>
          <w:b/>
        </w:rPr>
        <w:t xml:space="preserve">4 </w:t>
      </w:r>
      <w:r>
        <w:rPr>
          <w:rFonts w:ascii="Arial" w:hAnsi="Arial" w:cs="Arial"/>
          <w:b/>
        </w:rPr>
        <w:t>group.</w:t>
      </w:r>
    </w:p>
    <w:p w14:paraId="5E476DE7" w14:textId="7DAFD587" w:rsidR="0093398A" w:rsidRPr="000E5F96" w:rsidRDefault="005E4FC9" w:rsidP="000E5F96">
      <w:pPr>
        <w:spacing w:after="120"/>
        <w:ind w:left="993" w:hanging="993"/>
        <w:rPr>
          <w:rFonts w:ascii="Arial" w:hAnsi="Arial" w:cs="Arial"/>
        </w:rPr>
      </w:pPr>
      <w:r>
        <w:rPr>
          <w:rFonts w:ascii="Arial" w:hAnsi="Arial" w:cs="Arial"/>
          <w:b/>
        </w:rPr>
        <w:t xml:space="preserve">ACTION: </w:t>
      </w:r>
      <w:r>
        <w:rPr>
          <w:rFonts w:ascii="Arial" w:hAnsi="Arial" w:cs="Arial"/>
          <w:b/>
        </w:rPr>
        <w:tab/>
      </w:r>
      <w:r w:rsidRPr="001E6B33">
        <w:rPr>
          <w:rFonts w:ascii="Arial" w:hAnsi="Arial" w:cs="Arial"/>
        </w:rPr>
        <w:t>RAN2 respectfully asks RAN</w:t>
      </w:r>
      <w:r>
        <w:rPr>
          <w:rFonts w:ascii="Arial" w:hAnsi="Arial" w:cs="Arial"/>
        </w:rPr>
        <w:t xml:space="preserve">1 and RAN </w:t>
      </w:r>
      <w:r w:rsidRPr="001E6B33">
        <w:rPr>
          <w:rFonts w:ascii="Arial" w:hAnsi="Arial" w:cs="Arial"/>
        </w:rPr>
        <w:t xml:space="preserve">4 to </w:t>
      </w:r>
      <w:r>
        <w:rPr>
          <w:rFonts w:ascii="Arial" w:hAnsi="Arial" w:cs="Arial"/>
        </w:rPr>
        <w:t>provide their feedback</w:t>
      </w:r>
      <w:r w:rsidR="0093398A" w:rsidRPr="00F0454A">
        <w:rPr>
          <w:rFonts w:ascii="Arial" w:hAnsi="Arial" w:cs="Arial"/>
        </w:rPr>
        <w:t xml:space="preserve"> </w:t>
      </w:r>
      <w:r w:rsidR="0093398A">
        <w:rPr>
          <w:rFonts w:ascii="Arial" w:hAnsi="Arial" w:cs="Arial"/>
        </w:rPr>
        <w:t xml:space="preserve">whether </w:t>
      </w:r>
      <w:r w:rsidR="0093398A" w:rsidRPr="00F0454A">
        <w:rPr>
          <w:rFonts w:ascii="Arial" w:hAnsi="Arial" w:cs="Arial"/>
        </w:rPr>
        <w:t>the method provided for the handling of TA command</w:t>
      </w:r>
      <w:r w:rsidR="0093398A">
        <w:rPr>
          <w:rFonts w:ascii="Arial" w:hAnsi="Arial" w:cs="Arial"/>
        </w:rPr>
        <w:t xml:space="preserve"> above is considered acceptable</w:t>
      </w:r>
      <w:r w:rsidR="0093398A" w:rsidRPr="00F0454A">
        <w:rPr>
          <w:rFonts w:ascii="Arial" w:hAnsi="Arial" w:cs="Arial"/>
        </w:rPr>
        <w:t>.</w:t>
      </w:r>
    </w:p>
    <w:p w14:paraId="1C9604E8" w14:textId="77777777" w:rsidR="0093398A" w:rsidRPr="001E6B33" w:rsidRDefault="0093398A" w:rsidP="000E5F96">
      <w:pPr>
        <w:spacing w:after="120"/>
        <w:rPr>
          <w:rFonts w:ascii="Arial" w:hAnsi="Arial" w:cs="Arial"/>
        </w:rPr>
      </w:pPr>
    </w:p>
    <w:p w14:paraId="6980BBE8" w14:textId="081C300D" w:rsidR="00463675" w:rsidRDefault="005E4FC9">
      <w:pPr>
        <w:spacing w:after="120"/>
        <w:rPr>
          <w:rFonts w:ascii="Arial" w:hAnsi="Arial" w:cs="Arial"/>
          <w:b/>
        </w:rPr>
      </w:pPr>
      <w:r>
        <w:rPr>
          <w:rFonts w:ascii="Arial" w:hAnsi="Arial" w:cs="Arial"/>
          <w:b/>
        </w:rPr>
        <w:t>4</w:t>
      </w:r>
      <w:r w:rsidR="00E771FA">
        <w:rPr>
          <w:rFonts w:ascii="Arial" w:hAnsi="Arial" w:cs="Arial"/>
          <w:b/>
        </w:rPr>
        <w:t>. Date of Next TSG-RAN WG2</w:t>
      </w:r>
      <w:r w:rsidR="00463675">
        <w:rPr>
          <w:rFonts w:ascii="Arial" w:hAnsi="Arial" w:cs="Arial"/>
          <w:b/>
        </w:rPr>
        <w:t xml:space="preserve"> Meetings:</w:t>
      </w:r>
    </w:p>
    <w:p w14:paraId="0AB59D15" w14:textId="726A7473" w:rsidR="00463675" w:rsidRPr="00E771FA" w:rsidRDefault="00463675">
      <w:pPr>
        <w:tabs>
          <w:tab w:val="left" w:pos="5103"/>
        </w:tabs>
        <w:spacing w:after="120"/>
        <w:ind w:left="2268" w:hanging="2268"/>
        <w:rPr>
          <w:rFonts w:ascii="Arial" w:hAnsi="Arial" w:cs="Arial"/>
          <w:bCs/>
        </w:rPr>
      </w:pPr>
      <w:r w:rsidRPr="00E771FA">
        <w:rPr>
          <w:rFonts w:ascii="Arial" w:hAnsi="Arial" w:cs="Arial"/>
          <w:bCs/>
        </w:rPr>
        <w:t>TS</w:t>
      </w:r>
      <w:r w:rsidR="00A87791" w:rsidRPr="00E771FA">
        <w:rPr>
          <w:rFonts w:ascii="Arial" w:hAnsi="Arial" w:cs="Arial"/>
          <w:bCs/>
        </w:rPr>
        <w:t>G-RAN WG2 Meeting #103bis</w:t>
      </w:r>
      <w:r w:rsidR="00C57130">
        <w:rPr>
          <w:rFonts w:ascii="Arial" w:hAnsi="Arial" w:cs="Arial"/>
          <w:bCs/>
        </w:rPr>
        <w:t xml:space="preserve"> </w:t>
      </w:r>
      <w:r w:rsidR="00C57130">
        <w:rPr>
          <w:rFonts w:ascii="Arial" w:hAnsi="Arial" w:cs="Arial"/>
          <w:bCs/>
        </w:rPr>
        <w:tab/>
        <w:t>8th – 12th October 2018</w:t>
      </w:r>
      <w:r w:rsidR="00C57130">
        <w:rPr>
          <w:rFonts w:ascii="Arial" w:hAnsi="Arial" w:cs="Arial"/>
          <w:bCs/>
        </w:rPr>
        <w:tab/>
        <w:t>Chengdu, China</w:t>
      </w:r>
      <w:r w:rsidRPr="00E771FA">
        <w:rPr>
          <w:rFonts w:ascii="Arial" w:hAnsi="Arial" w:cs="Arial"/>
          <w:bCs/>
        </w:rPr>
        <w:t>.</w:t>
      </w:r>
    </w:p>
    <w:p w14:paraId="7457F462" w14:textId="46874334" w:rsidR="00463675" w:rsidRDefault="00A87791">
      <w:pPr>
        <w:tabs>
          <w:tab w:val="left" w:pos="5103"/>
        </w:tabs>
        <w:spacing w:after="120"/>
        <w:ind w:left="2268" w:hanging="2268"/>
        <w:rPr>
          <w:rFonts w:ascii="Arial" w:hAnsi="Arial" w:cs="Arial"/>
          <w:bCs/>
        </w:rPr>
      </w:pPr>
      <w:r w:rsidRPr="00E771FA">
        <w:rPr>
          <w:rFonts w:ascii="Arial" w:hAnsi="Arial" w:cs="Arial"/>
          <w:bCs/>
        </w:rPr>
        <w:t>TSG-RAN WG2 Meeting #104</w:t>
      </w:r>
      <w:r w:rsidR="00C57130">
        <w:rPr>
          <w:rFonts w:ascii="Arial" w:hAnsi="Arial" w:cs="Arial"/>
          <w:bCs/>
        </w:rPr>
        <w:tab/>
        <w:t>12th – 16th November 2018</w:t>
      </w:r>
      <w:r w:rsidR="00C57130">
        <w:rPr>
          <w:rFonts w:ascii="Arial" w:hAnsi="Arial" w:cs="Arial"/>
          <w:bCs/>
        </w:rPr>
        <w:tab/>
        <w:t>Spokane, USA</w:t>
      </w:r>
      <w:r w:rsidR="00463675" w:rsidRPr="00E771FA">
        <w:rPr>
          <w:rFonts w:ascii="Arial" w:hAnsi="Arial" w:cs="Arial"/>
          <w:bCs/>
        </w:rPr>
        <w:t>.</w:t>
      </w:r>
    </w:p>
    <w:p w14:paraId="103BEF81" w14:textId="665FE680" w:rsidR="00CB4440" w:rsidRDefault="00CB4440">
      <w:pPr>
        <w:tabs>
          <w:tab w:val="left" w:pos="5103"/>
        </w:tabs>
        <w:spacing w:after="120"/>
        <w:ind w:left="2268" w:hanging="2268"/>
        <w:rPr>
          <w:rFonts w:ascii="Arial" w:hAnsi="Arial" w:cs="Arial"/>
          <w:bCs/>
        </w:rPr>
      </w:pPr>
    </w:p>
    <w:p w14:paraId="20D4764D" w14:textId="3C6C1227" w:rsidR="00CB4440" w:rsidRDefault="005E4FC9" w:rsidP="00CB4440">
      <w:pPr>
        <w:spacing w:after="120"/>
        <w:rPr>
          <w:rFonts w:ascii="Arial" w:hAnsi="Arial" w:cs="Arial"/>
          <w:b/>
        </w:rPr>
      </w:pPr>
      <w:r>
        <w:rPr>
          <w:rFonts w:ascii="Arial" w:hAnsi="Arial" w:cs="Arial"/>
          <w:b/>
        </w:rPr>
        <w:t>5</w:t>
      </w:r>
      <w:r w:rsidR="00CB4440">
        <w:rPr>
          <w:rFonts w:ascii="Arial" w:hAnsi="Arial" w:cs="Arial"/>
          <w:b/>
        </w:rPr>
        <w:t xml:space="preserve">. Functional description of </w:t>
      </w:r>
      <w:r w:rsidR="00CB4440" w:rsidRPr="00CB4440">
        <w:rPr>
          <w:rFonts w:ascii="Arial" w:hAnsi="Arial" w:cs="Arial"/>
          <w:b/>
        </w:rPr>
        <w:t>reducedIntNonContComb</w:t>
      </w:r>
      <w:r w:rsidR="00CB4440">
        <w:rPr>
          <w:rFonts w:ascii="Arial" w:hAnsi="Arial" w:cs="Arial"/>
          <w:b/>
        </w:rPr>
        <w:t xml:space="preserve"> (excerpted from TS 36.306):</w:t>
      </w:r>
    </w:p>
    <w:p w14:paraId="6C66EAA0" w14:textId="77777777" w:rsidR="00CB4440" w:rsidRPr="00CB4440" w:rsidRDefault="00CB4440" w:rsidP="00CB4440">
      <w:pPr>
        <w:keepNext/>
        <w:keepLines/>
        <w:overflowPunct w:val="0"/>
        <w:autoSpaceDE w:val="0"/>
        <w:autoSpaceDN w:val="0"/>
        <w:adjustRightInd w:val="0"/>
        <w:spacing w:before="120" w:after="180"/>
        <w:ind w:left="1418" w:hanging="1418"/>
        <w:textAlignment w:val="baseline"/>
        <w:outlineLvl w:val="3"/>
        <w:rPr>
          <w:rFonts w:ascii="Arial" w:hAnsi="Arial"/>
          <w:sz w:val="24"/>
          <w:lang w:eastAsia="ja-JP"/>
        </w:rPr>
      </w:pPr>
      <w:bookmarkStart w:id="2" w:name="_Toc519508097"/>
      <w:r w:rsidRPr="00CB4440">
        <w:rPr>
          <w:rFonts w:ascii="Arial" w:hAnsi="Arial"/>
          <w:sz w:val="24"/>
          <w:lang w:eastAsia="ja-JP"/>
        </w:rPr>
        <w:t>4.3.5.21</w:t>
      </w:r>
      <w:r w:rsidRPr="00CB4440">
        <w:rPr>
          <w:rFonts w:ascii="Arial" w:hAnsi="Arial"/>
          <w:sz w:val="24"/>
          <w:lang w:eastAsia="ja-JP"/>
        </w:rPr>
        <w:tab/>
      </w:r>
      <w:r w:rsidRPr="00CB4440">
        <w:rPr>
          <w:rFonts w:ascii="Arial" w:hAnsi="Arial"/>
          <w:i/>
          <w:sz w:val="24"/>
          <w:lang w:eastAsia="ja-JP"/>
        </w:rPr>
        <w:t>reducedIntNonContComb-r13</w:t>
      </w:r>
      <w:bookmarkEnd w:id="2"/>
    </w:p>
    <w:p w14:paraId="4343F8F5" w14:textId="77777777" w:rsidR="00CB4440" w:rsidRPr="00CB4440" w:rsidRDefault="00CB4440" w:rsidP="00CB4440">
      <w:pPr>
        <w:overflowPunct w:val="0"/>
        <w:autoSpaceDE w:val="0"/>
        <w:autoSpaceDN w:val="0"/>
        <w:adjustRightInd w:val="0"/>
        <w:spacing w:after="180"/>
        <w:textAlignment w:val="baseline"/>
        <w:rPr>
          <w:lang w:eastAsia="ja-JP"/>
        </w:rPr>
      </w:pPr>
      <w:r w:rsidRPr="00CB4440">
        <w:rPr>
          <w:lang w:eastAsia="ja-JP"/>
        </w:rPr>
        <w:t xml:space="preserve">This field defines whether the UE supports receiving </w:t>
      </w:r>
      <w:r w:rsidRPr="00CB4440">
        <w:rPr>
          <w:i/>
          <w:lang w:eastAsia="ja-JP"/>
        </w:rPr>
        <w:t>requestReducedIntNonContComb</w:t>
      </w:r>
      <w:r w:rsidRPr="00CB4440">
        <w:rPr>
          <w:lang w:eastAsia="ja-JP"/>
        </w:rPr>
        <w:t xml:space="preserve">. If the UE supports </w:t>
      </w:r>
      <w:r w:rsidRPr="00CB4440">
        <w:rPr>
          <w:i/>
          <w:lang w:eastAsia="ja-JP"/>
        </w:rPr>
        <w:t>reducedIntNonContComb-r13,</w:t>
      </w:r>
      <w:r w:rsidRPr="00CB4440">
        <w:rPr>
          <w:lang w:eastAsia="ja-JP"/>
        </w:rPr>
        <w:t xml:space="preserve"> the UE only includes one intra-band non-contiguous CA band combination, and exclude the other intra-band non-contiguous CA band combinations for which the presence of uplink CA bandwidth class in the band combination entry is different. One band combination entry can also indicate support of any other possible permutations in the presence of uplink CA bandwidth class where a paired downlink CA bandwidth class is the same or where the number of UL CCs is smaller than the one of paired DL CCs expressed by the CA bandwidth class.</w:t>
      </w:r>
    </w:p>
    <w:p w14:paraId="21B29A29" w14:textId="77777777" w:rsidR="00CB4440" w:rsidRPr="00CB4440" w:rsidRDefault="00CB4440" w:rsidP="00CB4440">
      <w:pPr>
        <w:overflowPunct w:val="0"/>
        <w:autoSpaceDE w:val="0"/>
        <w:autoSpaceDN w:val="0"/>
        <w:adjustRightInd w:val="0"/>
        <w:spacing w:after="180"/>
        <w:textAlignment w:val="baseline"/>
        <w:rPr>
          <w:lang w:eastAsia="ja-JP"/>
        </w:rPr>
      </w:pPr>
      <w:r w:rsidRPr="00CB4440">
        <w:rPr>
          <w:lang w:eastAsia="ja-JP"/>
        </w:rPr>
        <w:t xml:space="preserve">For example, if the UE supports </w:t>
      </w:r>
      <w:r w:rsidRPr="00CB4440">
        <w:rPr>
          <w:i/>
          <w:lang w:eastAsia="ja-JP"/>
        </w:rPr>
        <w:t>reducedIntNonContComb-r13,</w:t>
      </w:r>
      <w:r w:rsidRPr="00CB4440">
        <w:rPr>
          <w:lang w:eastAsia="ja-JP"/>
        </w:rPr>
        <w:t xml:space="preserve"> the UE only needs to report "DL: CA_42C-42A, UL: 42A paired with DL 42C", in order to indicate also support of "DL: CA_42C-42A, UL: 42A paired with DL 42A", "DL: CA_42A-42C, UL: 42A paired with DL 42A" and "DL: CA_42A-42C, UL: 42A paired with DL 42C".</w:t>
      </w:r>
    </w:p>
    <w:p w14:paraId="5BD0D17D" w14:textId="77777777" w:rsidR="00CB4440" w:rsidRPr="00CB4440" w:rsidRDefault="00CB4440" w:rsidP="00CB4440">
      <w:pPr>
        <w:overflowPunct w:val="0"/>
        <w:autoSpaceDE w:val="0"/>
        <w:autoSpaceDN w:val="0"/>
        <w:adjustRightInd w:val="0"/>
        <w:spacing w:after="180"/>
        <w:textAlignment w:val="baseline"/>
        <w:rPr>
          <w:lang w:eastAsia="ja-JP"/>
        </w:rPr>
      </w:pPr>
      <w:r w:rsidRPr="00CB4440">
        <w:rPr>
          <w:lang w:eastAsia="ja-JP"/>
        </w:rPr>
        <w:t xml:space="preserve">For these band combinations not included in the capability, RF parameters specified within </w:t>
      </w:r>
      <w:r w:rsidRPr="00CB4440">
        <w:rPr>
          <w:i/>
          <w:lang w:eastAsia="ja-JP"/>
        </w:rPr>
        <w:t>BandCombinationParameters</w:t>
      </w:r>
      <w:r w:rsidRPr="00CB4440">
        <w:rPr>
          <w:lang w:eastAsia="ja-JP"/>
        </w:rPr>
        <w:t xml:space="preserve"> (e.g., </w:t>
      </w:r>
      <w:r w:rsidRPr="00CB4440">
        <w:rPr>
          <w:i/>
          <w:lang w:eastAsia="ja-JP"/>
        </w:rPr>
        <w:t>supportedMIMO-CapabilityUL</w:t>
      </w:r>
      <w:r w:rsidRPr="00CB4440">
        <w:rPr>
          <w:lang w:eastAsia="ja-JP"/>
        </w:rPr>
        <w:t xml:space="preserve">, </w:t>
      </w:r>
      <w:r w:rsidRPr="00CB4440">
        <w:rPr>
          <w:i/>
          <w:lang w:eastAsia="ja-JP"/>
        </w:rPr>
        <w:t>multipleTimingAdvance</w:t>
      </w:r>
      <w:r w:rsidRPr="00CB4440">
        <w:rPr>
          <w:lang w:eastAsia="ja-JP"/>
        </w:rPr>
        <w:t xml:space="preserve"> if supported) and measurement parameters specified within </w:t>
      </w:r>
      <w:r w:rsidRPr="00CB4440">
        <w:rPr>
          <w:i/>
          <w:lang w:eastAsia="ja-JP"/>
        </w:rPr>
        <w:t>BandCombinationListEUTRA</w:t>
      </w:r>
      <w:r w:rsidRPr="00CB4440">
        <w:rPr>
          <w:lang w:eastAsia="ja-JP"/>
        </w:rPr>
        <w:t xml:space="preserve"> are the same as the ones for the band combination included in the UE capability.</w:t>
      </w:r>
    </w:p>
    <w:p w14:paraId="081AB703" w14:textId="77777777" w:rsidR="00CB4440" w:rsidRPr="00CB4440" w:rsidRDefault="00CB4440">
      <w:pPr>
        <w:tabs>
          <w:tab w:val="left" w:pos="5103"/>
        </w:tabs>
        <w:spacing w:after="120"/>
        <w:ind w:left="2268" w:hanging="2268"/>
        <w:rPr>
          <w:rFonts w:ascii="Arial" w:hAnsi="Arial" w:cs="Arial"/>
          <w:bCs/>
        </w:rPr>
      </w:pPr>
    </w:p>
    <w:sectPr w:rsidR="00CB4440" w:rsidRPr="00CB44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Boswarthick" w:initials="D">
    <w:p w14:paraId="6D4757EC" w14:textId="77777777" w:rsidR="00463675" w:rsidRDefault="00463675">
      <w:pPr>
        <w:pStyle w:val="a5"/>
      </w:pPr>
      <w:r>
        <w:fldChar w:fldCharType="begin"/>
      </w:r>
      <w:r>
        <w:instrText>PAGE \# "'Page: '#'</w:instrText>
      </w:r>
      <w:r>
        <w:br/>
        <w:instrText>'"</w:instrText>
      </w:r>
      <w:r>
        <w:rPr>
          <w:rStyle w:val="a8"/>
        </w:rPr>
        <w:instrText xml:space="preserve">  </w:instrText>
      </w:r>
      <w:r>
        <w:fldChar w:fldCharType="end"/>
      </w:r>
      <w:r>
        <w:rPr>
          <w:rStyle w:val="a8"/>
        </w:rPr>
        <w:annotationRef/>
      </w:r>
      <w:r>
        <w:t>to be removed before LS is sent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D4757E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1A996D" w14:textId="77777777" w:rsidR="00550998" w:rsidRDefault="00550998">
      <w:r>
        <w:separator/>
      </w:r>
    </w:p>
  </w:endnote>
  <w:endnote w:type="continuationSeparator" w:id="0">
    <w:p w14:paraId="532BCD83" w14:textId="77777777" w:rsidR="00550998" w:rsidRDefault="00550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游明朝">
    <w:panose1 w:val="02020400000000000000"/>
    <w:charset w:val="80"/>
    <w:family w:val="roman"/>
    <w:pitch w:val="variable"/>
    <w:sig w:usb0="0000028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default"/>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A31B0B" w14:textId="77777777" w:rsidR="00550998" w:rsidRDefault="00550998">
      <w:r>
        <w:separator/>
      </w:r>
    </w:p>
  </w:footnote>
  <w:footnote w:type="continuationSeparator" w:id="0">
    <w:p w14:paraId="1C7DF717" w14:textId="77777777" w:rsidR="00550998" w:rsidRDefault="00550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F3211D"/>
    <w:multiLevelType w:val="hybridMultilevel"/>
    <w:tmpl w:val="9A288738"/>
    <w:lvl w:ilvl="0" w:tplc="0A06EF7A">
      <w:start w:val="2"/>
      <w:numFmt w:val="bullet"/>
      <w:lvlText w:val="-"/>
      <w:lvlJc w:val="left"/>
      <w:pPr>
        <w:ind w:left="1353" w:hanging="360"/>
      </w:pPr>
      <w:rPr>
        <w:rFonts w:ascii="Arial" w:eastAsiaTheme="minorEastAsia" w:hAnsi="Arial" w:cs="Arial" w:hint="default"/>
        <w:b/>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79F9255C"/>
    <w:multiLevelType w:val="hybridMultilevel"/>
    <w:tmpl w:val="743EFEF4"/>
    <w:lvl w:ilvl="0" w:tplc="76D2D120">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1499"/>
    <w:rsid w:val="00041FA8"/>
    <w:rsid w:val="00072A3B"/>
    <w:rsid w:val="000E5F96"/>
    <w:rsid w:val="001D547E"/>
    <w:rsid w:val="001E3B5D"/>
    <w:rsid w:val="001E6B33"/>
    <w:rsid w:val="00225F16"/>
    <w:rsid w:val="00307C80"/>
    <w:rsid w:val="00314D5A"/>
    <w:rsid w:val="00335949"/>
    <w:rsid w:val="003A26D6"/>
    <w:rsid w:val="00463495"/>
    <w:rsid w:val="00463675"/>
    <w:rsid w:val="005302FB"/>
    <w:rsid w:val="00550998"/>
    <w:rsid w:val="005C67A4"/>
    <w:rsid w:val="005E4FC9"/>
    <w:rsid w:val="00607A25"/>
    <w:rsid w:val="00651D16"/>
    <w:rsid w:val="006C24EA"/>
    <w:rsid w:val="006F05EE"/>
    <w:rsid w:val="00707DD4"/>
    <w:rsid w:val="007A04BB"/>
    <w:rsid w:val="00860824"/>
    <w:rsid w:val="008E3633"/>
    <w:rsid w:val="00923E7C"/>
    <w:rsid w:val="0093398A"/>
    <w:rsid w:val="009D0355"/>
    <w:rsid w:val="009E15B4"/>
    <w:rsid w:val="009E22FA"/>
    <w:rsid w:val="00A87791"/>
    <w:rsid w:val="00AC4EF3"/>
    <w:rsid w:val="00AE78E5"/>
    <w:rsid w:val="00B22C74"/>
    <w:rsid w:val="00B71872"/>
    <w:rsid w:val="00B753E9"/>
    <w:rsid w:val="00C57130"/>
    <w:rsid w:val="00CB2F63"/>
    <w:rsid w:val="00CB4440"/>
    <w:rsid w:val="00CD6B84"/>
    <w:rsid w:val="00CF3B4E"/>
    <w:rsid w:val="00E209BA"/>
    <w:rsid w:val="00E71813"/>
    <w:rsid w:val="00E771FA"/>
    <w:rsid w:val="00F6678F"/>
    <w:rsid w:val="00F748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F329CA"/>
  <w15:chartTrackingRefBased/>
  <w15:docId w15:val="{3E6897ED-B445-42A0-ABEB-F81992BB3F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basedOn w:val="a0"/>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ab"/>
    <w:uiPriority w:val="99"/>
    <w:semiHidden/>
    <w:unhideWhenUsed/>
    <w:rsid w:val="00923E7C"/>
    <w:rPr>
      <w:rFonts w:ascii="Tahoma" w:hAnsi="Tahoma" w:cs="Tahoma"/>
      <w:sz w:val="16"/>
      <w:szCs w:val="16"/>
    </w:rPr>
  </w:style>
  <w:style w:type="character" w:customStyle="1" w:styleId="ab">
    <w:name w:val="吹き出し (文字)"/>
    <w:basedOn w:val="a0"/>
    <w:link w:val="aa"/>
    <w:uiPriority w:val="99"/>
    <w:semiHidden/>
    <w:rsid w:val="00923E7C"/>
    <w:rPr>
      <w:rFonts w:ascii="Tahoma" w:hAnsi="Tahoma" w:cs="Tahoma"/>
      <w:sz w:val="16"/>
      <w:szCs w:val="16"/>
      <w:lang w:val="en-GB"/>
    </w:rPr>
  </w:style>
  <w:style w:type="character" w:styleId="ac">
    <w:name w:val="Hyperlink"/>
    <w:basedOn w:val="a0"/>
    <w:uiPriority w:val="99"/>
    <w:unhideWhenUsed/>
    <w:rsid w:val="00923E7C"/>
    <w:rPr>
      <w:color w:val="0000FF"/>
      <w:u w:val="single"/>
    </w:rPr>
  </w:style>
  <w:style w:type="paragraph" w:styleId="ad">
    <w:name w:val="List Paragraph"/>
    <w:basedOn w:val="a"/>
    <w:uiPriority w:val="34"/>
    <w:qFormat/>
    <w:rsid w:val="0093398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3GPPLiaison@etsi.org"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705</Words>
  <Characters>4019</Characters>
  <Application>Microsoft Office Word</Application>
  <DocSecurity>0</DocSecurity>
  <Lines>33</Lines>
  <Paragraphs>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4715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CTPClassification=CTP_NT</cp:keywords>
  <dc:description/>
  <cp:lastModifiedBy>NTT DOCOMO, INC.</cp:lastModifiedBy>
  <cp:revision>6</cp:revision>
  <cp:lastPrinted>2002-04-23T07:10:00Z</cp:lastPrinted>
  <dcterms:created xsi:type="dcterms:W3CDTF">2018-08-24T12:27:00Z</dcterms:created>
  <dcterms:modified xsi:type="dcterms:W3CDTF">2018-08-24T12:29:00Z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cd894079-a51a-4c28-a6e4-503955e04b6d</vt:lpwstr>
  </property>
  <property fmtid="{D5CDD505-2E9C-101B-9397-08002B2CF9AE}" pid="3" name="CTP_TimeStamp">
    <vt:lpwstr>2018-08-24 12:19:33Z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