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00DE" w:rsidRPr="006518C5" w:rsidRDefault="007300DE" w:rsidP="007300DE">
      <w:pPr>
        <w:pStyle w:val="Header"/>
        <w:tabs>
          <w:tab w:val="right" w:pos="9639"/>
        </w:tabs>
        <w:rPr>
          <w:bCs/>
          <w:i/>
          <w:noProof w:val="0"/>
          <w:sz w:val="24"/>
          <w:szCs w:val="24"/>
          <w:lang w:val="en-US"/>
        </w:rPr>
      </w:pPr>
      <w:bookmarkStart w:id="0" w:name="_Hlk517091483"/>
      <w:bookmarkStart w:id="1" w:name="_GoBack"/>
      <w:bookmarkEnd w:id="1"/>
      <w:r w:rsidRPr="009D1D34">
        <w:rPr>
          <w:bCs/>
          <w:noProof w:val="0"/>
          <w:sz w:val="24"/>
          <w:szCs w:val="24"/>
          <w:lang w:val="en-US"/>
        </w:rPr>
        <w:t>3GPP TSG-RAN WG</w:t>
      </w:r>
      <w:r w:rsidR="001E077D">
        <w:rPr>
          <w:bCs/>
          <w:noProof w:val="0"/>
          <w:sz w:val="24"/>
          <w:szCs w:val="24"/>
          <w:lang w:val="en-US"/>
        </w:rPr>
        <w:t>2</w:t>
      </w:r>
      <w:r w:rsidRPr="009D1D34">
        <w:rPr>
          <w:bCs/>
          <w:noProof w:val="0"/>
          <w:sz w:val="24"/>
          <w:szCs w:val="24"/>
          <w:lang w:val="en-US"/>
        </w:rPr>
        <w:t xml:space="preserve"> </w:t>
      </w:r>
      <w:r w:rsidR="001E077D">
        <w:rPr>
          <w:bCs/>
          <w:noProof w:val="0"/>
          <w:sz w:val="24"/>
          <w:szCs w:val="24"/>
          <w:lang w:val="en-US"/>
        </w:rPr>
        <w:t>Meeting #103</w:t>
      </w:r>
      <w:r w:rsidRPr="009D1D34">
        <w:rPr>
          <w:bCs/>
          <w:noProof w:val="0"/>
          <w:sz w:val="24"/>
          <w:szCs w:val="24"/>
          <w:lang w:val="en-US"/>
        </w:rPr>
        <w:tab/>
      </w:r>
      <w:r w:rsidRPr="006518C5">
        <w:rPr>
          <w:bCs/>
          <w:noProof w:val="0"/>
          <w:sz w:val="24"/>
          <w:szCs w:val="24"/>
          <w:lang w:val="en-US"/>
        </w:rPr>
        <w:t>R</w:t>
      </w:r>
      <w:r w:rsidR="001E077D">
        <w:rPr>
          <w:bCs/>
          <w:noProof w:val="0"/>
          <w:sz w:val="24"/>
          <w:szCs w:val="24"/>
          <w:lang w:val="en-US"/>
        </w:rPr>
        <w:t>2</w:t>
      </w:r>
      <w:r w:rsidRPr="006518C5">
        <w:rPr>
          <w:bCs/>
          <w:noProof w:val="0"/>
          <w:sz w:val="24"/>
          <w:szCs w:val="24"/>
          <w:lang w:val="en-US"/>
        </w:rPr>
        <w:t>-</w:t>
      </w:r>
      <w:r w:rsidR="00120792">
        <w:rPr>
          <w:bCs/>
          <w:noProof w:val="0"/>
          <w:sz w:val="24"/>
          <w:szCs w:val="24"/>
          <w:lang w:val="en-US"/>
        </w:rPr>
        <w:t>1812346</w:t>
      </w:r>
    </w:p>
    <w:p w:rsidR="007300DE" w:rsidRPr="00B266B0" w:rsidRDefault="009F481D" w:rsidP="007300DE">
      <w:pPr>
        <w:pStyle w:val="Header"/>
        <w:tabs>
          <w:tab w:val="right" w:pos="9639"/>
        </w:tabs>
        <w:rPr>
          <w:bCs/>
          <w:noProof w:val="0"/>
          <w:sz w:val="24"/>
          <w:szCs w:val="24"/>
        </w:rPr>
      </w:pPr>
      <w:r>
        <w:rPr>
          <w:noProof w:val="0"/>
          <w:sz w:val="24"/>
          <w:szCs w:val="24"/>
          <w:lang w:eastAsia="zh-CN"/>
        </w:rPr>
        <w:t>Gothenburg, Sweden, 20-24 August</w:t>
      </w:r>
      <w:r w:rsidR="007300DE" w:rsidRPr="009D1D34">
        <w:rPr>
          <w:noProof w:val="0"/>
          <w:sz w:val="24"/>
          <w:szCs w:val="24"/>
          <w:lang w:eastAsia="zh-CN"/>
        </w:rPr>
        <w:t xml:space="preserve"> 2018</w:t>
      </w:r>
      <w:r w:rsidR="007300DE">
        <w:rPr>
          <w:noProof w:val="0"/>
          <w:sz w:val="24"/>
          <w:szCs w:val="24"/>
          <w:lang w:eastAsia="zh-CN"/>
        </w:rPr>
        <w:tab/>
      </w:r>
    </w:p>
    <w:bookmarkEnd w:id="0"/>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E077D">
        <w:rPr>
          <w:rFonts w:cs="Arial"/>
          <w:b/>
          <w:bCs/>
          <w:sz w:val="24"/>
          <w:lang w:eastAsia="ja-JP"/>
        </w:rPr>
        <w:t>11.1.2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Hlk517028023"/>
      <w:r w:rsidR="00A30C56">
        <w:rPr>
          <w:rFonts w:ascii="Arial" w:hAnsi="Arial" w:cs="Arial"/>
          <w:b/>
          <w:bCs/>
          <w:sz w:val="24"/>
        </w:rPr>
        <w:t>IAB</w:t>
      </w:r>
      <w:bookmarkEnd w:id="2"/>
      <w:r w:rsidR="00034215">
        <w:rPr>
          <w:rFonts w:ascii="Arial" w:hAnsi="Arial" w:cs="Arial"/>
          <w:b/>
          <w:bCs/>
          <w:sz w:val="24"/>
        </w:rPr>
        <w:t xml:space="preserve"> Routing </w:t>
      </w:r>
      <w:r w:rsidR="008F27BD">
        <w:rPr>
          <w:rFonts w:ascii="Arial" w:hAnsi="Arial" w:cs="Arial"/>
          <w:b/>
          <w:bCs/>
          <w:sz w:val="24"/>
        </w:rPr>
        <w:t>for Architecture 2a</w:t>
      </w:r>
      <w:r w:rsidR="00A30C56">
        <w:rPr>
          <w:rFonts w:ascii="Arial" w:hAnsi="Arial" w:cs="Arial"/>
          <w:b/>
          <w:bCs/>
          <w:sz w:val="24"/>
        </w:rPr>
        <w:t xml:space="preserve"> </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628BE">
        <w:rPr>
          <w:rFonts w:ascii="Arial" w:hAnsi="Arial" w:cs="Arial"/>
          <w:b/>
          <w:bCs/>
          <w:sz w:val="24"/>
        </w:rPr>
        <w:t>FS_</w:t>
      </w:r>
      <w:r w:rsidR="00112F1A" w:rsidRPr="00112F1A">
        <w:rPr>
          <w:rFonts w:ascii="Arial" w:hAnsi="Arial" w:cs="Arial"/>
          <w:b/>
          <w:bCs/>
          <w:sz w:val="24"/>
        </w:rPr>
        <w:t>NR_</w:t>
      </w:r>
      <w:r w:rsidR="00D628BE">
        <w:rPr>
          <w:rFonts w:ascii="Arial" w:hAnsi="Arial" w:cs="Arial"/>
          <w:b/>
          <w:bCs/>
          <w:sz w:val="24"/>
        </w:rPr>
        <w:t>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AF5759">
        <w:rPr>
          <w:rFonts w:ascii="Arial" w:hAnsi="Arial" w:cs="Arial"/>
          <w:b/>
          <w:bCs/>
          <w:sz w:val="24"/>
        </w:rPr>
        <w:t>16</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B50AB4">
        <w:rPr>
          <w:rFonts w:ascii="Arial" w:hAnsi="Arial" w:cs="Arial"/>
          <w:b/>
          <w:bCs/>
          <w:sz w:val="24"/>
        </w:rPr>
        <w:t xml:space="preserve">Discussion and </w:t>
      </w:r>
      <w:r w:rsidR="00493C05">
        <w:rPr>
          <w:rFonts w:ascii="Arial" w:hAnsi="Arial" w:cs="Arial"/>
          <w:b/>
          <w:bCs/>
          <w:sz w:val="24"/>
        </w:rPr>
        <w:t>Agreement</w:t>
      </w:r>
    </w:p>
    <w:p w:rsidR="00CD4C7B" w:rsidRPr="006E13D1" w:rsidRDefault="00CD4C7B" w:rsidP="00CD4C7B">
      <w:pPr>
        <w:pStyle w:val="Heading1"/>
      </w:pPr>
      <w:r w:rsidRPr="006E13D1">
        <w:t>1</w:t>
      </w:r>
      <w:r w:rsidRPr="006E13D1">
        <w:tab/>
      </w:r>
      <w:r w:rsidR="0056573F">
        <w:t>Introduction</w:t>
      </w:r>
    </w:p>
    <w:p w:rsidR="002C4410" w:rsidRDefault="00B3357A" w:rsidP="00CD4C7B">
      <w:r>
        <w:t xml:space="preserve">In </w:t>
      </w:r>
      <w:r w:rsidR="003325ED">
        <w:t>[1</w:t>
      </w:r>
      <w:r w:rsidR="007052E8">
        <w:t>]</w:t>
      </w:r>
      <w:r w:rsidR="002C4410">
        <w:t xml:space="preserve"> a mechanism </w:t>
      </w:r>
      <w:r w:rsidR="00ED0AF1">
        <w:t>is</w:t>
      </w:r>
      <w:r w:rsidR="002C4410">
        <w:t xml:space="preserve"> proposed to use RRC signaling to discover the IAB node topology that subtends a Donor.  The topology is represented by a table consisting</w:t>
      </w:r>
      <w:r w:rsidR="00FD28F6">
        <w:t xml:space="preserve"> of</w:t>
      </w:r>
      <w:r w:rsidR="002C4410">
        <w:t xml:space="preserve"> (</w:t>
      </w:r>
      <w:r w:rsidR="00724334">
        <w:t>upstream node</w:t>
      </w:r>
      <w:r w:rsidR="002C4410">
        <w:t>, downstream node) pairs for every IAB node</w:t>
      </w:r>
      <w:r w:rsidR="00ED0AF1">
        <w:t>, as shown in figure 1</w:t>
      </w:r>
      <w:r w:rsidR="00FD28F6">
        <w:t xml:space="preserve">.  </w:t>
      </w:r>
      <w:r w:rsidR="001F5C37">
        <w:t xml:space="preserve">In addition to identifying node relationships in the IAB topology, the tables may contain other </w:t>
      </w:r>
      <w:r w:rsidR="008A63C9">
        <w:t xml:space="preserve">forwarding related </w:t>
      </w:r>
      <w:r w:rsidR="001F5C37">
        <w:t xml:space="preserve">metadata such as the IAB Node DU </w:t>
      </w:r>
      <w:r w:rsidR="00E171A1">
        <w:t>(F1)</w:t>
      </w:r>
      <w:r w:rsidR="0082696A">
        <w:t xml:space="preserve"> </w:t>
      </w:r>
      <w:r w:rsidR="001F5C37">
        <w:t>or IAB gNB</w:t>
      </w:r>
      <w:r w:rsidR="00E171A1">
        <w:t xml:space="preserve"> (NG)</w:t>
      </w:r>
      <w:r w:rsidR="001F5C37">
        <w:t xml:space="preserve"> IP addresses. </w:t>
      </w:r>
      <w:r w:rsidR="00FD28F6">
        <w:t>A</w:t>
      </w:r>
      <w:r w:rsidR="002C4410">
        <w:t xml:space="preserve"> table is constructed at each Donor, and </w:t>
      </w:r>
      <w:r w:rsidR="00FD28F6">
        <w:t xml:space="preserve">tables </w:t>
      </w:r>
      <w:r w:rsidR="0025278C">
        <w:t>may be exchanged between Donors via Xn signaling</w:t>
      </w:r>
      <w:r w:rsidR="00FD28F6">
        <w:t xml:space="preserve"> to support dual connectivity and mobility that spans Donors</w:t>
      </w:r>
      <w:r w:rsidR="0025278C">
        <w:t>.</w:t>
      </w:r>
      <w:r w:rsidR="00B711A0">
        <w:t xml:space="preserve">  </w:t>
      </w:r>
      <w:r w:rsidR="00D21378">
        <w:t>Topology tables are updated via RRC and Xn signaling whenever there is an IAB node handover or a change in IAB node connectivity (e</w:t>
      </w:r>
      <w:r w:rsidR="001E077D">
        <w:t>.</w:t>
      </w:r>
      <w:r w:rsidR="00D21378">
        <w:t>g</w:t>
      </w:r>
      <w:r w:rsidR="001E077D">
        <w:t>.</w:t>
      </w:r>
      <w:r w:rsidR="00D21378">
        <w:t xml:space="preserve"> because of Dual Connectivity or handover).  </w:t>
      </w:r>
      <w:r w:rsidR="00B711A0">
        <w:t xml:space="preserve">The </w:t>
      </w:r>
      <w:r w:rsidR="00FD28F6">
        <w:t xml:space="preserve">topology </w:t>
      </w:r>
      <w:r w:rsidR="00B711A0">
        <w:t>table</w:t>
      </w:r>
      <w:r w:rsidR="00FD28F6">
        <w:t>s</w:t>
      </w:r>
      <w:r w:rsidR="00B711A0">
        <w:t xml:space="preserve"> and the mechanism </w:t>
      </w:r>
      <w:r w:rsidR="00FD28F6">
        <w:t>for constructing them as described in [1]</w:t>
      </w:r>
      <w:r w:rsidR="00B711A0">
        <w:t xml:space="preserve"> is applicable to both Grou</w:t>
      </w:r>
      <w:r w:rsidR="00FD28F6">
        <w:t>p 1 and Group 2 architectures.</w:t>
      </w:r>
      <w:r w:rsidR="0025278C">
        <w:t xml:space="preserve">  For architecture </w:t>
      </w:r>
      <w:r w:rsidR="006D726B">
        <w:t>2a, Xn signaling</w:t>
      </w:r>
      <w:r w:rsidR="001F5C37">
        <w:t xml:space="preserve"> may </w:t>
      </w:r>
      <w:r w:rsidR="006D726B">
        <w:t xml:space="preserve">be used to exchange </w:t>
      </w:r>
      <w:r w:rsidR="00FD28F6">
        <w:t>a</w:t>
      </w:r>
      <w:r w:rsidR="0025278C">
        <w:t xml:space="preserve"> topology table betwe</w:t>
      </w:r>
      <w:r w:rsidR="00D95E23">
        <w:t>en</w:t>
      </w:r>
      <w:r w:rsidR="0025278C">
        <w:t xml:space="preserve"> a Donor and a gNB in a subtending IAB node.</w:t>
      </w:r>
      <w:r w:rsidR="00ED0AF1">
        <w:t xml:space="preserve">  </w:t>
      </w:r>
    </w:p>
    <w:p w:rsidR="002C4410" w:rsidRDefault="00314CE4" w:rsidP="00CD4C7B">
      <w:r>
        <w:rPr>
          <w:noProof/>
        </w:rPr>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71" type="#_x0000_t75" style="width:468.6pt;height:194.45pt;mso-position-horizontal-relative:char;mso-position-vertical-relative:line">
            <v:imagedata r:id="rId13" o:title=""/>
            <w10:anchorlock/>
          </v:shape>
        </w:pict>
      </w:r>
    </w:p>
    <w:p w:rsidR="002C4410" w:rsidRDefault="00ED0AF1" w:rsidP="00ED0AF1">
      <w:pPr>
        <w:jc w:val="center"/>
      </w:pPr>
      <w:r>
        <w:t>Figure 1: Topology Tables for Architecture Group 1 and 2</w:t>
      </w:r>
    </w:p>
    <w:p w:rsidR="00840823" w:rsidRDefault="00840823" w:rsidP="007020CE"/>
    <w:p w:rsidR="00786C1A" w:rsidRDefault="007020CE" w:rsidP="007020CE">
      <w:r>
        <w:t xml:space="preserve">This contribution describes how routing of user, control and management plane </w:t>
      </w:r>
      <w:r w:rsidR="00786C1A">
        <w:t>IP packets through the IAB topology</w:t>
      </w:r>
      <w:r>
        <w:t xml:space="preserve"> is supported for architecture 2a.  IAB Topology Tables are used to support this function.</w:t>
      </w:r>
      <w:r w:rsidR="00786C1A">
        <w:t xml:space="preserve">   The mechanism may also be used for architecture Group 1 variants where transport layer IP headers are exposed in the IAB nodes.</w:t>
      </w:r>
    </w:p>
    <w:p w:rsidR="007020CE" w:rsidRPr="00B50AB4" w:rsidRDefault="00786C1A" w:rsidP="007020CE">
      <w:pPr>
        <w:rPr>
          <w:b/>
          <w:color w:val="000000"/>
        </w:rPr>
      </w:pPr>
      <w:r w:rsidRPr="00B50AB4">
        <w:rPr>
          <w:b/>
          <w:color w:val="000000"/>
        </w:rPr>
        <w:t xml:space="preserve">It is FFS whether Routing as described in in this contribution may be applied to variants of Architecture Group 1 where transport layer IP headers are exposed in IAB nodes.   </w:t>
      </w:r>
    </w:p>
    <w:p w:rsidR="007020CE" w:rsidRDefault="007020CE" w:rsidP="00CD4C7B"/>
    <w:p w:rsidR="00CD4C7B" w:rsidRPr="007E42C5" w:rsidRDefault="00CD4C7B" w:rsidP="00CD4C7B">
      <w:pPr>
        <w:pStyle w:val="Heading1"/>
      </w:pPr>
      <w:r w:rsidRPr="007E42C5">
        <w:lastRenderedPageBreak/>
        <w:t>2</w:t>
      </w:r>
      <w:r w:rsidR="00FB78B7" w:rsidRPr="007E42C5">
        <w:tab/>
      </w:r>
      <w:r w:rsidR="00FE2FEA" w:rsidRPr="007E42C5">
        <w:t>Discussion</w:t>
      </w:r>
    </w:p>
    <w:p w:rsidR="00D96969" w:rsidRPr="00D96969" w:rsidRDefault="00D96969" w:rsidP="00D96969">
      <w:pPr>
        <w:pStyle w:val="Heading2"/>
      </w:pPr>
      <w:r>
        <w:t>2.1</w:t>
      </w:r>
      <w:r>
        <w:tab/>
      </w:r>
      <w:r w:rsidR="009E5794">
        <w:t>Routing</w:t>
      </w:r>
      <w:r>
        <w:t xml:space="preserve"> </w:t>
      </w:r>
      <w:r w:rsidR="003E7368">
        <w:t>for Architecture 2a</w:t>
      </w:r>
    </w:p>
    <w:p w:rsidR="00815BA2" w:rsidRDefault="009E5794" w:rsidP="0046049B">
      <w:r>
        <w:t xml:space="preserve">Packet </w:t>
      </w:r>
      <w:r w:rsidR="003E7368">
        <w:t>forwarding in Option 2a is based on</w:t>
      </w:r>
      <w:r w:rsidR="00AC6A6F">
        <w:t xml:space="preserve"> the F1 or NG</w:t>
      </w:r>
      <w:r w:rsidR="003E7368">
        <w:t xml:space="preserve"> transport layer addresses </w:t>
      </w:r>
      <w:r w:rsidR="00AC6A6F">
        <w:t xml:space="preserve">between the </w:t>
      </w:r>
      <w:r w:rsidR="003E7368">
        <w:t>UE serving IAB node</w:t>
      </w:r>
      <w:r w:rsidR="00AC6A6F">
        <w:t xml:space="preserve"> and the UE’s CU (for F1) or UPF (for NG)</w:t>
      </w:r>
      <w:r w:rsidR="003E7368">
        <w:t xml:space="preserve">.   </w:t>
      </w:r>
      <w:r w:rsidR="00AC6A6F">
        <w:t>In either case IP packets (e</w:t>
      </w:r>
      <w:r w:rsidR="001E077D">
        <w:t>.</w:t>
      </w:r>
      <w:r w:rsidR="00AC6A6F">
        <w:t>g</w:t>
      </w:r>
      <w:r w:rsidR="001E077D">
        <w:t>.</w:t>
      </w:r>
      <w:r w:rsidR="0046049B">
        <w:t xml:space="preserve"> </w:t>
      </w:r>
      <w:r w:rsidR="003E7368">
        <w:t>GTP/UDP/IP</w:t>
      </w:r>
      <w:r w:rsidR="0046049B">
        <w:t xml:space="preserve"> for the user plane)</w:t>
      </w:r>
      <w:r w:rsidR="003E7368">
        <w:t xml:space="preserve"> are forwarded </w:t>
      </w:r>
      <w:r w:rsidR="00AC6A6F">
        <w:t>at each node based on a routing table</w:t>
      </w:r>
      <w:r w:rsidR="003E7368">
        <w:t xml:space="preserve"> </w:t>
      </w:r>
      <w:r w:rsidR="00AC6A6F">
        <w:t>lookup of</w:t>
      </w:r>
      <w:r w:rsidR="003E7368">
        <w:t xml:space="preserve"> the tunnel endpoint destination address, as is the case in</w:t>
      </w:r>
      <w:r w:rsidR="0046049B">
        <w:t xml:space="preserve"> normal wired backhaul. </w:t>
      </w:r>
      <w:r w:rsidR="003E7368">
        <w:t xml:space="preserve"> </w:t>
      </w:r>
      <w:r w:rsidR="0046049B" w:rsidRPr="0046049B">
        <w:t>However, to accommodate fast re-routing and topology aware IAB node connecti</w:t>
      </w:r>
      <w:r w:rsidR="0046049B">
        <w:t xml:space="preserve">vity, a 3GPP specific protocol, </w:t>
      </w:r>
      <w:r w:rsidR="0046049B" w:rsidRPr="0046049B">
        <w:t>rather than protocols such as Spanning tree, IS-IS, OSPF, etc</w:t>
      </w:r>
      <w:r w:rsidR="009011DD">
        <w:t>. is proposed</w:t>
      </w:r>
      <w:r w:rsidR="0046049B">
        <w:t xml:space="preserve"> to determine</w:t>
      </w:r>
      <w:r w:rsidR="0046049B" w:rsidRPr="0046049B">
        <w:t xml:space="preserve"> for</w:t>
      </w:r>
      <w:r w:rsidR="0046049B">
        <w:t xml:space="preserve">warding routes.   </w:t>
      </w:r>
    </w:p>
    <w:p w:rsidR="00815BA2" w:rsidRDefault="006D228C" w:rsidP="0046049B">
      <w:r>
        <w:t>In architecture 2a, e</w:t>
      </w:r>
      <w:r w:rsidR="00AC6A6F">
        <w:t xml:space="preserve">ach hop </w:t>
      </w:r>
      <w:r w:rsidR="00501B75">
        <w:t xml:space="preserve">between the UE serving IAB node and the Donor </w:t>
      </w:r>
      <w:r w:rsidR="00815BA2">
        <w:t>comprises one or more</w:t>
      </w:r>
      <w:r w:rsidR="00AC6A6F">
        <w:t xml:space="preserve"> complete PDU session</w:t>
      </w:r>
      <w:r>
        <w:t>s</w:t>
      </w:r>
      <w:r w:rsidR="00AC6A6F">
        <w:t xml:space="preserve"> with endpoints in a</w:t>
      </w:r>
      <w:r w:rsidR="00501B75">
        <w:t>n IAB node MT and a UPF</w:t>
      </w:r>
      <w:r>
        <w:t xml:space="preserve">, which may have minimal </w:t>
      </w:r>
      <w:r w:rsidR="00FA6B1A">
        <w:t>functionality</w:t>
      </w:r>
      <w:r w:rsidR="00501B75">
        <w:t xml:space="preserve">. </w:t>
      </w:r>
      <w:r w:rsidR="00AC6A6F">
        <w:t xml:space="preserve"> </w:t>
      </w:r>
      <w:r w:rsidR="00815BA2">
        <w:t xml:space="preserve"> All traffic, including the UE’s user plane and control plane</w:t>
      </w:r>
      <w:r>
        <w:t xml:space="preserve">, </w:t>
      </w:r>
      <w:r w:rsidR="00815BA2">
        <w:t>the IAB node control plane</w:t>
      </w:r>
      <w:r>
        <w:t xml:space="preserve"> and node management traffic</w:t>
      </w:r>
      <w:r w:rsidR="00815BA2">
        <w:t xml:space="preserve"> </w:t>
      </w:r>
      <w:r w:rsidR="00FA6B1A">
        <w:t>is</w:t>
      </w:r>
      <w:r w:rsidR="00815BA2">
        <w:t xml:space="preserve"> sent over the IAB PDU Session user plane.   Hence </w:t>
      </w:r>
      <w:r w:rsidR="006E0E10">
        <w:t>routing</w:t>
      </w:r>
      <w:r w:rsidR="00815BA2">
        <w:t xml:space="preserve"> decisions for all traffic can be made by</w:t>
      </w:r>
      <w:r>
        <w:t xml:space="preserve"> a forwarding function associated with</w:t>
      </w:r>
      <w:r w:rsidR="00815BA2">
        <w:t xml:space="preserve"> the IAB PDU Session UPFs.</w:t>
      </w:r>
    </w:p>
    <w:p w:rsidR="00397F8E" w:rsidRDefault="006E0E10" w:rsidP="0046049B">
      <w:r>
        <w:t>T</w:t>
      </w:r>
      <w:r w:rsidR="00501B75">
        <w:t>he UPFs make routing decisions based on a routing table so packets are</w:t>
      </w:r>
      <w:r w:rsidR="00AC6A6F">
        <w:t xml:space="preserve"> </w:t>
      </w:r>
      <w:r w:rsidR="00F5362A">
        <w:t xml:space="preserve">correctly </w:t>
      </w:r>
      <w:r w:rsidR="00501B75">
        <w:t>forwarded to the next hop</w:t>
      </w:r>
      <w:r w:rsidR="00F5362A">
        <w:t>.</w:t>
      </w:r>
      <w:r w:rsidR="00815BA2">
        <w:t xml:space="preserve">  </w:t>
      </w:r>
      <w:r w:rsidR="00397F8E">
        <w:t xml:space="preserve">Figure 2 illustrates routing </w:t>
      </w:r>
      <w:r w:rsidR="00EB7320">
        <w:t>for the case of a UE serving IAB node with a CU/DU split</w:t>
      </w:r>
      <w:r w:rsidR="00397F8E">
        <w:t>.</w:t>
      </w:r>
      <w:r w:rsidR="006D228C">
        <w:t xml:space="preserve">  Forwarding for the NG interface is similar.</w:t>
      </w:r>
      <w:r w:rsidR="00397F8E">
        <w:t xml:space="preserve"> </w:t>
      </w:r>
      <w:r w:rsidR="00F5362A">
        <w:t xml:space="preserve"> </w:t>
      </w:r>
      <w:r w:rsidR="00397F8E">
        <w:t>T</w:t>
      </w:r>
      <w:r w:rsidR="00F5362A">
        <w:t>he UE</w:t>
      </w:r>
      <w:r w:rsidR="00397F8E">
        <w:t>’s</w:t>
      </w:r>
      <w:r w:rsidR="00F5362A">
        <w:t xml:space="preserve"> </w:t>
      </w:r>
      <w:r w:rsidR="00EB7320">
        <w:t>CU forms a downlink</w:t>
      </w:r>
      <w:r w:rsidR="00F5362A">
        <w:t xml:space="preserve"> IP packet with a destination IP address of the DU in UE serving IAB node.  For uplink packets the UE serving IAB Node DU forms an IP packet with a destination address of the UE’s CU, as one would have for a normal F1 interface.</w:t>
      </w:r>
      <w:r w:rsidR="00EB7320">
        <w:t xml:space="preserve">  Packet forwarding over IAB ho</w:t>
      </w:r>
      <w:r w:rsidR="00A04DFC">
        <w:t>ps is based on these addresses.</w:t>
      </w:r>
      <w:r w:rsidR="00EB7320">
        <w:t xml:space="preserve">  As illustrated in figure 2, at each hop the UPF makes a forwarding decision for uplink and downlink packets according to the </w:t>
      </w:r>
      <w:r w:rsidR="005F2688">
        <w:t>packet</w:t>
      </w:r>
      <w:r w:rsidR="00A04DFC">
        <w:t>’</w:t>
      </w:r>
      <w:r w:rsidR="005F2688">
        <w:t xml:space="preserve">s </w:t>
      </w:r>
      <w:r w:rsidR="00EB7320">
        <w:t>destination</w:t>
      </w:r>
      <w:r w:rsidR="00047E2C">
        <w:t xml:space="preserve"> address</w:t>
      </w:r>
      <w:r w:rsidR="00EB7320">
        <w:t xml:space="preserve">.  </w:t>
      </w:r>
      <w:r w:rsidR="00047E2C">
        <w:t xml:space="preserve">In the case of IAB-1, the UPF will select the </w:t>
      </w:r>
      <w:r w:rsidR="002F70DB">
        <w:t>next hop</w:t>
      </w:r>
      <w:r w:rsidR="00047E2C">
        <w:t xml:space="preserve"> and forward downlink packets to the IAB-2 or </w:t>
      </w:r>
      <w:r w:rsidR="00397F8E">
        <w:t>IAB-4 as directed by</w:t>
      </w:r>
      <w:r w:rsidR="00047E2C">
        <w:t xml:space="preserve"> the routing table.  This is similar to normal UPF behavior where</w:t>
      </w:r>
      <w:r w:rsidR="00C77DEE">
        <w:t xml:space="preserve"> based on the destination IP address,</w:t>
      </w:r>
      <w:r w:rsidR="00047E2C">
        <w:t xml:space="preserve"> incoming packets </w:t>
      </w:r>
      <w:r w:rsidR="00397F8E">
        <w:t xml:space="preserve">from the DN </w:t>
      </w:r>
      <w:r w:rsidR="00047E2C">
        <w:t>are mapped to a GTP tunnel</w:t>
      </w:r>
      <w:r w:rsidR="00C77DEE">
        <w:t xml:space="preserve">.  </w:t>
      </w:r>
      <w:r w:rsidR="000E1AFF">
        <w:t>QoS Flows are then mapped to gNB DRBs that serve the UE</w:t>
      </w:r>
      <w:r w:rsidR="00047E2C">
        <w:t>.</w:t>
      </w:r>
      <w:r w:rsidR="00397F8E">
        <w:t xml:space="preserve">  </w:t>
      </w:r>
      <w:r w:rsidR="006B2F4F">
        <w:t>Since the gNB and UPF are w</w:t>
      </w:r>
      <w:r w:rsidR="000B7650">
        <w:t xml:space="preserve">ithin </w:t>
      </w:r>
      <w:r w:rsidR="006B2F4F">
        <w:t xml:space="preserve">the same </w:t>
      </w:r>
      <w:r w:rsidR="000B7650">
        <w:t>IAB</w:t>
      </w:r>
      <w:r w:rsidR="006B2F4F">
        <w:t xml:space="preserve"> node, maintaining this two-step mapping or collapsing it may be left to </w:t>
      </w:r>
      <w:r w:rsidR="005F2688">
        <w:t xml:space="preserve">vendor </w:t>
      </w:r>
      <w:r w:rsidR="006B2F4F">
        <w:t>implementation.</w:t>
      </w:r>
    </w:p>
    <w:p w:rsidR="00AC6A6F" w:rsidRDefault="00CC133B" w:rsidP="0046049B">
      <w:r>
        <w:rPr>
          <w:noProof/>
        </w:rPr>
      </w:r>
      <w:r>
        <w:pict>
          <v:shape id="_x0000_s1275" type="#_x0000_t75" style="width:456.85pt;height:210.5pt;mso-position-horizontal-relative:char;mso-position-vertical-relative:line">
            <v:imagedata r:id="rId14" o:title=""/>
            <w10:anchorlock/>
          </v:shape>
        </w:pict>
      </w:r>
    </w:p>
    <w:p w:rsidR="000B7650" w:rsidRDefault="000B7650" w:rsidP="000B7650">
      <w:pPr>
        <w:jc w:val="center"/>
      </w:pPr>
      <w:r>
        <w:t>Figure 2: Routing by the UPF and IAB Routing Table formulation</w:t>
      </w:r>
    </w:p>
    <w:p w:rsidR="000B7650" w:rsidRDefault="000B7650" w:rsidP="000B7650">
      <w:r>
        <w:t xml:space="preserve">Figure 2 also shows how routing tables for each node may be </w:t>
      </w:r>
      <w:r w:rsidR="002712C8">
        <w:t>derived from the topology table,</w:t>
      </w:r>
      <w:r w:rsidR="00FF6295">
        <w:t xml:space="preserve"> using IAB node 1 as an example</w:t>
      </w:r>
      <w:r>
        <w:t>.  The topology</w:t>
      </w:r>
      <w:r w:rsidR="002712C8">
        <w:t xml:space="preserve"> table</w:t>
      </w:r>
      <w:r>
        <w:t xml:space="preserve"> contain</w:t>
      </w:r>
      <w:r w:rsidR="002712C8">
        <w:t>s</w:t>
      </w:r>
      <w:r>
        <w:t xml:space="preserve"> the full interconnectivity </w:t>
      </w:r>
      <w:r w:rsidR="00703CF9">
        <w:t>information for</w:t>
      </w:r>
      <w:r>
        <w:t xml:space="preserve"> nodes in the IAB structure</w:t>
      </w:r>
      <w:r w:rsidR="00976F45">
        <w:t xml:space="preserve"> downstream of the donor</w:t>
      </w:r>
      <w:r>
        <w:t>.</w:t>
      </w:r>
      <w:r w:rsidR="00FF6295">
        <w:t xml:space="preserve">  </w:t>
      </w:r>
      <w:r w:rsidR="006B2F4F">
        <w:t>The next hop</w:t>
      </w:r>
      <w:r w:rsidR="00703CF9">
        <w:t xml:space="preserve"> or interface can </w:t>
      </w:r>
      <w:r w:rsidR="005F2688">
        <w:t xml:space="preserve">therefore </w:t>
      </w:r>
      <w:r w:rsidR="00703CF9">
        <w:t xml:space="preserve">be derived </w:t>
      </w:r>
      <w:r w:rsidR="00976F45">
        <w:t xml:space="preserve">from the topology table </w:t>
      </w:r>
      <w:r w:rsidR="00703CF9">
        <w:t>simply by tracing the path from the destinati</w:t>
      </w:r>
      <w:r w:rsidR="0095109C">
        <w:t>on node.   For example, to route to IAB-3 from IAB-1, the top</w:t>
      </w:r>
      <w:r w:rsidR="00976F45">
        <w:t>o</w:t>
      </w:r>
      <w:r w:rsidR="0095109C">
        <w:t>logy table indicates the path is IAB-3</w:t>
      </w:r>
      <w:r w:rsidR="0095109C">
        <w:sym w:font="Wingdings" w:char="F0E0"/>
      </w:r>
      <w:r w:rsidR="0095109C">
        <w:t>IAB-2</w:t>
      </w:r>
      <w:r w:rsidR="0095109C">
        <w:sym w:font="Wingdings" w:char="F0E0"/>
      </w:r>
      <w:r w:rsidR="0095109C">
        <w:t>IAB-1.   Hence IAB-1 ente</w:t>
      </w:r>
      <w:r w:rsidR="009C33ED">
        <w:t>rs IAB-2 as the next-</w:t>
      </w:r>
      <w:r w:rsidR="0095109C">
        <w:t xml:space="preserve">hop for packets </w:t>
      </w:r>
      <w:r w:rsidR="009C33ED">
        <w:t xml:space="preserve">with a </w:t>
      </w:r>
      <w:r w:rsidR="005F2688">
        <w:t xml:space="preserve">DU </w:t>
      </w:r>
      <w:r w:rsidR="009C33ED">
        <w:t>desti</w:t>
      </w:r>
      <w:r w:rsidR="005F2688">
        <w:t>nation address of</w:t>
      </w:r>
      <w:r w:rsidR="0095109C">
        <w:t xml:space="preserve"> IAB-3.</w:t>
      </w:r>
      <w:r w:rsidR="009C33ED">
        <w:t xml:space="preserve">   For the uplink, the next-hop to the Donor may be similarly constructed. </w:t>
      </w:r>
      <w:r w:rsidR="005F2688">
        <w:t xml:space="preserve">Any downstream node in the table may be a UE serving IAB node, and hence the DU or gNB of each </w:t>
      </w:r>
      <w:r w:rsidR="00117B25">
        <w:t xml:space="preserve">IAB </w:t>
      </w:r>
      <w:r w:rsidR="005F2688">
        <w:t>node must be represented in the Routing Table.</w:t>
      </w:r>
    </w:p>
    <w:p w:rsidR="00D30204" w:rsidRPr="0092228F" w:rsidRDefault="005C4332" w:rsidP="000B7650">
      <w:r>
        <w:t>When there are multiple paths or potential paths (e</w:t>
      </w:r>
      <w:r w:rsidR="003B7B94">
        <w:t>.</w:t>
      </w:r>
      <w:r>
        <w:t>g</w:t>
      </w:r>
      <w:r w:rsidR="003B7B94">
        <w:t>.</w:t>
      </w:r>
      <w:r>
        <w:t xml:space="preserve"> because of UE or IAB node dual connectivity) between the F1 or NG tunnel endpoints, there may be more than one entry per-destination in the Routing Table of an IAB node.</w:t>
      </w:r>
      <w:r w:rsidR="00294279">
        <w:t xml:space="preserve"> </w:t>
      </w:r>
      <w:r w:rsidR="007B2F0B">
        <w:t xml:space="preserve"> A Cost field in the routing table may be used to select the preferred path</w:t>
      </w:r>
      <w:r w:rsidR="00294279">
        <w:t>.</w:t>
      </w:r>
      <w:r w:rsidR="00D30204">
        <w:t xml:space="preserve">  The Cost field</w:t>
      </w:r>
      <w:r w:rsidR="00294279">
        <w:t xml:space="preserve"> may be populated by the Donor </w:t>
      </w:r>
      <w:r w:rsidR="00D144D5">
        <w:t xml:space="preserve">or IAB Node </w:t>
      </w:r>
      <w:r w:rsidR="00294279">
        <w:t xml:space="preserve">CU to represent a forwarding preference, for example to minimize the number of hops between the Donor and the UE serving IAB node.  </w:t>
      </w:r>
      <w:r w:rsidR="00D30204" w:rsidRPr="0092228F">
        <w:t>Other characteristics of the topology such as loading along the path, available QoS</w:t>
      </w:r>
      <w:r w:rsidR="00D144D5" w:rsidRPr="0092228F">
        <w:t>, level of congestion</w:t>
      </w:r>
      <w:r w:rsidR="00D30204" w:rsidRPr="0092228F">
        <w:t xml:space="preserve"> or knowledge of the </w:t>
      </w:r>
      <w:r w:rsidR="00D144D5" w:rsidRPr="0092228F">
        <w:t>service requirements such as low latency may also be taken into consideration when indicating the path preference in the Cost field.</w:t>
      </w:r>
    </w:p>
    <w:p w:rsidR="009C33ED" w:rsidRDefault="00D144D5" w:rsidP="000B7650">
      <w:r>
        <w:t xml:space="preserve">The Cost field may also be used as </w:t>
      </w:r>
      <w:r w:rsidR="007B2F0B">
        <w:t>a means for fast switching wh</w:t>
      </w:r>
      <w:r w:rsidR="00B12913">
        <w:t>en there is a link event, such a</w:t>
      </w:r>
      <w:r w:rsidR="009C3FF7">
        <w:t>s radio condition deterioration or restoration.</w:t>
      </w:r>
      <w:r>
        <w:t xml:space="preserve">   A link event propagated</w:t>
      </w:r>
      <w:r w:rsidR="00440C47">
        <w:t xml:space="preserve"> to the IAB node</w:t>
      </w:r>
      <w:r>
        <w:t xml:space="preserve"> via the user plane or control plane can be used to alter the Cost so packets are forwarded over an alternate route.</w:t>
      </w:r>
    </w:p>
    <w:p w:rsidR="00065352" w:rsidRPr="00B50AB4" w:rsidRDefault="00065352" w:rsidP="000B7650">
      <w:pPr>
        <w:rPr>
          <w:b/>
          <w:color w:val="000000"/>
        </w:rPr>
      </w:pPr>
      <w:r w:rsidRPr="00B50AB4">
        <w:rPr>
          <w:b/>
          <w:color w:val="000000"/>
        </w:rPr>
        <w:t xml:space="preserve">The link events and how they are conveyed to trigger fast path switching to an alternate path is FFS. </w:t>
      </w:r>
    </w:p>
    <w:p w:rsidR="000B7650" w:rsidRDefault="00D30204" w:rsidP="0046049B">
      <w:r>
        <w:t>The depiction of the routing table in figure 2 is not meant to exclude other possible fields</w:t>
      </w:r>
      <w:r w:rsidR="00440C47">
        <w:t xml:space="preserve"> in the routing table</w:t>
      </w:r>
      <w:r>
        <w:t xml:space="preserve">.   For example, a field may be included that </w:t>
      </w:r>
      <w:r w:rsidRPr="00D30204">
        <w:t>indicate</w:t>
      </w:r>
      <w:r>
        <w:t>s the</w:t>
      </w:r>
      <w:r w:rsidRPr="00D30204">
        <w:t xml:space="preserve"> circumstances </w:t>
      </w:r>
      <w:r w:rsidR="00D144D5">
        <w:t xml:space="preserve">under which </w:t>
      </w:r>
      <w:r w:rsidR="00440C47">
        <w:t xml:space="preserve">a route is to become less </w:t>
      </w:r>
      <w:r w:rsidR="00064D49">
        <w:t xml:space="preserve">or more </w:t>
      </w:r>
      <w:r w:rsidR="00440C47">
        <w:t>preferred</w:t>
      </w:r>
      <w:r>
        <w:t xml:space="preserve">, or </w:t>
      </w:r>
      <w:r w:rsidR="00440C47">
        <w:t xml:space="preserve">the conditions under which packets are to be duplicated and sent on multiple branches.  </w:t>
      </w:r>
    </w:p>
    <w:p w:rsidR="00747579" w:rsidRPr="00B50AB4" w:rsidRDefault="00747579" w:rsidP="0046049B">
      <w:pPr>
        <w:rPr>
          <w:b/>
          <w:color w:val="000000"/>
        </w:rPr>
      </w:pPr>
      <w:r w:rsidRPr="00B50AB4">
        <w:rPr>
          <w:b/>
          <w:color w:val="000000"/>
        </w:rPr>
        <w:t xml:space="preserve">Conditional route </w:t>
      </w:r>
      <w:r w:rsidR="003B7B94" w:rsidRPr="00F66F10">
        <w:rPr>
          <w:b/>
          <w:color w:val="000000"/>
        </w:rPr>
        <w:t>switching,</w:t>
      </w:r>
      <w:r w:rsidRPr="00B50AB4">
        <w:rPr>
          <w:b/>
          <w:color w:val="000000"/>
        </w:rPr>
        <w:t xml:space="preserve"> or packet duplication based on rules distributed to IAB nodes is FFS.</w:t>
      </w:r>
    </w:p>
    <w:p w:rsidR="0046049B" w:rsidRDefault="0046049B" w:rsidP="004F6C44"/>
    <w:p w:rsidR="003325ED" w:rsidRDefault="003325ED" w:rsidP="001D0F67">
      <w:pPr>
        <w:pStyle w:val="Heading1"/>
      </w:pPr>
      <w:r>
        <w:t>Summary</w:t>
      </w:r>
    </w:p>
    <w:p w:rsidR="003325ED" w:rsidRDefault="003325ED" w:rsidP="001D0F67">
      <w:r>
        <w:rPr>
          <w:lang w:val="en-GB"/>
        </w:rPr>
        <w:t xml:space="preserve">The paper </w:t>
      </w:r>
      <w:r>
        <w:t xml:space="preserve">proposes an approach for </w:t>
      </w:r>
      <w:r w:rsidR="000A72AB">
        <w:t xml:space="preserve">Routing </w:t>
      </w:r>
      <w:r w:rsidR="00310416">
        <w:t xml:space="preserve">packets for IAB Option 2a. </w:t>
      </w:r>
      <w:r>
        <w:t>The related TP for TR 38.874 is also provided</w:t>
      </w:r>
      <w:r w:rsidR="00310416">
        <w:t>.</w:t>
      </w:r>
    </w:p>
    <w:p w:rsidR="003325ED" w:rsidRDefault="003325ED" w:rsidP="001D0F67">
      <w:pPr>
        <w:rPr>
          <w:b/>
        </w:rPr>
      </w:pPr>
      <w:r>
        <w:rPr>
          <w:b/>
        </w:rPr>
        <w:t>Proposal: Adopt the TP on</w:t>
      </w:r>
      <w:r w:rsidR="00310416">
        <w:rPr>
          <w:b/>
        </w:rPr>
        <w:t xml:space="preserve"> Routing for Option 2a </w:t>
      </w:r>
      <w:r>
        <w:rPr>
          <w:b/>
        </w:rPr>
        <w:t xml:space="preserve">in </w:t>
      </w:r>
      <w:r w:rsidR="00310416">
        <w:rPr>
          <w:b/>
        </w:rPr>
        <w:t>TR 38.874</w:t>
      </w:r>
    </w:p>
    <w:p w:rsidR="003B7B94" w:rsidRDefault="003B7B94" w:rsidP="001D0F67">
      <w:pPr>
        <w:rPr>
          <w:b/>
        </w:rPr>
      </w:pPr>
    </w:p>
    <w:p w:rsidR="003B7B94" w:rsidRPr="0001093E" w:rsidRDefault="003B7B94" w:rsidP="003B7B94">
      <w:pPr>
        <w:pStyle w:val="Heading1"/>
        <w:rPr>
          <w:lang w:val="en-US"/>
        </w:rPr>
      </w:pPr>
      <w:r w:rsidRPr="0001093E">
        <w:rPr>
          <w:lang w:val="en-US"/>
        </w:rPr>
        <w:t>References</w:t>
      </w:r>
    </w:p>
    <w:p w:rsidR="003B7B94" w:rsidRPr="0001093E" w:rsidRDefault="003B7B94" w:rsidP="003B7B94">
      <w:pPr>
        <w:numPr>
          <w:ilvl w:val="0"/>
          <w:numId w:val="4"/>
        </w:numPr>
        <w:overflowPunct w:val="0"/>
        <w:autoSpaceDE w:val="0"/>
        <w:autoSpaceDN w:val="0"/>
        <w:adjustRightInd w:val="0"/>
        <w:textAlignment w:val="baseline"/>
      </w:pPr>
      <w:r w:rsidRPr="004337FC">
        <w:t>R3-183750</w:t>
      </w:r>
      <w:r>
        <w:t xml:space="preserve"> </w:t>
      </w:r>
      <w:r w:rsidRPr="004337FC">
        <w:rPr>
          <w:i/>
        </w:rPr>
        <w:t xml:space="preserve">IAB Topology Discovery for Routing and Topology Management </w:t>
      </w:r>
      <w:r>
        <w:t>Nokia, Nokia Shanghai Bell</w:t>
      </w:r>
    </w:p>
    <w:p w:rsidR="003B7B94" w:rsidRPr="001D0F67" w:rsidRDefault="003B7B94" w:rsidP="001D0F67">
      <w:pPr>
        <w:rPr>
          <w:b/>
          <w:lang w:val="en-GB"/>
        </w:rPr>
      </w:pPr>
    </w:p>
    <w:p w:rsidR="00AD79AF" w:rsidRDefault="003325ED" w:rsidP="00A839AB">
      <w:pPr>
        <w:rPr>
          <w:rFonts w:cs="Arial"/>
          <w:szCs w:val="22"/>
        </w:rPr>
      </w:pPr>
      <w:r>
        <w:rPr>
          <w:rFonts w:cs="Arial"/>
          <w:szCs w:val="22"/>
        </w:rPr>
        <w:br w:type="page"/>
      </w:r>
    </w:p>
    <w:p w:rsidR="00CB138E" w:rsidRDefault="00CB138E" w:rsidP="00743A0E">
      <w:pPr>
        <w:pStyle w:val="Heading1"/>
        <w:ind w:left="0" w:firstLine="0"/>
        <w:rPr>
          <w:rStyle w:val="Hyperlink"/>
          <w:color w:val="000000"/>
        </w:rPr>
      </w:pPr>
      <w:r>
        <w:t>Text Proposal for TR 38.874</w:t>
      </w:r>
    </w:p>
    <w:p w:rsidR="00CB138E" w:rsidRDefault="00CB138E" w:rsidP="00CB138E">
      <w:pPr>
        <w:jc w:val="center"/>
        <w:rPr>
          <w:b/>
          <w:sz w:val="36"/>
        </w:rPr>
      </w:pPr>
      <w:r w:rsidRPr="00AC2EAC">
        <w:rPr>
          <w:b/>
          <w:sz w:val="36"/>
        </w:rPr>
        <w:t>********* Start of Change **********</w:t>
      </w:r>
    </w:p>
    <w:p w:rsidR="00CB138E" w:rsidRDefault="00CB138E" w:rsidP="00CB138E">
      <w:pPr>
        <w:pStyle w:val="ListParagraph"/>
        <w:ind w:left="0"/>
      </w:pPr>
    </w:p>
    <w:p w:rsidR="00CB138E" w:rsidRDefault="00CB138E" w:rsidP="00CB138E">
      <w:pPr>
        <w:pStyle w:val="ListParagraph"/>
        <w:ind w:left="0"/>
      </w:pPr>
    </w:p>
    <w:p w:rsidR="00CB138E" w:rsidRDefault="00CB138E" w:rsidP="00CB138E">
      <w:pPr>
        <w:pStyle w:val="Heading1"/>
      </w:pPr>
      <w:bookmarkStart w:id="3" w:name="_Toc510529868"/>
      <w:r>
        <w:t>8</w:t>
      </w:r>
      <w:r>
        <w:tab/>
      </w:r>
      <w:r w:rsidRPr="00186AAF">
        <w:t xml:space="preserve">Radio </w:t>
      </w:r>
      <w:r>
        <w:t xml:space="preserve">protocol </w:t>
      </w:r>
      <w:r w:rsidRPr="00186AAF">
        <w:t>aspects</w:t>
      </w:r>
      <w:bookmarkEnd w:id="3"/>
    </w:p>
    <w:p w:rsidR="00CB138E" w:rsidRDefault="00CB138E" w:rsidP="00CB138E">
      <w:pPr>
        <w:pStyle w:val="EditorsNote"/>
      </w:pPr>
      <w:bookmarkStart w:id="4" w:name="_Toc259599322"/>
      <w:r>
        <w:t>Editor’s note:</w:t>
      </w:r>
      <w:r>
        <w:tab/>
        <w:t xml:space="preserve">Primary responsible WG for this </w:t>
      </w:r>
      <w:r w:rsidRPr="00635DD3">
        <w:t>clause</w:t>
      </w:r>
      <w:r>
        <w:t xml:space="preserve"> is RAN2.</w:t>
      </w:r>
    </w:p>
    <w:p w:rsidR="00CB138E" w:rsidRDefault="00CB138E" w:rsidP="00CB138E">
      <w:pPr>
        <w:pStyle w:val="Heading2"/>
      </w:pPr>
      <w:bookmarkStart w:id="5" w:name="_Toc510529869"/>
      <w:r>
        <w:t>8.1</w:t>
      </w:r>
      <w:bookmarkEnd w:id="4"/>
      <w:r>
        <w:t xml:space="preserve">   Packet Processing</w:t>
      </w:r>
      <w:bookmarkEnd w:id="5"/>
    </w:p>
    <w:p w:rsidR="00CB138E" w:rsidRPr="003A50D0" w:rsidRDefault="00CB138E" w:rsidP="00CB138E">
      <w:pPr>
        <w:rPr>
          <w:lang w:eastAsia="x-none"/>
        </w:rPr>
      </w:pPr>
      <w:r>
        <w:rPr>
          <w:lang w:eastAsia="x-none"/>
        </w:rPr>
        <w:t>…</w:t>
      </w:r>
    </w:p>
    <w:p w:rsidR="00CB138E" w:rsidRDefault="00CB138E" w:rsidP="00034215">
      <w:pPr>
        <w:pStyle w:val="Heading2"/>
      </w:pPr>
      <w:bookmarkStart w:id="6" w:name="_Hlk517027925"/>
      <w:r w:rsidRPr="00E45239">
        <w:t xml:space="preserve">8.2 </w:t>
      </w:r>
      <w:r>
        <w:t xml:space="preserve">  </w:t>
      </w:r>
      <w:r w:rsidRPr="00E45239">
        <w:t xml:space="preserve">User-plane considerations </w:t>
      </w:r>
      <w:bookmarkEnd w:id="6"/>
      <w:r w:rsidRPr="00E45239">
        <w:t>for architecture group 1</w:t>
      </w:r>
    </w:p>
    <w:p w:rsidR="00034215" w:rsidRDefault="00034215" w:rsidP="00034215">
      <w:pPr>
        <w:rPr>
          <w:lang w:val="en-GB"/>
        </w:rPr>
      </w:pPr>
      <w:r>
        <w:rPr>
          <w:lang w:val="en-GB"/>
        </w:rPr>
        <w:t>….</w:t>
      </w:r>
    </w:p>
    <w:p w:rsidR="00034215" w:rsidRPr="00034215" w:rsidRDefault="00034215" w:rsidP="00034215">
      <w:pPr>
        <w:rPr>
          <w:lang w:val="en-GB"/>
        </w:rPr>
      </w:pPr>
    </w:p>
    <w:p w:rsidR="00A8656F" w:rsidRDefault="00A8656F" w:rsidP="00A8656F">
      <w:pPr>
        <w:pStyle w:val="Heading2"/>
        <w:rPr>
          <w:ins w:id="7" w:author="Nokia" w:date="2018-08-09T22:37:00Z"/>
        </w:rPr>
      </w:pPr>
      <w:ins w:id="8" w:author="Nokia" w:date="2018-08-09T22:37:00Z">
        <w:r>
          <w:t>8.x</w:t>
        </w:r>
        <w:r>
          <w:tab/>
          <w:t>Control-Plane Considerations for Architecture Group 2</w:t>
        </w:r>
      </w:ins>
    </w:p>
    <w:p w:rsidR="00A8656F" w:rsidRPr="00B50AB4" w:rsidRDefault="00A8656F" w:rsidP="00A8656F">
      <w:pPr>
        <w:rPr>
          <w:ins w:id="9" w:author="Nokia" w:date="2018-08-09T22:37:00Z"/>
          <w:lang w:val="en-GB"/>
        </w:rPr>
      </w:pPr>
    </w:p>
    <w:p w:rsidR="00A8656F" w:rsidRPr="00B50AB4" w:rsidRDefault="00A8656F" w:rsidP="00A8656F">
      <w:pPr>
        <w:rPr>
          <w:ins w:id="10" w:author="Nokia" w:date="2018-08-09T22:37:00Z"/>
          <w:rFonts w:ascii="Arial" w:hAnsi="Arial"/>
          <w:sz w:val="28"/>
          <w:lang w:val="en-GB"/>
        </w:rPr>
      </w:pPr>
      <w:ins w:id="11" w:author="Nokia" w:date="2018-08-09T22:37:00Z">
        <w:r w:rsidRPr="00B50AB4">
          <w:rPr>
            <w:rFonts w:ascii="Arial" w:hAnsi="Arial"/>
            <w:sz w:val="28"/>
            <w:lang w:val="en-GB"/>
          </w:rPr>
          <w:t>8.x.1</w:t>
        </w:r>
        <w:r w:rsidRPr="00B50AB4">
          <w:rPr>
            <w:rFonts w:ascii="Arial" w:hAnsi="Arial"/>
            <w:sz w:val="28"/>
            <w:lang w:val="en-GB"/>
          </w:rPr>
          <w:tab/>
          <w:t>Routing Protocols</w:t>
        </w:r>
      </w:ins>
    </w:p>
    <w:p w:rsidR="00A8656F" w:rsidRDefault="00A8656F" w:rsidP="00A8656F">
      <w:pPr>
        <w:rPr>
          <w:ins w:id="12" w:author="Nokia" w:date="2018-08-09T22:37:00Z"/>
        </w:rPr>
      </w:pPr>
      <w:ins w:id="13" w:author="Nokia" w:date="2018-08-09T22:37:00Z">
        <w:r>
          <w:t xml:space="preserve">Packet forwarding in Option 2a is based on the F1 or NG transport layer addresses between the UE serving IAB node and the UE’s CU (for F1) or UPF (for NG).   In either case IP packets (e.g. GTP/UDP/IP for the user plane) are forwarded at each node based on a routing table lookup of the tunnel endpoint destination address, as is the case in normal wired backhaul.  </w:t>
        </w:r>
        <w:r w:rsidRPr="0046049B">
          <w:t>However, to accommodate fast re-routing and topology aware IAB node connecti</w:t>
        </w:r>
        <w:r>
          <w:t xml:space="preserve">vity, a 3GPP specific protocol, </w:t>
        </w:r>
        <w:r w:rsidRPr="0046049B">
          <w:t>rather than protocols such as Spanning tree, IS-IS, OSPF, etc</w:t>
        </w:r>
        <w:r>
          <w:t>. is proposed to determine</w:t>
        </w:r>
        <w:r w:rsidRPr="0046049B">
          <w:t xml:space="preserve"> for</w:t>
        </w:r>
        <w:r>
          <w:t xml:space="preserve">warding routes.   </w:t>
        </w:r>
      </w:ins>
    </w:p>
    <w:p w:rsidR="00A8656F" w:rsidRDefault="00A8656F" w:rsidP="00A8656F">
      <w:pPr>
        <w:rPr>
          <w:ins w:id="14" w:author="Nokia" w:date="2018-08-09T22:37:00Z"/>
        </w:rPr>
      </w:pPr>
      <w:ins w:id="15" w:author="Nokia" w:date="2018-08-09T22:37:00Z">
        <w:r>
          <w:t>In architecture 2a, each hop between the UE serving IAB node and the Donor comprises one or more complete PDU sessions with endpoints in an IAB node MT and a UPF, which may have minimal functionality.   All traffic, including the UE’s user plane and control plane, the IAB node control plane and node management traffic is sent over the IAB PDU Session user plane.   Hence routing decisions for all traffic can be made by a forwarding function associated with the IAB PDU Session UPFs.</w:t>
        </w:r>
      </w:ins>
    </w:p>
    <w:p w:rsidR="00A8656F" w:rsidRDefault="00A8656F" w:rsidP="00A8656F">
      <w:pPr>
        <w:rPr>
          <w:ins w:id="16" w:author="Nokia" w:date="2018-08-09T22:37:00Z"/>
        </w:rPr>
      </w:pPr>
      <w:ins w:id="17" w:author="Nokia" w:date="2018-08-09T22:37:00Z">
        <w:r>
          <w:t>The UPFs make routing decisions based on a routing table so packets are correctly forwarded to the next hop.  Figure 8.x.1 illustrates routing for the case of a UE serving IAB node with a CU/DU split.  Forwarding for the NG interface is similar.  The UE’s CU forms a downlink IP packet with a destination IP address of the DU in UE serving IAB node.  For uplink packets the UE serving IAB Node DU forms an IP packet with a destination address of the UE’s CU, as one would have for a normal F1 interface.  Packet forwarding over IAB hops is based on these addresses.  As illustrated in figure 8.x.1, at each hop the UPF makes forwarding decisions for uplink and downlink packets according to the packet destination address.  In the case of IAB-1, the UPF will select the next-hop and forward downlink packets to the IAB-2 or IAB-4 as directed by the routing table.  This is similar to normal UPF behavior where based on the destination IP address, incoming packets from the DN are mapped to a GTP tunnel. QoS Flows are then mapped to gNB DRBs that serve the UE.  Since the gNB and UPF are within the same IAB node, maintaining this two-step mapping or collapsing it may be left to vendor implementation.</w:t>
        </w:r>
      </w:ins>
    </w:p>
    <w:p w:rsidR="00A8656F" w:rsidRDefault="00A8656F" w:rsidP="00A8656F">
      <w:pPr>
        <w:rPr>
          <w:ins w:id="18" w:author="Nokia" w:date="2018-08-09T22:37:00Z"/>
        </w:rPr>
      </w:pPr>
      <w:ins w:id="19" w:author="Nokia" w:date="2018-08-09T22:37:00Z">
        <w:r>
          <w:rPr>
            <w:noProof/>
          </w:rPr>
        </w:r>
        <w:r>
          <w:pict>
            <v:shape id="_x0000_s1277" type="#_x0000_t75" style="width:456.85pt;height:210.5pt;mso-position-horizontal-relative:char;mso-position-vertical-relative:line">
              <v:imagedata r:id="rId14" o:title=""/>
              <w10:anchorlock/>
            </v:shape>
          </w:pict>
        </w:r>
      </w:ins>
    </w:p>
    <w:p w:rsidR="00A8656F" w:rsidRDefault="00A8656F" w:rsidP="00A8656F">
      <w:pPr>
        <w:jc w:val="center"/>
        <w:rPr>
          <w:ins w:id="20" w:author="Nokia" w:date="2018-08-09T22:37:00Z"/>
        </w:rPr>
      </w:pPr>
      <w:ins w:id="21" w:author="Nokia" w:date="2018-08-09T22:37:00Z">
        <w:r>
          <w:t>Figure 8.x.1: Routing by the UPF and IAB Routing Table formulation</w:t>
        </w:r>
      </w:ins>
    </w:p>
    <w:p w:rsidR="00A8656F" w:rsidRDefault="00A8656F" w:rsidP="00A8656F">
      <w:pPr>
        <w:rPr>
          <w:ins w:id="22" w:author="Nokia" w:date="2018-08-09T22:37:00Z"/>
        </w:rPr>
      </w:pPr>
      <w:ins w:id="23" w:author="Nokia" w:date="2018-08-09T22:37:00Z">
        <w:r>
          <w:t>Figure 8.x.1 also shows how routing tables for each node may be derived from the topology table, using IAB node 1 as an example.  The topology table contains the full interconnectivity information for nodes in the IAB structure downstream of the donor.  It also contains IAB Node IP addresses for the F1 and/or NG tunnel transport. The next hop or interface can therefore be derived from the topology table simply by tracing the path from the destination node.   For example, to route to IAB-3 from IAB-1, the topology table indicates the path is IAB-3</w:t>
        </w:r>
        <w:r>
          <w:sym w:font="Wingdings" w:char="F0E0"/>
        </w:r>
        <w:r>
          <w:t>IAB-2</w:t>
        </w:r>
        <w:r>
          <w:sym w:font="Wingdings" w:char="F0E0"/>
        </w:r>
        <w:r>
          <w:t>IAB-1.   Hence IAB-1 enters IAB-2 as the next-hop for packets with a DU destination address of IAB-3.   For the uplink, the next-hop to the Donor may be similarly constructed. Any downstream node in the table may be a UE serving IAB node, and hence the DU or gNB of each IAB node must be represented in the Routing Table.</w:t>
        </w:r>
      </w:ins>
    </w:p>
    <w:p w:rsidR="00A8656F" w:rsidRPr="0092228F" w:rsidRDefault="00A8656F" w:rsidP="00A8656F">
      <w:pPr>
        <w:rPr>
          <w:ins w:id="24" w:author="Nokia" w:date="2018-08-09T22:37:00Z"/>
        </w:rPr>
      </w:pPr>
      <w:ins w:id="25" w:author="Nokia" w:date="2018-08-09T22:37:00Z">
        <w:r>
          <w:t xml:space="preserve">When there are multiple paths or potential paths (e.g. because of UE or IAB node dual connectivity) between the F1 or NG tunnel endpoints, there may be more than one entry per-destination in the Routing Table of an IAB node.  A Cost field in the routing table may be used to select the preferred path.  The Cost field may be populated by the Donor or IAB Node CU to represent a forwarding preference, for example to minimize the number of hops between the Donor and the UE serving IAB node.  </w:t>
        </w:r>
        <w:r w:rsidRPr="0092228F">
          <w:t>Other characteristics of the topology such as loading along the path, available QoS, level of congestion or knowledge of the service requirements such as low latency may also be taken into consideration when indicating the path preference in the Cost field.</w:t>
        </w:r>
      </w:ins>
    </w:p>
    <w:p w:rsidR="00A8656F" w:rsidRDefault="00A8656F" w:rsidP="00A8656F">
      <w:pPr>
        <w:rPr>
          <w:ins w:id="26" w:author="Nokia" w:date="2018-08-09T22:37:00Z"/>
        </w:rPr>
      </w:pPr>
      <w:ins w:id="27" w:author="Nokia" w:date="2018-08-09T22:37:00Z">
        <w:r>
          <w:t>The Cost field may also be used as a means for fast switching when there is a link event, such as radio condition deterioration or restoration.   A link event propagated to the IAB node via the user plane or control plane can be used to alter the Cost so packets are forwarded over an alternate route.</w:t>
        </w:r>
      </w:ins>
    </w:p>
    <w:p w:rsidR="00A8656F" w:rsidRPr="00B50AB4" w:rsidRDefault="00A8656F" w:rsidP="00A8656F">
      <w:pPr>
        <w:rPr>
          <w:ins w:id="28" w:author="Nokia" w:date="2018-08-09T22:37:00Z"/>
          <w:b/>
          <w:color w:val="000000"/>
        </w:rPr>
      </w:pPr>
      <w:ins w:id="29" w:author="Nokia" w:date="2018-08-09T22:37:00Z">
        <w:r w:rsidRPr="00B50AB4">
          <w:rPr>
            <w:b/>
            <w:color w:val="000000"/>
          </w:rPr>
          <w:t xml:space="preserve">The link events and how they are conveyed to trigger fast path switching to an alternate path is FFS. </w:t>
        </w:r>
      </w:ins>
    </w:p>
    <w:p w:rsidR="00A8656F" w:rsidRDefault="00A8656F" w:rsidP="00A8656F">
      <w:pPr>
        <w:rPr>
          <w:ins w:id="30" w:author="Nokia" w:date="2018-08-09T22:37:00Z"/>
        </w:rPr>
      </w:pPr>
      <w:ins w:id="31" w:author="Nokia" w:date="2018-08-09T22:37:00Z">
        <w:r>
          <w:t xml:space="preserve">The depiction of the routing table in figure 8.x.1 is not meant to exclude other possible fields in the routing table.   For example, a field may be included that </w:t>
        </w:r>
        <w:r w:rsidRPr="00D30204">
          <w:t>indicate</w:t>
        </w:r>
        <w:r>
          <w:t>s the</w:t>
        </w:r>
        <w:r w:rsidRPr="00D30204">
          <w:t xml:space="preserve"> circumstances </w:t>
        </w:r>
        <w:r>
          <w:t xml:space="preserve">under which a route is to become less or more preferred, or the conditions under which packets are to be duplicated and sent on multiple branches.  </w:t>
        </w:r>
      </w:ins>
    </w:p>
    <w:p w:rsidR="00A8656F" w:rsidRPr="00B50AB4" w:rsidRDefault="00A8656F" w:rsidP="00A8656F">
      <w:pPr>
        <w:rPr>
          <w:ins w:id="32" w:author="Nokia" w:date="2018-08-09T22:37:00Z"/>
          <w:b/>
          <w:color w:val="000000"/>
        </w:rPr>
      </w:pPr>
      <w:ins w:id="33" w:author="Nokia" w:date="2018-08-09T22:37:00Z">
        <w:r w:rsidRPr="00B50AB4">
          <w:rPr>
            <w:b/>
            <w:color w:val="000000"/>
          </w:rPr>
          <w:t>Conditional route switching</w:t>
        </w:r>
        <w:r w:rsidRPr="00F66F10">
          <w:rPr>
            <w:b/>
            <w:color w:val="000000"/>
          </w:rPr>
          <w:t>,</w:t>
        </w:r>
        <w:r w:rsidRPr="00B50AB4">
          <w:rPr>
            <w:b/>
            <w:color w:val="000000"/>
          </w:rPr>
          <w:t xml:space="preserve"> or packet duplication based on rules distributed to IAB nodes is FFS.</w:t>
        </w:r>
      </w:ins>
    </w:p>
    <w:p w:rsidR="00A8656F" w:rsidRPr="0001093E" w:rsidRDefault="00A8656F" w:rsidP="00A8656F">
      <w:pPr>
        <w:rPr>
          <w:ins w:id="34" w:author="Nokia" w:date="2018-08-09T22:37:00Z"/>
        </w:rPr>
      </w:pPr>
    </w:p>
    <w:p w:rsidR="007052E8" w:rsidRPr="0001093E" w:rsidRDefault="007052E8" w:rsidP="00B50AB4"/>
    <w:sectPr w:rsidR="007052E8" w:rsidRPr="000109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4FB" w:rsidRDefault="003424FB">
      <w:r>
        <w:separator/>
      </w:r>
    </w:p>
  </w:endnote>
  <w:endnote w:type="continuationSeparator" w:id="0">
    <w:p w:rsidR="003424FB" w:rsidRDefault="0034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4FB" w:rsidRDefault="003424FB">
      <w:r>
        <w:separator/>
      </w:r>
    </w:p>
  </w:footnote>
  <w:footnote w:type="continuationSeparator" w:id="0">
    <w:p w:rsidR="003424FB" w:rsidRDefault="00342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5C027E"/>
    <w:multiLevelType w:val="hybridMultilevel"/>
    <w:tmpl w:val="AFEA4CAA"/>
    <w:lvl w:ilvl="0" w:tplc="AD2C19B8">
      <w:start w:val="1"/>
      <w:numFmt w:val="bullet"/>
      <w:lvlText w:val="•"/>
      <w:lvlJc w:val="left"/>
      <w:pPr>
        <w:tabs>
          <w:tab w:val="num" w:pos="720"/>
        </w:tabs>
        <w:ind w:left="720" w:hanging="360"/>
      </w:pPr>
      <w:rPr>
        <w:rFonts w:ascii="Arial" w:hAnsi="Arial" w:hint="default"/>
      </w:rPr>
    </w:lvl>
    <w:lvl w:ilvl="1" w:tplc="071ABC3C" w:tentative="1">
      <w:start w:val="1"/>
      <w:numFmt w:val="bullet"/>
      <w:lvlText w:val="•"/>
      <w:lvlJc w:val="left"/>
      <w:pPr>
        <w:tabs>
          <w:tab w:val="num" w:pos="1440"/>
        </w:tabs>
        <w:ind w:left="1440" w:hanging="360"/>
      </w:pPr>
      <w:rPr>
        <w:rFonts w:ascii="Arial" w:hAnsi="Arial" w:hint="default"/>
      </w:rPr>
    </w:lvl>
    <w:lvl w:ilvl="2" w:tplc="BFB07AAC" w:tentative="1">
      <w:start w:val="1"/>
      <w:numFmt w:val="bullet"/>
      <w:lvlText w:val="•"/>
      <w:lvlJc w:val="left"/>
      <w:pPr>
        <w:tabs>
          <w:tab w:val="num" w:pos="2160"/>
        </w:tabs>
        <w:ind w:left="2160" w:hanging="360"/>
      </w:pPr>
      <w:rPr>
        <w:rFonts w:ascii="Arial" w:hAnsi="Arial" w:hint="default"/>
      </w:rPr>
    </w:lvl>
    <w:lvl w:ilvl="3" w:tplc="97121D2A" w:tentative="1">
      <w:start w:val="1"/>
      <w:numFmt w:val="bullet"/>
      <w:lvlText w:val="•"/>
      <w:lvlJc w:val="left"/>
      <w:pPr>
        <w:tabs>
          <w:tab w:val="num" w:pos="2880"/>
        </w:tabs>
        <w:ind w:left="2880" w:hanging="360"/>
      </w:pPr>
      <w:rPr>
        <w:rFonts w:ascii="Arial" w:hAnsi="Arial" w:hint="default"/>
      </w:rPr>
    </w:lvl>
    <w:lvl w:ilvl="4" w:tplc="35A8E412" w:tentative="1">
      <w:start w:val="1"/>
      <w:numFmt w:val="bullet"/>
      <w:lvlText w:val="•"/>
      <w:lvlJc w:val="left"/>
      <w:pPr>
        <w:tabs>
          <w:tab w:val="num" w:pos="3600"/>
        </w:tabs>
        <w:ind w:left="3600" w:hanging="360"/>
      </w:pPr>
      <w:rPr>
        <w:rFonts w:ascii="Arial" w:hAnsi="Arial" w:hint="default"/>
      </w:rPr>
    </w:lvl>
    <w:lvl w:ilvl="5" w:tplc="195ACFF8" w:tentative="1">
      <w:start w:val="1"/>
      <w:numFmt w:val="bullet"/>
      <w:lvlText w:val="•"/>
      <w:lvlJc w:val="left"/>
      <w:pPr>
        <w:tabs>
          <w:tab w:val="num" w:pos="4320"/>
        </w:tabs>
        <w:ind w:left="4320" w:hanging="360"/>
      </w:pPr>
      <w:rPr>
        <w:rFonts w:ascii="Arial" w:hAnsi="Arial" w:hint="default"/>
      </w:rPr>
    </w:lvl>
    <w:lvl w:ilvl="6" w:tplc="F65E2FCC" w:tentative="1">
      <w:start w:val="1"/>
      <w:numFmt w:val="bullet"/>
      <w:lvlText w:val="•"/>
      <w:lvlJc w:val="left"/>
      <w:pPr>
        <w:tabs>
          <w:tab w:val="num" w:pos="5040"/>
        </w:tabs>
        <w:ind w:left="5040" w:hanging="360"/>
      </w:pPr>
      <w:rPr>
        <w:rFonts w:ascii="Arial" w:hAnsi="Arial" w:hint="default"/>
      </w:rPr>
    </w:lvl>
    <w:lvl w:ilvl="7" w:tplc="EA7AFB9A" w:tentative="1">
      <w:start w:val="1"/>
      <w:numFmt w:val="bullet"/>
      <w:lvlText w:val="•"/>
      <w:lvlJc w:val="left"/>
      <w:pPr>
        <w:tabs>
          <w:tab w:val="num" w:pos="5760"/>
        </w:tabs>
        <w:ind w:left="5760" w:hanging="360"/>
      </w:pPr>
      <w:rPr>
        <w:rFonts w:ascii="Arial" w:hAnsi="Arial" w:hint="default"/>
      </w:rPr>
    </w:lvl>
    <w:lvl w:ilvl="8" w:tplc="D8B40C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3422D"/>
    <w:multiLevelType w:val="hybridMultilevel"/>
    <w:tmpl w:val="38BCEBAA"/>
    <w:lvl w:ilvl="0" w:tplc="AC26A4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45500"/>
    <w:multiLevelType w:val="hybridMultilevel"/>
    <w:tmpl w:val="449EE45C"/>
    <w:lvl w:ilvl="0" w:tplc="1F24137C">
      <w:start w:val="1"/>
      <w:numFmt w:val="bullet"/>
      <w:lvlText w:val="•"/>
      <w:lvlJc w:val="left"/>
      <w:pPr>
        <w:tabs>
          <w:tab w:val="num" w:pos="720"/>
        </w:tabs>
        <w:ind w:left="720" w:hanging="360"/>
      </w:pPr>
      <w:rPr>
        <w:rFonts w:ascii="Arial" w:hAnsi="Arial" w:hint="default"/>
      </w:rPr>
    </w:lvl>
    <w:lvl w:ilvl="1" w:tplc="EC16B854">
      <w:numFmt w:val="bullet"/>
      <w:lvlText w:val="–"/>
      <w:lvlJc w:val="left"/>
      <w:pPr>
        <w:tabs>
          <w:tab w:val="num" w:pos="1440"/>
        </w:tabs>
        <w:ind w:left="1440" w:hanging="360"/>
      </w:pPr>
      <w:rPr>
        <w:rFonts w:ascii="Arial" w:hAnsi="Arial" w:hint="default"/>
      </w:rPr>
    </w:lvl>
    <w:lvl w:ilvl="2" w:tplc="050A885E">
      <w:numFmt w:val="bullet"/>
      <w:lvlText w:val="•"/>
      <w:lvlJc w:val="left"/>
      <w:pPr>
        <w:tabs>
          <w:tab w:val="num" w:pos="2160"/>
        </w:tabs>
        <w:ind w:left="2160" w:hanging="360"/>
      </w:pPr>
      <w:rPr>
        <w:rFonts w:ascii="Arial" w:hAnsi="Arial" w:hint="default"/>
      </w:rPr>
    </w:lvl>
    <w:lvl w:ilvl="3" w:tplc="1B3291C4" w:tentative="1">
      <w:start w:val="1"/>
      <w:numFmt w:val="bullet"/>
      <w:lvlText w:val="•"/>
      <w:lvlJc w:val="left"/>
      <w:pPr>
        <w:tabs>
          <w:tab w:val="num" w:pos="2880"/>
        </w:tabs>
        <w:ind w:left="2880" w:hanging="360"/>
      </w:pPr>
      <w:rPr>
        <w:rFonts w:ascii="Arial" w:hAnsi="Arial" w:hint="default"/>
      </w:rPr>
    </w:lvl>
    <w:lvl w:ilvl="4" w:tplc="76F2A34C" w:tentative="1">
      <w:start w:val="1"/>
      <w:numFmt w:val="bullet"/>
      <w:lvlText w:val="•"/>
      <w:lvlJc w:val="left"/>
      <w:pPr>
        <w:tabs>
          <w:tab w:val="num" w:pos="3600"/>
        </w:tabs>
        <w:ind w:left="3600" w:hanging="360"/>
      </w:pPr>
      <w:rPr>
        <w:rFonts w:ascii="Arial" w:hAnsi="Arial" w:hint="default"/>
      </w:rPr>
    </w:lvl>
    <w:lvl w:ilvl="5" w:tplc="0D280596" w:tentative="1">
      <w:start w:val="1"/>
      <w:numFmt w:val="bullet"/>
      <w:lvlText w:val="•"/>
      <w:lvlJc w:val="left"/>
      <w:pPr>
        <w:tabs>
          <w:tab w:val="num" w:pos="4320"/>
        </w:tabs>
        <w:ind w:left="4320" w:hanging="360"/>
      </w:pPr>
      <w:rPr>
        <w:rFonts w:ascii="Arial" w:hAnsi="Arial" w:hint="default"/>
      </w:rPr>
    </w:lvl>
    <w:lvl w:ilvl="6" w:tplc="A20E9ACC" w:tentative="1">
      <w:start w:val="1"/>
      <w:numFmt w:val="bullet"/>
      <w:lvlText w:val="•"/>
      <w:lvlJc w:val="left"/>
      <w:pPr>
        <w:tabs>
          <w:tab w:val="num" w:pos="5040"/>
        </w:tabs>
        <w:ind w:left="5040" w:hanging="360"/>
      </w:pPr>
      <w:rPr>
        <w:rFonts w:ascii="Arial" w:hAnsi="Arial" w:hint="default"/>
      </w:rPr>
    </w:lvl>
    <w:lvl w:ilvl="7" w:tplc="EDBA97C2" w:tentative="1">
      <w:start w:val="1"/>
      <w:numFmt w:val="bullet"/>
      <w:lvlText w:val="•"/>
      <w:lvlJc w:val="left"/>
      <w:pPr>
        <w:tabs>
          <w:tab w:val="num" w:pos="5760"/>
        </w:tabs>
        <w:ind w:left="5760" w:hanging="360"/>
      </w:pPr>
      <w:rPr>
        <w:rFonts w:ascii="Arial" w:hAnsi="Arial" w:hint="default"/>
      </w:rPr>
    </w:lvl>
    <w:lvl w:ilvl="8" w:tplc="9964FF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C66C9A"/>
    <w:multiLevelType w:val="hybridMultilevel"/>
    <w:tmpl w:val="9552E440"/>
    <w:lvl w:ilvl="0" w:tplc="4E80FC88">
      <w:start w:val="1019"/>
      <w:numFmt w:val="bullet"/>
      <w:lvlText w:val=""/>
      <w:lvlJc w:val="left"/>
      <w:pPr>
        <w:ind w:left="720" w:hanging="360"/>
      </w:pPr>
      <w:rPr>
        <w:rFonts w:ascii="Wingdings" w:eastAsia="Times New Rom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3EB4F37"/>
    <w:multiLevelType w:val="hybridMultilevel"/>
    <w:tmpl w:val="8EC49D94"/>
    <w:lvl w:ilvl="0" w:tplc="0409000F">
      <w:start w:val="1"/>
      <w:numFmt w:val="decimal"/>
      <w:lvlText w:val="%1."/>
      <w:lvlJc w:val="left"/>
      <w:pPr>
        <w:tabs>
          <w:tab w:val="num" w:pos="720"/>
        </w:tabs>
        <w:ind w:left="720" w:hanging="360"/>
      </w:pPr>
    </w:lvl>
    <w:lvl w:ilvl="1" w:tplc="071ABC3C">
      <w:start w:val="1"/>
      <w:numFmt w:val="bullet"/>
      <w:lvlText w:val="•"/>
      <w:lvlJc w:val="left"/>
      <w:pPr>
        <w:tabs>
          <w:tab w:val="num" w:pos="1440"/>
        </w:tabs>
        <w:ind w:left="1440" w:hanging="360"/>
      </w:pPr>
      <w:rPr>
        <w:rFonts w:ascii="Arial" w:hAnsi="Arial" w:cs="Times New Roman" w:hint="default"/>
      </w:rPr>
    </w:lvl>
    <w:lvl w:ilvl="2" w:tplc="BFB07AAC">
      <w:start w:val="1"/>
      <w:numFmt w:val="bullet"/>
      <w:lvlText w:val="•"/>
      <w:lvlJc w:val="left"/>
      <w:pPr>
        <w:tabs>
          <w:tab w:val="num" w:pos="2160"/>
        </w:tabs>
        <w:ind w:left="2160" w:hanging="360"/>
      </w:pPr>
      <w:rPr>
        <w:rFonts w:ascii="Arial" w:hAnsi="Arial" w:cs="Times New Roman" w:hint="default"/>
      </w:rPr>
    </w:lvl>
    <w:lvl w:ilvl="3" w:tplc="97121D2A">
      <w:start w:val="1"/>
      <w:numFmt w:val="bullet"/>
      <w:lvlText w:val="•"/>
      <w:lvlJc w:val="left"/>
      <w:pPr>
        <w:tabs>
          <w:tab w:val="num" w:pos="2880"/>
        </w:tabs>
        <w:ind w:left="2880" w:hanging="360"/>
      </w:pPr>
      <w:rPr>
        <w:rFonts w:ascii="Arial" w:hAnsi="Arial" w:cs="Times New Roman" w:hint="default"/>
      </w:rPr>
    </w:lvl>
    <w:lvl w:ilvl="4" w:tplc="35A8E412">
      <w:start w:val="1"/>
      <w:numFmt w:val="bullet"/>
      <w:lvlText w:val="•"/>
      <w:lvlJc w:val="left"/>
      <w:pPr>
        <w:tabs>
          <w:tab w:val="num" w:pos="3600"/>
        </w:tabs>
        <w:ind w:left="3600" w:hanging="360"/>
      </w:pPr>
      <w:rPr>
        <w:rFonts w:ascii="Arial" w:hAnsi="Arial" w:cs="Times New Roman" w:hint="default"/>
      </w:rPr>
    </w:lvl>
    <w:lvl w:ilvl="5" w:tplc="195ACFF8">
      <w:start w:val="1"/>
      <w:numFmt w:val="bullet"/>
      <w:lvlText w:val="•"/>
      <w:lvlJc w:val="left"/>
      <w:pPr>
        <w:tabs>
          <w:tab w:val="num" w:pos="4320"/>
        </w:tabs>
        <w:ind w:left="4320" w:hanging="360"/>
      </w:pPr>
      <w:rPr>
        <w:rFonts w:ascii="Arial" w:hAnsi="Arial" w:cs="Times New Roman" w:hint="default"/>
      </w:rPr>
    </w:lvl>
    <w:lvl w:ilvl="6" w:tplc="F65E2FCC">
      <w:start w:val="1"/>
      <w:numFmt w:val="bullet"/>
      <w:lvlText w:val="•"/>
      <w:lvlJc w:val="left"/>
      <w:pPr>
        <w:tabs>
          <w:tab w:val="num" w:pos="5040"/>
        </w:tabs>
        <w:ind w:left="5040" w:hanging="360"/>
      </w:pPr>
      <w:rPr>
        <w:rFonts w:ascii="Arial" w:hAnsi="Arial" w:cs="Times New Roman" w:hint="default"/>
      </w:rPr>
    </w:lvl>
    <w:lvl w:ilvl="7" w:tplc="EA7AFB9A">
      <w:start w:val="1"/>
      <w:numFmt w:val="bullet"/>
      <w:lvlText w:val="•"/>
      <w:lvlJc w:val="left"/>
      <w:pPr>
        <w:tabs>
          <w:tab w:val="num" w:pos="5760"/>
        </w:tabs>
        <w:ind w:left="5760" w:hanging="360"/>
      </w:pPr>
      <w:rPr>
        <w:rFonts w:ascii="Arial" w:hAnsi="Arial" w:cs="Times New Roman" w:hint="default"/>
      </w:rPr>
    </w:lvl>
    <w:lvl w:ilvl="8" w:tplc="D8B40CA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C093A"/>
    <w:multiLevelType w:val="hybridMultilevel"/>
    <w:tmpl w:val="30E08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6A30"/>
    <w:multiLevelType w:val="hybridMultilevel"/>
    <w:tmpl w:val="11D43E54"/>
    <w:lvl w:ilvl="0" w:tplc="8492736C">
      <w:start w:val="1"/>
      <w:numFmt w:val="bullet"/>
      <w:lvlText w:val="•"/>
      <w:lvlJc w:val="left"/>
      <w:pPr>
        <w:tabs>
          <w:tab w:val="num" w:pos="720"/>
        </w:tabs>
        <w:ind w:left="720" w:hanging="360"/>
      </w:pPr>
      <w:rPr>
        <w:rFonts w:ascii="Arial" w:hAnsi="Arial" w:hint="default"/>
      </w:rPr>
    </w:lvl>
    <w:lvl w:ilvl="1" w:tplc="8C7299D6" w:tentative="1">
      <w:start w:val="1"/>
      <w:numFmt w:val="bullet"/>
      <w:lvlText w:val="•"/>
      <w:lvlJc w:val="left"/>
      <w:pPr>
        <w:tabs>
          <w:tab w:val="num" w:pos="1440"/>
        </w:tabs>
        <w:ind w:left="1440" w:hanging="360"/>
      </w:pPr>
      <w:rPr>
        <w:rFonts w:ascii="Arial" w:hAnsi="Arial" w:hint="default"/>
      </w:rPr>
    </w:lvl>
    <w:lvl w:ilvl="2" w:tplc="5756ED54" w:tentative="1">
      <w:start w:val="1"/>
      <w:numFmt w:val="bullet"/>
      <w:lvlText w:val="•"/>
      <w:lvlJc w:val="left"/>
      <w:pPr>
        <w:tabs>
          <w:tab w:val="num" w:pos="2160"/>
        </w:tabs>
        <w:ind w:left="2160" w:hanging="360"/>
      </w:pPr>
      <w:rPr>
        <w:rFonts w:ascii="Arial" w:hAnsi="Arial" w:hint="default"/>
      </w:rPr>
    </w:lvl>
    <w:lvl w:ilvl="3" w:tplc="2E86358E" w:tentative="1">
      <w:start w:val="1"/>
      <w:numFmt w:val="bullet"/>
      <w:lvlText w:val="•"/>
      <w:lvlJc w:val="left"/>
      <w:pPr>
        <w:tabs>
          <w:tab w:val="num" w:pos="2880"/>
        </w:tabs>
        <w:ind w:left="2880" w:hanging="360"/>
      </w:pPr>
      <w:rPr>
        <w:rFonts w:ascii="Arial" w:hAnsi="Arial" w:hint="default"/>
      </w:rPr>
    </w:lvl>
    <w:lvl w:ilvl="4" w:tplc="F3709878" w:tentative="1">
      <w:start w:val="1"/>
      <w:numFmt w:val="bullet"/>
      <w:lvlText w:val="•"/>
      <w:lvlJc w:val="left"/>
      <w:pPr>
        <w:tabs>
          <w:tab w:val="num" w:pos="3600"/>
        </w:tabs>
        <w:ind w:left="3600" w:hanging="360"/>
      </w:pPr>
      <w:rPr>
        <w:rFonts w:ascii="Arial" w:hAnsi="Arial" w:hint="default"/>
      </w:rPr>
    </w:lvl>
    <w:lvl w:ilvl="5" w:tplc="C654F996" w:tentative="1">
      <w:start w:val="1"/>
      <w:numFmt w:val="bullet"/>
      <w:lvlText w:val="•"/>
      <w:lvlJc w:val="left"/>
      <w:pPr>
        <w:tabs>
          <w:tab w:val="num" w:pos="4320"/>
        </w:tabs>
        <w:ind w:left="4320" w:hanging="360"/>
      </w:pPr>
      <w:rPr>
        <w:rFonts w:ascii="Arial" w:hAnsi="Arial" w:hint="default"/>
      </w:rPr>
    </w:lvl>
    <w:lvl w:ilvl="6" w:tplc="77AA2D8E" w:tentative="1">
      <w:start w:val="1"/>
      <w:numFmt w:val="bullet"/>
      <w:lvlText w:val="•"/>
      <w:lvlJc w:val="left"/>
      <w:pPr>
        <w:tabs>
          <w:tab w:val="num" w:pos="5040"/>
        </w:tabs>
        <w:ind w:left="5040" w:hanging="360"/>
      </w:pPr>
      <w:rPr>
        <w:rFonts w:ascii="Arial" w:hAnsi="Arial" w:hint="default"/>
      </w:rPr>
    </w:lvl>
    <w:lvl w:ilvl="7" w:tplc="EC506666" w:tentative="1">
      <w:start w:val="1"/>
      <w:numFmt w:val="bullet"/>
      <w:lvlText w:val="•"/>
      <w:lvlJc w:val="left"/>
      <w:pPr>
        <w:tabs>
          <w:tab w:val="num" w:pos="5760"/>
        </w:tabs>
        <w:ind w:left="5760" w:hanging="360"/>
      </w:pPr>
      <w:rPr>
        <w:rFonts w:ascii="Arial" w:hAnsi="Arial" w:hint="default"/>
      </w:rPr>
    </w:lvl>
    <w:lvl w:ilvl="8" w:tplc="ED16FF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5D3187"/>
    <w:multiLevelType w:val="hybridMultilevel"/>
    <w:tmpl w:val="6F0A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90730"/>
    <w:multiLevelType w:val="hybridMultilevel"/>
    <w:tmpl w:val="B4745C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2587379"/>
    <w:multiLevelType w:val="hybridMultilevel"/>
    <w:tmpl w:val="653C3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763EE"/>
    <w:multiLevelType w:val="multilevel"/>
    <w:tmpl w:val="F216DDC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36C1B91"/>
    <w:multiLevelType w:val="hybridMultilevel"/>
    <w:tmpl w:val="86BEA4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4175D1"/>
    <w:multiLevelType w:val="hybridMultilevel"/>
    <w:tmpl w:val="2B248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B978C2"/>
    <w:multiLevelType w:val="hybridMultilevel"/>
    <w:tmpl w:val="FA6A5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A57677"/>
    <w:multiLevelType w:val="hybridMultilevel"/>
    <w:tmpl w:val="4ED2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FF0019"/>
    <w:multiLevelType w:val="hybridMultilevel"/>
    <w:tmpl w:val="8EC49D94"/>
    <w:lvl w:ilvl="0" w:tplc="0409000F">
      <w:start w:val="1"/>
      <w:numFmt w:val="decimal"/>
      <w:lvlText w:val="%1."/>
      <w:lvlJc w:val="left"/>
      <w:pPr>
        <w:tabs>
          <w:tab w:val="num" w:pos="720"/>
        </w:tabs>
        <w:ind w:left="720" w:hanging="360"/>
      </w:pPr>
    </w:lvl>
    <w:lvl w:ilvl="1" w:tplc="071ABC3C">
      <w:start w:val="1"/>
      <w:numFmt w:val="bullet"/>
      <w:lvlText w:val="•"/>
      <w:lvlJc w:val="left"/>
      <w:pPr>
        <w:tabs>
          <w:tab w:val="num" w:pos="1440"/>
        </w:tabs>
        <w:ind w:left="1440" w:hanging="360"/>
      </w:pPr>
      <w:rPr>
        <w:rFonts w:ascii="Arial" w:hAnsi="Arial" w:cs="Times New Roman" w:hint="default"/>
      </w:rPr>
    </w:lvl>
    <w:lvl w:ilvl="2" w:tplc="BFB07AAC">
      <w:start w:val="1"/>
      <w:numFmt w:val="bullet"/>
      <w:lvlText w:val="•"/>
      <w:lvlJc w:val="left"/>
      <w:pPr>
        <w:tabs>
          <w:tab w:val="num" w:pos="2160"/>
        </w:tabs>
        <w:ind w:left="2160" w:hanging="360"/>
      </w:pPr>
      <w:rPr>
        <w:rFonts w:ascii="Arial" w:hAnsi="Arial" w:cs="Times New Roman" w:hint="default"/>
      </w:rPr>
    </w:lvl>
    <w:lvl w:ilvl="3" w:tplc="97121D2A">
      <w:start w:val="1"/>
      <w:numFmt w:val="bullet"/>
      <w:lvlText w:val="•"/>
      <w:lvlJc w:val="left"/>
      <w:pPr>
        <w:tabs>
          <w:tab w:val="num" w:pos="2880"/>
        </w:tabs>
        <w:ind w:left="2880" w:hanging="360"/>
      </w:pPr>
      <w:rPr>
        <w:rFonts w:ascii="Arial" w:hAnsi="Arial" w:cs="Times New Roman" w:hint="default"/>
      </w:rPr>
    </w:lvl>
    <w:lvl w:ilvl="4" w:tplc="35A8E412">
      <w:start w:val="1"/>
      <w:numFmt w:val="bullet"/>
      <w:lvlText w:val="•"/>
      <w:lvlJc w:val="left"/>
      <w:pPr>
        <w:tabs>
          <w:tab w:val="num" w:pos="3600"/>
        </w:tabs>
        <w:ind w:left="3600" w:hanging="360"/>
      </w:pPr>
      <w:rPr>
        <w:rFonts w:ascii="Arial" w:hAnsi="Arial" w:cs="Times New Roman" w:hint="default"/>
      </w:rPr>
    </w:lvl>
    <w:lvl w:ilvl="5" w:tplc="195ACFF8">
      <w:start w:val="1"/>
      <w:numFmt w:val="bullet"/>
      <w:lvlText w:val="•"/>
      <w:lvlJc w:val="left"/>
      <w:pPr>
        <w:tabs>
          <w:tab w:val="num" w:pos="4320"/>
        </w:tabs>
        <w:ind w:left="4320" w:hanging="360"/>
      </w:pPr>
      <w:rPr>
        <w:rFonts w:ascii="Arial" w:hAnsi="Arial" w:cs="Times New Roman" w:hint="default"/>
      </w:rPr>
    </w:lvl>
    <w:lvl w:ilvl="6" w:tplc="F65E2FCC">
      <w:start w:val="1"/>
      <w:numFmt w:val="bullet"/>
      <w:lvlText w:val="•"/>
      <w:lvlJc w:val="left"/>
      <w:pPr>
        <w:tabs>
          <w:tab w:val="num" w:pos="5040"/>
        </w:tabs>
        <w:ind w:left="5040" w:hanging="360"/>
      </w:pPr>
      <w:rPr>
        <w:rFonts w:ascii="Arial" w:hAnsi="Arial" w:cs="Times New Roman" w:hint="default"/>
      </w:rPr>
    </w:lvl>
    <w:lvl w:ilvl="7" w:tplc="EA7AFB9A">
      <w:start w:val="1"/>
      <w:numFmt w:val="bullet"/>
      <w:lvlText w:val="•"/>
      <w:lvlJc w:val="left"/>
      <w:pPr>
        <w:tabs>
          <w:tab w:val="num" w:pos="5760"/>
        </w:tabs>
        <w:ind w:left="5760" w:hanging="360"/>
      </w:pPr>
      <w:rPr>
        <w:rFonts w:ascii="Arial" w:hAnsi="Arial" w:cs="Times New Roman" w:hint="default"/>
      </w:rPr>
    </w:lvl>
    <w:lvl w:ilvl="8" w:tplc="D8B40CA2">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72840A30"/>
    <w:multiLevelType w:val="hybridMultilevel"/>
    <w:tmpl w:val="2B9A28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B36ABC"/>
    <w:multiLevelType w:val="hybridMultilevel"/>
    <w:tmpl w:val="ECD8D4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7F616F0F"/>
    <w:multiLevelType w:val="hybridMultilevel"/>
    <w:tmpl w:val="D93C5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F727A76"/>
    <w:multiLevelType w:val="hybridMultilevel"/>
    <w:tmpl w:val="938C0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8"/>
  </w:num>
  <w:num w:numId="6">
    <w:abstractNumId w:val="9"/>
  </w:num>
  <w:num w:numId="7">
    <w:abstractNumId w:val="14"/>
  </w:num>
  <w:num w:numId="8">
    <w:abstractNumId w:val="12"/>
  </w:num>
  <w:num w:numId="9">
    <w:abstractNumId w:val="21"/>
  </w:num>
  <w:num w:numId="10">
    <w:abstractNumId w:val="11"/>
  </w:num>
  <w:num w:numId="11">
    <w:abstractNumId w:val="8"/>
  </w:num>
  <w:num w:numId="12">
    <w:abstractNumId w:val="3"/>
  </w:num>
  <w:num w:numId="13">
    <w:abstractNumId w:val="20"/>
  </w:num>
  <w:num w:numId="14">
    <w:abstractNumId w:val="17"/>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3"/>
  </w:num>
  <w:num w:numId="18">
    <w:abstractNumId w:val="4"/>
  </w:num>
  <w:num w:numId="19">
    <w:abstractNumId w:val="13"/>
  </w:num>
  <w:num w:numId="20">
    <w:abstractNumId w:val="2"/>
  </w:num>
  <w:num w:numId="21">
    <w:abstractNumId w:val="6"/>
    <w:lvlOverride w:ilvl="0">
      <w:startOverride w:val="1"/>
    </w:lvlOverride>
    <w:lvlOverride w:ilvl="1"/>
    <w:lvlOverride w:ilvl="2"/>
    <w:lvlOverride w:ilvl="3"/>
    <w:lvlOverride w:ilvl="4"/>
    <w:lvlOverride w:ilvl="5"/>
    <w:lvlOverride w:ilvl="6"/>
    <w:lvlOverride w:ilvl="7"/>
    <w:lvlOverride w:ilvl="8"/>
  </w:num>
  <w:num w:numId="22">
    <w:abstractNumId w:val="6"/>
  </w:num>
  <w:num w:numId="23">
    <w:abstractNumId w:val="19"/>
  </w:num>
  <w:num w:numId="24">
    <w:abstractNumId w:val="15"/>
  </w:num>
  <w:num w:numId="25">
    <w:abstractNumId w:val="7"/>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pl-PL" w:vendorID="12"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3BDD"/>
    <w:rsid w:val="0001093E"/>
    <w:rsid w:val="000179D6"/>
    <w:rsid w:val="0002066A"/>
    <w:rsid w:val="00033397"/>
    <w:rsid w:val="00034215"/>
    <w:rsid w:val="00037E0E"/>
    <w:rsid w:val="00040095"/>
    <w:rsid w:val="00044122"/>
    <w:rsid w:val="00047E2C"/>
    <w:rsid w:val="000505A2"/>
    <w:rsid w:val="000506B0"/>
    <w:rsid w:val="00051C9C"/>
    <w:rsid w:val="00051E25"/>
    <w:rsid w:val="00053E1D"/>
    <w:rsid w:val="0005429A"/>
    <w:rsid w:val="00057884"/>
    <w:rsid w:val="0006121E"/>
    <w:rsid w:val="0006335F"/>
    <w:rsid w:val="00064D49"/>
    <w:rsid w:val="00064F19"/>
    <w:rsid w:val="00065352"/>
    <w:rsid w:val="00065B19"/>
    <w:rsid w:val="00070E4D"/>
    <w:rsid w:val="00072218"/>
    <w:rsid w:val="000755F4"/>
    <w:rsid w:val="0007639B"/>
    <w:rsid w:val="00080512"/>
    <w:rsid w:val="00081C0B"/>
    <w:rsid w:val="00084AC4"/>
    <w:rsid w:val="0008539D"/>
    <w:rsid w:val="00090468"/>
    <w:rsid w:val="00093D8E"/>
    <w:rsid w:val="00096276"/>
    <w:rsid w:val="000A1DB4"/>
    <w:rsid w:val="000A72AB"/>
    <w:rsid w:val="000A78A3"/>
    <w:rsid w:val="000B1AB4"/>
    <w:rsid w:val="000B52A5"/>
    <w:rsid w:val="000B7650"/>
    <w:rsid w:val="000B7BCF"/>
    <w:rsid w:val="000C0482"/>
    <w:rsid w:val="000C522B"/>
    <w:rsid w:val="000C5679"/>
    <w:rsid w:val="000D58AB"/>
    <w:rsid w:val="000E03BE"/>
    <w:rsid w:val="000E1AFF"/>
    <w:rsid w:val="000E3979"/>
    <w:rsid w:val="000F41CB"/>
    <w:rsid w:val="000F74A5"/>
    <w:rsid w:val="000F7F3D"/>
    <w:rsid w:val="00100FBD"/>
    <w:rsid w:val="00112F1A"/>
    <w:rsid w:val="0011627B"/>
    <w:rsid w:val="00117066"/>
    <w:rsid w:val="00117B25"/>
    <w:rsid w:val="00120792"/>
    <w:rsid w:val="0012103F"/>
    <w:rsid w:val="00131832"/>
    <w:rsid w:val="0013241B"/>
    <w:rsid w:val="00135B1C"/>
    <w:rsid w:val="00140E4F"/>
    <w:rsid w:val="00141CFF"/>
    <w:rsid w:val="0014463A"/>
    <w:rsid w:val="00145075"/>
    <w:rsid w:val="00146CC0"/>
    <w:rsid w:val="00146F83"/>
    <w:rsid w:val="00147833"/>
    <w:rsid w:val="00153128"/>
    <w:rsid w:val="0015537D"/>
    <w:rsid w:val="00155BE8"/>
    <w:rsid w:val="0015688A"/>
    <w:rsid w:val="0015742A"/>
    <w:rsid w:val="00164791"/>
    <w:rsid w:val="001664C9"/>
    <w:rsid w:val="00173C06"/>
    <w:rsid w:val="001741A0"/>
    <w:rsid w:val="00183056"/>
    <w:rsid w:val="001877D8"/>
    <w:rsid w:val="00190B29"/>
    <w:rsid w:val="00194CD0"/>
    <w:rsid w:val="00197FE5"/>
    <w:rsid w:val="001A1D8E"/>
    <w:rsid w:val="001A52FF"/>
    <w:rsid w:val="001A5E56"/>
    <w:rsid w:val="001B49C9"/>
    <w:rsid w:val="001C5448"/>
    <w:rsid w:val="001D04F6"/>
    <w:rsid w:val="001D0F67"/>
    <w:rsid w:val="001D34A6"/>
    <w:rsid w:val="001D4344"/>
    <w:rsid w:val="001D5D71"/>
    <w:rsid w:val="001D6493"/>
    <w:rsid w:val="001E077D"/>
    <w:rsid w:val="001E3787"/>
    <w:rsid w:val="001E700F"/>
    <w:rsid w:val="001F168B"/>
    <w:rsid w:val="001F177C"/>
    <w:rsid w:val="001F1788"/>
    <w:rsid w:val="001F5909"/>
    <w:rsid w:val="001F5C37"/>
    <w:rsid w:val="001F7831"/>
    <w:rsid w:val="002036EA"/>
    <w:rsid w:val="002037CC"/>
    <w:rsid w:val="00204045"/>
    <w:rsid w:val="0020687C"/>
    <w:rsid w:val="00207F42"/>
    <w:rsid w:val="002126E4"/>
    <w:rsid w:val="002217B1"/>
    <w:rsid w:val="00222CB7"/>
    <w:rsid w:val="00225466"/>
    <w:rsid w:val="00225D66"/>
    <w:rsid w:val="0022606D"/>
    <w:rsid w:val="00245548"/>
    <w:rsid w:val="00247156"/>
    <w:rsid w:val="00247A43"/>
    <w:rsid w:val="0025278C"/>
    <w:rsid w:val="00257D72"/>
    <w:rsid w:val="002649A2"/>
    <w:rsid w:val="00264EBC"/>
    <w:rsid w:val="002712C8"/>
    <w:rsid w:val="00272413"/>
    <w:rsid w:val="002747EC"/>
    <w:rsid w:val="00274930"/>
    <w:rsid w:val="00282E5F"/>
    <w:rsid w:val="002855BF"/>
    <w:rsid w:val="0028709F"/>
    <w:rsid w:val="00294279"/>
    <w:rsid w:val="002A54F4"/>
    <w:rsid w:val="002A6E2C"/>
    <w:rsid w:val="002B23AD"/>
    <w:rsid w:val="002B3B9F"/>
    <w:rsid w:val="002B770C"/>
    <w:rsid w:val="002C259E"/>
    <w:rsid w:val="002C399E"/>
    <w:rsid w:val="002C4345"/>
    <w:rsid w:val="002C4410"/>
    <w:rsid w:val="002C5604"/>
    <w:rsid w:val="002C59F0"/>
    <w:rsid w:val="002C66B1"/>
    <w:rsid w:val="002C70DB"/>
    <w:rsid w:val="002D3B82"/>
    <w:rsid w:val="002D5FC7"/>
    <w:rsid w:val="002E408B"/>
    <w:rsid w:val="002E5F69"/>
    <w:rsid w:val="002F0D22"/>
    <w:rsid w:val="002F3220"/>
    <w:rsid w:val="002F5D28"/>
    <w:rsid w:val="002F6CDB"/>
    <w:rsid w:val="002F70DB"/>
    <w:rsid w:val="003059F7"/>
    <w:rsid w:val="00310416"/>
    <w:rsid w:val="003130D7"/>
    <w:rsid w:val="00314CE4"/>
    <w:rsid w:val="003172DC"/>
    <w:rsid w:val="00321556"/>
    <w:rsid w:val="003221B1"/>
    <w:rsid w:val="00322C4A"/>
    <w:rsid w:val="00324D78"/>
    <w:rsid w:val="00326069"/>
    <w:rsid w:val="003325ED"/>
    <w:rsid w:val="003331BF"/>
    <w:rsid w:val="003424FB"/>
    <w:rsid w:val="0035049E"/>
    <w:rsid w:val="0035462D"/>
    <w:rsid w:val="00363677"/>
    <w:rsid w:val="0036581E"/>
    <w:rsid w:val="0037051E"/>
    <w:rsid w:val="00370644"/>
    <w:rsid w:val="00375A96"/>
    <w:rsid w:val="00377731"/>
    <w:rsid w:val="0038056C"/>
    <w:rsid w:val="0038704F"/>
    <w:rsid w:val="00394CFB"/>
    <w:rsid w:val="003957ED"/>
    <w:rsid w:val="00397409"/>
    <w:rsid w:val="00397F8E"/>
    <w:rsid w:val="003A258F"/>
    <w:rsid w:val="003A30BB"/>
    <w:rsid w:val="003A3F9E"/>
    <w:rsid w:val="003B40AD"/>
    <w:rsid w:val="003B425E"/>
    <w:rsid w:val="003B4450"/>
    <w:rsid w:val="003B4B22"/>
    <w:rsid w:val="003B4B82"/>
    <w:rsid w:val="003B7B94"/>
    <w:rsid w:val="003C32D8"/>
    <w:rsid w:val="003C3E57"/>
    <w:rsid w:val="003C4E37"/>
    <w:rsid w:val="003C555B"/>
    <w:rsid w:val="003D1804"/>
    <w:rsid w:val="003D2925"/>
    <w:rsid w:val="003E16BE"/>
    <w:rsid w:val="003E36E0"/>
    <w:rsid w:val="003E40AD"/>
    <w:rsid w:val="003E4A42"/>
    <w:rsid w:val="003E7368"/>
    <w:rsid w:val="004006E8"/>
    <w:rsid w:val="00401855"/>
    <w:rsid w:val="00403A0C"/>
    <w:rsid w:val="004044F1"/>
    <w:rsid w:val="00404BC1"/>
    <w:rsid w:val="00414A2B"/>
    <w:rsid w:val="00415152"/>
    <w:rsid w:val="0042011D"/>
    <w:rsid w:val="004316A9"/>
    <w:rsid w:val="004337FC"/>
    <w:rsid w:val="00435C22"/>
    <w:rsid w:val="004378AF"/>
    <w:rsid w:val="00440C47"/>
    <w:rsid w:val="00453A46"/>
    <w:rsid w:val="00453B35"/>
    <w:rsid w:val="00456FB2"/>
    <w:rsid w:val="0046049B"/>
    <w:rsid w:val="004708C1"/>
    <w:rsid w:val="00477455"/>
    <w:rsid w:val="004819DF"/>
    <w:rsid w:val="00484744"/>
    <w:rsid w:val="00493C05"/>
    <w:rsid w:val="00494CFB"/>
    <w:rsid w:val="004A1716"/>
    <w:rsid w:val="004A2120"/>
    <w:rsid w:val="004B1634"/>
    <w:rsid w:val="004B17FA"/>
    <w:rsid w:val="004B321D"/>
    <w:rsid w:val="004B3389"/>
    <w:rsid w:val="004B5F2E"/>
    <w:rsid w:val="004C32DE"/>
    <w:rsid w:val="004C4169"/>
    <w:rsid w:val="004D3578"/>
    <w:rsid w:val="004D380D"/>
    <w:rsid w:val="004D4DD3"/>
    <w:rsid w:val="004E213A"/>
    <w:rsid w:val="004E6227"/>
    <w:rsid w:val="004F6C44"/>
    <w:rsid w:val="00500C29"/>
    <w:rsid w:val="00501B75"/>
    <w:rsid w:val="00503171"/>
    <w:rsid w:val="00506C28"/>
    <w:rsid w:val="0051450B"/>
    <w:rsid w:val="00525FCD"/>
    <w:rsid w:val="00526BA5"/>
    <w:rsid w:val="00527867"/>
    <w:rsid w:val="00531A2B"/>
    <w:rsid w:val="00534DA0"/>
    <w:rsid w:val="005355D8"/>
    <w:rsid w:val="00543A16"/>
    <w:rsid w:val="00543E6C"/>
    <w:rsid w:val="00552570"/>
    <w:rsid w:val="0055373D"/>
    <w:rsid w:val="00555222"/>
    <w:rsid w:val="00560505"/>
    <w:rsid w:val="00565087"/>
    <w:rsid w:val="0056573F"/>
    <w:rsid w:val="00566951"/>
    <w:rsid w:val="00566C6C"/>
    <w:rsid w:val="00570748"/>
    <w:rsid w:val="00571071"/>
    <w:rsid w:val="0057262A"/>
    <w:rsid w:val="00583E81"/>
    <w:rsid w:val="00592C4A"/>
    <w:rsid w:val="00597B3E"/>
    <w:rsid w:val="005A1849"/>
    <w:rsid w:val="005B5E82"/>
    <w:rsid w:val="005C4332"/>
    <w:rsid w:val="005C6495"/>
    <w:rsid w:val="005D002E"/>
    <w:rsid w:val="005D1BB9"/>
    <w:rsid w:val="005D3CFA"/>
    <w:rsid w:val="005D4994"/>
    <w:rsid w:val="005D5D26"/>
    <w:rsid w:val="005D61E9"/>
    <w:rsid w:val="005D7585"/>
    <w:rsid w:val="005E0453"/>
    <w:rsid w:val="005E25FC"/>
    <w:rsid w:val="005E311C"/>
    <w:rsid w:val="005E3601"/>
    <w:rsid w:val="005E4AF3"/>
    <w:rsid w:val="005E7627"/>
    <w:rsid w:val="005F2688"/>
    <w:rsid w:val="005F4043"/>
    <w:rsid w:val="005F66B3"/>
    <w:rsid w:val="005F7AC8"/>
    <w:rsid w:val="00602327"/>
    <w:rsid w:val="00602405"/>
    <w:rsid w:val="00603813"/>
    <w:rsid w:val="006041F5"/>
    <w:rsid w:val="0060455D"/>
    <w:rsid w:val="006055A4"/>
    <w:rsid w:val="00610D1B"/>
    <w:rsid w:val="00611566"/>
    <w:rsid w:val="00612412"/>
    <w:rsid w:val="006125C1"/>
    <w:rsid w:val="006133CE"/>
    <w:rsid w:val="00614801"/>
    <w:rsid w:val="00614ADE"/>
    <w:rsid w:val="006165E1"/>
    <w:rsid w:val="00617EBF"/>
    <w:rsid w:val="00617F35"/>
    <w:rsid w:val="00620602"/>
    <w:rsid w:val="0062118E"/>
    <w:rsid w:val="0062339A"/>
    <w:rsid w:val="0064566F"/>
    <w:rsid w:val="00646D99"/>
    <w:rsid w:val="00651241"/>
    <w:rsid w:val="00656910"/>
    <w:rsid w:val="00657890"/>
    <w:rsid w:val="00662020"/>
    <w:rsid w:val="006633C2"/>
    <w:rsid w:val="00664934"/>
    <w:rsid w:val="00664A69"/>
    <w:rsid w:val="00670352"/>
    <w:rsid w:val="00676ECE"/>
    <w:rsid w:val="00677339"/>
    <w:rsid w:val="00680B31"/>
    <w:rsid w:val="00684707"/>
    <w:rsid w:val="00692768"/>
    <w:rsid w:val="0069500B"/>
    <w:rsid w:val="006A769B"/>
    <w:rsid w:val="006B0FCF"/>
    <w:rsid w:val="006B1B85"/>
    <w:rsid w:val="006B2F4F"/>
    <w:rsid w:val="006C3964"/>
    <w:rsid w:val="006C442C"/>
    <w:rsid w:val="006C47B6"/>
    <w:rsid w:val="006C5CDE"/>
    <w:rsid w:val="006C66D8"/>
    <w:rsid w:val="006D1C69"/>
    <w:rsid w:val="006D1E24"/>
    <w:rsid w:val="006D228C"/>
    <w:rsid w:val="006D726B"/>
    <w:rsid w:val="006D7912"/>
    <w:rsid w:val="006E0E10"/>
    <w:rsid w:val="006E1417"/>
    <w:rsid w:val="006E29EE"/>
    <w:rsid w:val="006E557D"/>
    <w:rsid w:val="006E6D23"/>
    <w:rsid w:val="006F6A2C"/>
    <w:rsid w:val="007020CE"/>
    <w:rsid w:val="00703CF9"/>
    <w:rsid w:val="00703F66"/>
    <w:rsid w:val="007052E8"/>
    <w:rsid w:val="00707A2E"/>
    <w:rsid w:val="00710201"/>
    <w:rsid w:val="0071302D"/>
    <w:rsid w:val="00724334"/>
    <w:rsid w:val="007300DE"/>
    <w:rsid w:val="00730631"/>
    <w:rsid w:val="00734A5B"/>
    <w:rsid w:val="007373B3"/>
    <w:rsid w:val="00742DCA"/>
    <w:rsid w:val="00743A0E"/>
    <w:rsid w:val="00744E76"/>
    <w:rsid w:val="00744E8C"/>
    <w:rsid w:val="00746103"/>
    <w:rsid w:val="00747579"/>
    <w:rsid w:val="007517F5"/>
    <w:rsid w:val="0075227C"/>
    <w:rsid w:val="00752783"/>
    <w:rsid w:val="007550CD"/>
    <w:rsid w:val="0075568F"/>
    <w:rsid w:val="00757D40"/>
    <w:rsid w:val="00760B18"/>
    <w:rsid w:val="00763931"/>
    <w:rsid w:val="007677E1"/>
    <w:rsid w:val="007679B4"/>
    <w:rsid w:val="0077046C"/>
    <w:rsid w:val="0077078B"/>
    <w:rsid w:val="00773FFE"/>
    <w:rsid w:val="00774B3A"/>
    <w:rsid w:val="00775BA6"/>
    <w:rsid w:val="00775BE4"/>
    <w:rsid w:val="00781F0F"/>
    <w:rsid w:val="007858F9"/>
    <w:rsid w:val="00786399"/>
    <w:rsid w:val="007864D2"/>
    <w:rsid w:val="00786C1A"/>
    <w:rsid w:val="0078727C"/>
    <w:rsid w:val="0079049D"/>
    <w:rsid w:val="00792127"/>
    <w:rsid w:val="0079307E"/>
    <w:rsid w:val="007955CE"/>
    <w:rsid w:val="007974F7"/>
    <w:rsid w:val="007A2296"/>
    <w:rsid w:val="007A2407"/>
    <w:rsid w:val="007A417B"/>
    <w:rsid w:val="007A6665"/>
    <w:rsid w:val="007A7555"/>
    <w:rsid w:val="007B0F5B"/>
    <w:rsid w:val="007B18D8"/>
    <w:rsid w:val="007B2F0B"/>
    <w:rsid w:val="007B6C56"/>
    <w:rsid w:val="007C095F"/>
    <w:rsid w:val="007C3E91"/>
    <w:rsid w:val="007C40C1"/>
    <w:rsid w:val="007C4EDA"/>
    <w:rsid w:val="007C5B47"/>
    <w:rsid w:val="007E2352"/>
    <w:rsid w:val="007E42C5"/>
    <w:rsid w:val="007E4A67"/>
    <w:rsid w:val="007F0C8B"/>
    <w:rsid w:val="007F34B8"/>
    <w:rsid w:val="007F45B0"/>
    <w:rsid w:val="007F69E7"/>
    <w:rsid w:val="007F75DB"/>
    <w:rsid w:val="007F75FB"/>
    <w:rsid w:val="008028A4"/>
    <w:rsid w:val="00804099"/>
    <w:rsid w:val="008114D5"/>
    <w:rsid w:val="00813245"/>
    <w:rsid w:val="00815BA2"/>
    <w:rsid w:val="00817107"/>
    <w:rsid w:val="00822474"/>
    <w:rsid w:val="008247C5"/>
    <w:rsid w:val="0082696A"/>
    <w:rsid w:val="00827214"/>
    <w:rsid w:val="00830CA5"/>
    <w:rsid w:val="008329B8"/>
    <w:rsid w:val="00834348"/>
    <w:rsid w:val="0083465B"/>
    <w:rsid w:val="008364BF"/>
    <w:rsid w:val="00840823"/>
    <w:rsid w:val="00847161"/>
    <w:rsid w:val="00850045"/>
    <w:rsid w:val="0085186C"/>
    <w:rsid w:val="008534EE"/>
    <w:rsid w:val="00860607"/>
    <w:rsid w:val="008674FE"/>
    <w:rsid w:val="00871041"/>
    <w:rsid w:val="00871AAB"/>
    <w:rsid w:val="0087575C"/>
    <w:rsid w:val="008768CA"/>
    <w:rsid w:val="00876A4E"/>
    <w:rsid w:val="00877EF9"/>
    <w:rsid w:val="00880559"/>
    <w:rsid w:val="00885207"/>
    <w:rsid w:val="00885C04"/>
    <w:rsid w:val="00886795"/>
    <w:rsid w:val="00892FCD"/>
    <w:rsid w:val="00893379"/>
    <w:rsid w:val="00895183"/>
    <w:rsid w:val="00895588"/>
    <w:rsid w:val="008A32AA"/>
    <w:rsid w:val="008A5336"/>
    <w:rsid w:val="008A5D0A"/>
    <w:rsid w:val="008A63C9"/>
    <w:rsid w:val="008B24C0"/>
    <w:rsid w:val="008B2D2B"/>
    <w:rsid w:val="008B2FCF"/>
    <w:rsid w:val="008B4611"/>
    <w:rsid w:val="008B5306"/>
    <w:rsid w:val="008B725F"/>
    <w:rsid w:val="008C1D13"/>
    <w:rsid w:val="008C7D6A"/>
    <w:rsid w:val="008D09E5"/>
    <w:rsid w:val="008D1812"/>
    <w:rsid w:val="008D3647"/>
    <w:rsid w:val="008E1824"/>
    <w:rsid w:val="008E5532"/>
    <w:rsid w:val="008F27BD"/>
    <w:rsid w:val="009011DD"/>
    <w:rsid w:val="00901EF4"/>
    <w:rsid w:val="0090271F"/>
    <w:rsid w:val="00902803"/>
    <w:rsid w:val="00902DB9"/>
    <w:rsid w:val="0090466A"/>
    <w:rsid w:val="00911C07"/>
    <w:rsid w:val="00912AD6"/>
    <w:rsid w:val="00917857"/>
    <w:rsid w:val="0092228F"/>
    <w:rsid w:val="00925185"/>
    <w:rsid w:val="00927A8E"/>
    <w:rsid w:val="009319B7"/>
    <w:rsid w:val="00931D4B"/>
    <w:rsid w:val="00935D17"/>
    <w:rsid w:val="00936071"/>
    <w:rsid w:val="00937BDB"/>
    <w:rsid w:val="00940212"/>
    <w:rsid w:val="0094062C"/>
    <w:rsid w:val="00942EC2"/>
    <w:rsid w:val="0095109C"/>
    <w:rsid w:val="00961B32"/>
    <w:rsid w:val="00962D7F"/>
    <w:rsid w:val="00964356"/>
    <w:rsid w:val="009647DA"/>
    <w:rsid w:val="00970DB3"/>
    <w:rsid w:val="00974BB0"/>
    <w:rsid w:val="00976F45"/>
    <w:rsid w:val="00981FA0"/>
    <w:rsid w:val="00986722"/>
    <w:rsid w:val="00991CF3"/>
    <w:rsid w:val="009923E0"/>
    <w:rsid w:val="00995691"/>
    <w:rsid w:val="009A0AF3"/>
    <w:rsid w:val="009A1829"/>
    <w:rsid w:val="009B07CD"/>
    <w:rsid w:val="009B7186"/>
    <w:rsid w:val="009C1714"/>
    <w:rsid w:val="009C19E9"/>
    <w:rsid w:val="009C33ED"/>
    <w:rsid w:val="009C36D1"/>
    <w:rsid w:val="009C3FF7"/>
    <w:rsid w:val="009D144D"/>
    <w:rsid w:val="009D5C8F"/>
    <w:rsid w:val="009D6987"/>
    <w:rsid w:val="009E1430"/>
    <w:rsid w:val="009E3603"/>
    <w:rsid w:val="009E5794"/>
    <w:rsid w:val="009E67B3"/>
    <w:rsid w:val="009E7F64"/>
    <w:rsid w:val="009F1DC4"/>
    <w:rsid w:val="009F481D"/>
    <w:rsid w:val="009F614D"/>
    <w:rsid w:val="009F7C65"/>
    <w:rsid w:val="00A02F90"/>
    <w:rsid w:val="00A04DFC"/>
    <w:rsid w:val="00A06DCE"/>
    <w:rsid w:val="00A10F02"/>
    <w:rsid w:val="00A204CA"/>
    <w:rsid w:val="00A23619"/>
    <w:rsid w:val="00A254FF"/>
    <w:rsid w:val="00A308E5"/>
    <w:rsid w:val="00A30C56"/>
    <w:rsid w:val="00A31DFA"/>
    <w:rsid w:val="00A44A1D"/>
    <w:rsid w:val="00A53724"/>
    <w:rsid w:val="00A55B64"/>
    <w:rsid w:val="00A607E7"/>
    <w:rsid w:val="00A63F6A"/>
    <w:rsid w:val="00A67B05"/>
    <w:rsid w:val="00A820D0"/>
    <w:rsid w:val="00A82346"/>
    <w:rsid w:val="00A839AB"/>
    <w:rsid w:val="00A8656F"/>
    <w:rsid w:val="00A86998"/>
    <w:rsid w:val="00A9101D"/>
    <w:rsid w:val="00A9181D"/>
    <w:rsid w:val="00A94614"/>
    <w:rsid w:val="00A95566"/>
    <w:rsid w:val="00A9671C"/>
    <w:rsid w:val="00A971E4"/>
    <w:rsid w:val="00AA1553"/>
    <w:rsid w:val="00AA3FF7"/>
    <w:rsid w:val="00AA42E2"/>
    <w:rsid w:val="00AA7D59"/>
    <w:rsid w:val="00AB648C"/>
    <w:rsid w:val="00AB72AC"/>
    <w:rsid w:val="00AC0E4D"/>
    <w:rsid w:val="00AC59BD"/>
    <w:rsid w:val="00AC5F5F"/>
    <w:rsid w:val="00AC6A6F"/>
    <w:rsid w:val="00AD0B84"/>
    <w:rsid w:val="00AD79AF"/>
    <w:rsid w:val="00AE6CB7"/>
    <w:rsid w:val="00AF0C3C"/>
    <w:rsid w:val="00AF3C5E"/>
    <w:rsid w:val="00AF4631"/>
    <w:rsid w:val="00AF528A"/>
    <w:rsid w:val="00AF5759"/>
    <w:rsid w:val="00AF6508"/>
    <w:rsid w:val="00B010FF"/>
    <w:rsid w:val="00B03A7B"/>
    <w:rsid w:val="00B07690"/>
    <w:rsid w:val="00B12913"/>
    <w:rsid w:val="00B12BEE"/>
    <w:rsid w:val="00B15449"/>
    <w:rsid w:val="00B16877"/>
    <w:rsid w:val="00B24624"/>
    <w:rsid w:val="00B249B0"/>
    <w:rsid w:val="00B30664"/>
    <w:rsid w:val="00B3182B"/>
    <w:rsid w:val="00B32983"/>
    <w:rsid w:val="00B3357A"/>
    <w:rsid w:val="00B37AC9"/>
    <w:rsid w:val="00B41108"/>
    <w:rsid w:val="00B46638"/>
    <w:rsid w:val="00B46A92"/>
    <w:rsid w:val="00B47FD1"/>
    <w:rsid w:val="00B50AB4"/>
    <w:rsid w:val="00B516BB"/>
    <w:rsid w:val="00B56F6F"/>
    <w:rsid w:val="00B67885"/>
    <w:rsid w:val="00B711A0"/>
    <w:rsid w:val="00B808D3"/>
    <w:rsid w:val="00B82819"/>
    <w:rsid w:val="00B849FC"/>
    <w:rsid w:val="00B87A73"/>
    <w:rsid w:val="00B91985"/>
    <w:rsid w:val="00B94E6D"/>
    <w:rsid w:val="00B975BF"/>
    <w:rsid w:val="00BA005B"/>
    <w:rsid w:val="00BA0393"/>
    <w:rsid w:val="00BA308A"/>
    <w:rsid w:val="00BA5AC7"/>
    <w:rsid w:val="00BB7304"/>
    <w:rsid w:val="00BB7680"/>
    <w:rsid w:val="00BC2C72"/>
    <w:rsid w:val="00BC468A"/>
    <w:rsid w:val="00BD4D65"/>
    <w:rsid w:val="00BE07E7"/>
    <w:rsid w:val="00BE2040"/>
    <w:rsid w:val="00BE2D45"/>
    <w:rsid w:val="00BE5FD7"/>
    <w:rsid w:val="00BE719D"/>
    <w:rsid w:val="00C06827"/>
    <w:rsid w:val="00C10F7D"/>
    <w:rsid w:val="00C1204A"/>
    <w:rsid w:val="00C12B51"/>
    <w:rsid w:val="00C23056"/>
    <w:rsid w:val="00C24650"/>
    <w:rsid w:val="00C25453"/>
    <w:rsid w:val="00C262E5"/>
    <w:rsid w:val="00C27E14"/>
    <w:rsid w:val="00C33079"/>
    <w:rsid w:val="00C4084E"/>
    <w:rsid w:val="00C415C8"/>
    <w:rsid w:val="00C43DB0"/>
    <w:rsid w:val="00C44A4A"/>
    <w:rsid w:val="00C4640D"/>
    <w:rsid w:val="00C52B86"/>
    <w:rsid w:val="00C71136"/>
    <w:rsid w:val="00C73CBF"/>
    <w:rsid w:val="00C75B11"/>
    <w:rsid w:val="00C77DEE"/>
    <w:rsid w:val="00C83A13"/>
    <w:rsid w:val="00C856D5"/>
    <w:rsid w:val="00C86C7C"/>
    <w:rsid w:val="00C9068C"/>
    <w:rsid w:val="00C90F1E"/>
    <w:rsid w:val="00C9106A"/>
    <w:rsid w:val="00C92967"/>
    <w:rsid w:val="00C95047"/>
    <w:rsid w:val="00C96B75"/>
    <w:rsid w:val="00CA27A6"/>
    <w:rsid w:val="00CA3D0C"/>
    <w:rsid w:val="00CA4C40"/>
    <w:rsid w:val="00CA5076"/>
    <w:rsid w:val="00CA654B"/>
    <w:rsid w:val="00CB0EA4"/>
    <w:rsid w:val="00CB138E"/>
    <w:rsid w:val="00CB46AF"/>
    <w:rsid w:val="00CB5B12"/>
    <w:rsid w:val="00CC057E"/>
    <w:rsid w:val="00CC133B"/>
    <w:rsid w:val="00CC4489"/>
    <w:rsid w:val="00CC4B23"/>
    <w:rsid w:val="00CC5E24"/>
    <w:rsid w:val="00CC6D39"/>
    <w:rsid w:val="00CD03FE"/>
    <w:rsid w:val="00CD0847"/>
    <w:rsid w:val="00CD297C"/>
    <w:rsid w:val="00CD4C7B"/>
    <w:rsid w:val="00CE1864"/>
    <w:rsid w:val="00CE2024"/>
    <w:rsid w:val="00CE32CE"/>
    <w:rsid w:val="00CE6217"/>
    <w:rsid w:val="00CE6970"/>
    <w:rsid w:val="00CF2A90"/>
    <w:rsid w:val="00CF5E0F"/>
    <w:rsid w:val="00CF63C8"/>
    <w:rsid w:val="00D007FF"/>
    <w:rsid w:val="00D032D0"/>
    <w:rsid w:val="00D03FD5"/>
    <w:rsid w:val="00D06551"/>
    <w:rsid w:val="00D128C9"/>
    <w:rsid w:val="00D144D5"/>
    <w:rsid w:val="00D16C25"/>
    <w:rsid w:val="00D17661"/>
    <w:rsid w:val="00D21378"/>
    <w:rsid w:val="00D22892"/>
    <w:rsid w:val="00D2491C"/>
    <w:rsid w:val="00D2610B"/>
    <w:rsid w:val="00D30204"/>
    <w:rsid w:val="00D324D2"/>
    <w:rsid w:val="00D351C7"/>
    <w:rsid w:val="00D371A6"/>
    <w:rsid w:val="00D37991"/>
    <w:rsid w:val="00D42BAE"/>
    <w:rsid w:val="00D544D2"/>
    <w:rsid w:val="00D6092B"/>
    <w:rsid w:val="00D628BE"/>
    <w:rsid w:val="00D65900"/>
    <w:rsid w:val="00D670C0"/>
    <w:rsid w:val="00D70055"/>
    <w:rsid w:val="00D738D6"/>
    <w:rsid w:val="00D80795"/>
    <w:rsid w:val="00D81EB9"/>
    <w:rsid w:val="00D82689"/>
    <w:rsid w:val="00D83B09"/>
    <w:rsid w:val="00D84263"/>
    <w:rsid w:val="00D8504C"/>
    <w:rsid w:val="00D854BE"/>
    <w:rsid w:val="00D8577B"/>
    <w:rsid w:val="00D85DE6"/>
    <w:rsid w:val="00D87761"/>
    <w:rsid w:val="00D87E00"/>
    <w:rsid w:val="00D9134D"/>
    <w:rsid w:val="00D9371C"/>
    <w:rsid w:val="00D94E7F"/>
    <w:rsid w:val="00D95B0E"/>
    <w:rsid w:val="00D95E23"/>
    <w:rsid w:val="00D96969"/>
    <w:rsid w:val="00D96D11"/>
    <w:rsid w:val="00DA5312"/>
    <w:rsid w:val="00DA7A03"/>
    <w:rsid w:val="00DB0862"/>
    <w:rsid w:val="00DB1818"/>
    <w:rsid w:val="00DB295F"/>
    <w:rsid w:val="00DC309B"/>
    <w:rsid w:val="00DC3174"/>
    <w:rsid w:val="00DC3EA6"/>
    <w:rsid w:val="00DC4DA2"/>
    <w:rsid w:val="00DC596F"/>
    <w:rsid w:val="00DD4216"/>
    <w:rsid w:val="00DD5E30"/>
    <w:rsid w:val="00DE0873"/>
    <w:rsid w:val="00DE6073"/>
    <w:rsid w:val="00DE6C87"/>
    <w:rsid w:val="00DF08E6"/>
    <w:rsid w:val="00DF4A3D"/>
    <w:rsid w:val="00DF7CBF"/>
    <w:rsid w:val="00E0152D"/>
    <w:rsid w:val="00E0398F"/>
    <w:rsid w:val="00E07110"/>
    <w:rsid w:val="00E10F03"/>
    <w:rsid w:val="00E171A1"/>
    <w:rsid w:val="00E217A7"/>
    <w:rsid w:val="00E267BC"/>
    <w:rsid w:val="00E3050A"/>
    <w:rsid w:val="00E323F9"/>
    <w:rsid w:val="00E36C38"/>
    <w:rsid w:val="00E414A8"/>
    <w:rsid w:val="00E4290D"/>
    <w:rsid w:val="00E436E6"/>
    <w:rsid w:val="00E450DC"/>
    <w:rsid w:val="00E45D13"/>
    <w:rsid w:val="00E47EB3"/>
    <w:rsid w:val="00E51DFE"/>
    <w:rsid w:val="00E51E43"/>
    <w:rsid w:val="00E53F38"/>
    <w:rsid w:val="00E55A84"/>
    <w:rsid w:val="00E6032A"/>
    <w:rsid w:val="00E62835"/>
    <w:rsid w:val="00E63538"/>
    <w:rsid w:val="00E64A03"/>
    <w:rsid w:val="00E65AAA"/>
    <w:rsid w:val="00E72A18"/>
    <w:rsid w:val="00E73D97"/>
    <w:rsid w:val="00E77645"/>
    <w:rsid w:val="00E77B95"/>
    <w:rsid w:val="00E77E73"/>
    <w:rsid w:val="00E81FDB"/>
    <w:rsid w:val="00E8227E"/>
    <w:rsid w:val="00E83697"/>
    <w:rsid w:val="00E90492"/>
    <w:rsid w:val="00E97384"/>
    <w:rsid w:val="00EA06CA"/>
    <w:rsid w:val="00EA3C9E"/>
    <w:rsid w:val="00EA6249"/>
    <w:rsid w:val="00EB3187"/>
    <w:rsid w:val="00EB7320"/>
    <w:rsid w:val="00EC4A25"/>
    <w:rsid w:val="00EC6288"/>
    <w:rsid w:val="00ED0AF1"/>
    <w:rsid w:val="00ED7AED"/>
    <w:rsid w:val="00EE3792"/>
    <w:rsid w:val="00EE663E"/>
    <w:rsid w:val="00EE6B57"/>
    <w:rsid w:val="00EF1348"/>
    <w:rsid w:val="00EF2770"/>
    <w:rsid w:val="00F025A2"/>
    <w:rsid w:val="00F04E1C"/>
    <w:rsid w:val="00F0580F"/>
    <w:rsid w:val="00F058AE"/>
    <w:rsid w:val="00F07388"/>
    <w:rsid w:val="00F2026E"/>
    <w:rsid w:val="00F2210A"/>
    <w:rsid w:val="00F22367"/>
    <w:rsid w:val="00F226F3"/>
    <w:rsid w:val="00F2305E"/>
    <w:rsid w:val="00F25CDE"/>
    <w:rsid w:val="00F27628"/>
    <w:rsid w:val="00F308F6"/>
    <w:rsid w:val="00F30C0D"/>
    <w:rsid w:val="00F36AF5"/>
    <w:rsid w:val="00F37743"/>
    <w:rsid w:val="00F411B8"/>
    <w:rsid w:val="00F45168"/>
    <w:rsid w:val="00F5362A"/>
    <w:rsid w:val="00F5468E"/>
    <w:rsid w:val="00F549DB"/>
    <w:rsid w:val="00F54A3D"/>
    <w:rsid w:val="00F54CB0"/>
    <w:rsid w:val="00F56E5F"/>
    <w:rsid w:val="00F57476"/>
    <w:rsid w:val="00F6188A"/>
    <w:rsid w:val="00F653B8"/>
    <w:rsid w:val="00F65B6B"/>
    <w:rsid w:val="00F66F10"/>
    <w:rsid w:val="00F70855"/>
    <w:rsid w:val="00F71B89"/>
    <w:rsid w:val="00F7353C"/>
    <w:rsid w:val="00F76F8F"/>
    <w:rsid w:val="00F85976"/>
    <w:rsid w:val="00F87F6A"/>
    <w:rsid w:val="00F976FB"/>
    <w:rsid w:val="00FA0BC2"/>
    <w:rsid w:val="00FA1266"/>
    <w:rsid w:val="00FA2FBA"/>
    <w:rsid w:val="00FA6093"/>
    <w:rsid w:val="00FA6B1A"/>
    <w:rsid w:val="00FA7F14"/>
    <w:rsid w:val="00FB15F7"/>
    <w:rsid w:val="00FB36FA"/>
    <w:rsid w:val="00FB76F9"/>
    <w:rsid w:val="00FB78B7"/>
    <w:rsid w:val="00FC0C7B"/>
    <w:rsid w:val="00FC1192"/>
    <w:rsid w:val="00FC7BC8"/>
    <w:rsid w:val="00FD0C60"/>
    <w:rsid w:val="00FD1C15"/>
    <w:rsid w:val="00FD28F6"/>
    <w:rsid w:val="00FD3E36"/>
    <w:rsid w:val="00FE2FEA"/>
    <w:rsid w:val="00FF036F"/>
    <w:rsid w:val="00FF057B"/>
    <w:rsid w:val="00FF2123"/>
    <w:rsid w:val="00FF5518"/>
    <w:rsid w:val="00FF5B50"/>
    <w:rsid w:val="00FF629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B584DF68-055E-41F8-A207-DCCCD31D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01093E"/>
    <w:pPr>
      <w:ind w:left="720"/>
      <w:contextualSpacing/>
    </w:pPr>
  </w:style>
  <w:style w:type="character" w:styleId="CommentReference">
    <w:name w:val="annotation reference"/>
    <w:rsid w:val="00051E25"/>
    <w:rPr>
      <w:sz w:val="16"/>
      <w:szCs w:val="16"/>
    </w:rPr>
  </w:style>
  <w:style w:type="paragraph" w:styleId="CommentText">
    <w:name w:val="annotation text"/>
    <w:basedOn w:val="Normal"/>
    <w:link w:val="CommentTextChar"/>
    <w:rsid w:val="00051E25"/>
  </w:style>
  <w:style w:type="character" w:customStyle="1" w:styleId="CommentTextChar">
    <w:name w:val="Comment Text Char"/>
    <w:link w:val="CommentText"/>
    <w:rsid w:val="00051E25"/>
    <w:rPr>
      <w:lang w:val="en-US" w:eastAsia="en-US"/>
    </w:rPr>
  </w:style>
  <w:style w:type="paragraph" w:styleId="CommentSubject">
    <w:name w:val="annotation subject"/>
    <w:basedOn w:val="CommentText"/>
    <w:next w:val="CommentText"/>
    <w:link w:val="CommentSubjectChar"/>
    <w:rsid w:val="00051E25"/>
    <w:rPr>
      <w:b/>
      <w:bCs/>
    </w:rPr>
  </w:style>
  <w:style w:type="character" w:customStyle="1" w:styleId="CommentSubjectChar">
    <w:name w:val="Comment Subject Char"/>
    <w:link w:val="CommentSubject"/>
    <w:rsid w:val="00051E25"/>
    <w:rPr>
      <w:b/>
      <w:bCs/>
      <w:lang w:val="en-US" w:eastAsia="en-US"/>
    </w:rPr>
  </w:style>
  <w:style w:type="paragraph" w:styleId="BalloonText">
    <w:name w:val="Balloon Text"/>
    <w:basedOn w:val="Normal"/>
    <w:link w:val="BalloonTextChar"/>
    <w:rsid w:val="00051E25"/>
    <w:pPr>
      <w:spacing w:after="0"/>
    </w:pPr>
    <w:rPr>
      <w:rFonts w:ascii="Segoe UI" w:hAnsi="Segoe UI" w:cs="Segoe UI"/>
      <w:sz w:val="18"/>
      <w:szCs w:val="18"/>
    </w:rPr>
  </w:style>
  <w:style w:type="character" w:customStyle="1" w:styleId="BalloonTextChar">
    <w:name w:val="Balloon Text Char"/>
    <w:link w:val="BalloonText"/>
    <w:rsid w:val="00051E25"/>
    <w:rPr>
      <w:rFonts w:ascii="Segoe UI" w:hAnsi="Segoe UI" w:cs="Segoe UI"/>
      <w:sz w:val="18"/>
      <w:szCs w:val="18"/>
      <w:lang w:val="en-US" w:eastAsia="en-US"/>
    </w:rPr>
  </w:style>
  <w:style w:type="character" w:customStyle="1" w:styleId="EditorsNoteCharChar">
    <w:name w:val="Editor's Note Char Char"/>
    <w:link w:val="EditorsNote"/>
    <w:rsid w:val="00CB138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546790">
      <w:bodyDiv w:val="1"/>
      <w:marLeft w:val="0"/>
      <w:marRight w:val="0"/>
      <w:marTop w:val="0"/>
      <w:marBottom w:val="0"/>
      <w:divBdr>
        <w:top w:val="none" w:sz="0" w:space="0" w:color="auto"/>
        <w:left w:val="none" w:sz="0" w:space="0" w:color="auto"/>
        <w:bottom w:val="none" w:sz="0" w:space="0" w:color="auto"/>
        <w:right w:val="none" w:sz="0" w:space="0" w:color="auto"/>
      </w:divBdr>
    </w:div>
    <w:div w:id="384108363">
      <w:bodyDiv w:val="1"/>
      <w:marLeft w:val="0"/>
      <w:marRight w:val="0"/>
      <w:marTop w:val="0"/>
      <w:marBottom w:val="0"/>
      <w:divBdr>
        <w:top w:val="none" w:sz="0" w:space="0" w:color="auto"/>
        <w:left w:val="none" w:sz="0" w:space="0" w:color="auto"/>
        <w:bottom w:val="none" w:sz="0" w:space="0" w:color="auto"/>
        <w:right w:val="none" w:sz="0" w:space="0" w:color="auto"/>
      </w:divBdr>
      <w:divsChild>
        <w:div w:id="801266865">
          <w:marLeft w:val="720"/>
          <w:marRight w:val="0"/>
          <w:marTop w:val="0"/>
          <w:marBottom w:val="120"/>
          <w:divBdr>
            <w:top w:val="none" w:sz="0" w:space="0" w:color="auto"/>
            <w:left w:val="none" w:sz="0" w:space="0" w:color="auto"/>
            <w:bottom w:val="none" w:sz="0" w:space="0" w:color="auto"/>
            <w:right w:val="none" w:sz="0" w:space="0" w:color="auto"/>
          </w:divBdr>
        </w:div>
        <w:div w:id="890531757">
          <w:marLeft w:val="360"/>
          <w:marRight w:val="0"/>
          <w:marTop w:val="0"/>
          <w:marBottom w:val="120"/>
          <w:divBdr>
            <w:top w:val="none" w:sz="0" w:space="0" w:color="auto"/>
            <w:left w:val="none" w:sz="0" w:space="0" w:color="auto"/>
            <w:bottom w:val="none" w:sz="0" w:space="0" w:color="auto"/>
            <w:right w:val="none" w:sz="0" w:space="0" w:color="auto"/>
          </w:divBdr>
        </w:div>
        <w:div w:id="1072243068">
          <w:marLeft w:val="720"/>
          <w:marRight w:val="0"/>
          <w:marTop w:val="0"/>
          <w:marBottom w:val="120"/>
          <w:divBdr>
            <w:top w:val="none" w:sz="0" w:space="0" w:color="auto"/>
            <w:left w:val="none" w:sz="0" w:space="0" w:color="auto"/>
            <w:bottom w:val="none" w:sz="0" w:space="0" w:color="auto"/>
            <w:right w:val="none" w:sz="0" w:space="0" w:color="auto"/>
          </w:divBdr>
        </w:div>
        <w:div w:id="1786464542">
          <w:marLeft w:val="1094"/>
          <w:marRight w:val="0"/>
          <w:marTop w:val="0"/>
          <w:marBottom w:val="120"/>
          <w:divBdr>
            <w:top w:val="none" w:sz="0" w:space="0" w:color="auto"/>
            <w:left w:val="none" w:sz="0" w:space="0" w:color="auto"/>
            <w:bottom w:val="none" w:sz="0" w:space="0" w:color="auto"/>
            <w:right w:val="none" w:sz="0" w:space="0" w:color="auto"/>
          </w:divBdr>
        </w:div>
        <w:div w:id="1943802674">
          <w:marLeft w:val="1094"/>
          <w:marRight w:val="0"/>
          <w:marTop w:val="0"/>
          <w:marBottom w:val="120"/>
          <w:divBdr>
            <w:top w:val="none" w:sz="0" w:space="0" w:color="auto"/>
            <w:left w:val="none" w:sz="0" w:space="0" w:color="auto"/>
            <w:bottom w:val="none" w:sz="0" w:space="0" w:color="auto"/>
            <w:right w:val="none" w:sz="0" w:space="0" w:color="auto"/>
          </w:divBdr>
        </w:div>
        <w:div w:id="2112162215">
          <w:marLeft w:val="1094"/>
          <w:marRight w:val="0"/>
          <w:marTop w:val="0"/>
          <w:marBottom w:val="120"/>
          <w:divBdr>
            <w:top w:val="none" w:sz="0" w:space="0" w:color="auto"/>
            <w:left w:val="none" w:sz="0" w:space="0" w:color="auto"/>
            <w:bottom w:val="none" w:sz="0" w:space="0" w:color="auto"/>
            <w:right w:val="none" w:sz="0" w:space="0" w:color="auto"/>
          </w:divBdr>
        </w:div>
      </w:divsChild>
    </w:div>
    <w:div w:id="482816988">
      <w:bodyDiv w:val="1"/>
      <w:marLeft w:val="0"/>
      <w:marRight w:val="0"/>
      <w:marTop w:val="0"/>
      <w:marBottom w:val="0"/>
      <w:divBdr>
        <w:top w:val="none" w:sz="0" w:space="0" w:color="auto"/>
        <w:left w:val="none" w:sz="0" w:space="0" w:color="auto"/>
        <w:bottom w:val="none" w:sz="0" w:space="0" w:color="auto"/>
        <w:right w:val="none" w:sz="0" w:space="0" w:color="auto"/>
      </w:divBdr>
    </w:div>
    <w:div w:id="1020623867">
      <w:bodyDiv w:val="1"/>
      <w:marLeft w:val="0"/>
      <w:marRight w:val="0"/>
      <w:marTop w:val="0"/>
      <w:marBottom w:val="0"/>
      <w:divBdr>
        <w:top w:val="none" w:sz="0" w:space="0" w:color="auto"/>
        <w:left w:val="none" w:sz="0" w:space="0" w:color="auto"/>
        <w:bottom w:val="none" w:sz="0" w:space="0" w:color="auto"/>
        <w:right w:val="none" w:sz="0" w:space="0" w:color="auto"/>
      </w:divBdr>
      <w:divsChild>
        <w:div w:id="250897103">
          <w:marLeft w:val="274"/>
          <w:marRight w:val="0"/>
          <w:marTop w:val="0"/>
          <w:marBottom w:val="0"/>
          <w:divBdr>
            <w:top w:val="none" w:sz="0" w:space="0" w:color="auto"/>
            <w:left w:val="none" w:sz="0" w:space="0" w:color="auto"/>
            <w:bottom w:val="none" w:sz="0" w:space="0" w:color="auto"/>
            <w:right w:val="none" w:sz="0" w:space="0" w:color="auto"/>
          </w:divBdr>
        </w:div>
        <w:div w:id="451901118">
          <w:marLeft w:val="274"/>
          <w:marRight w:val="0"/>
          <w:marTop w:val="0"/>
          <w:marBottom w:val="0"/>
          <w:divBdr>
            <w:top w:val="none" w:sz="0" w:space="0" w:color="auto"/>
            <w:left w:val="none" w:sz="0" w:space="0" w:color="auto"/>
            <w:bottom w:val="none" w:sz="0" w:space="0" w:color="auto"/>
            <w:right w:val="none" w:sz="0" w:space="0" w:color="auto"/>
          </w:divBdr>
        </w:div>
        <w:div w:id="861941238">
          <w:marLeft w:val="274"/>
          <w:marRight w:val="0"/>
          <w:marTop w:val="0"/>
          <w:marBottom w:val="0"/>
          <w:divBdr>
            <w:top w:val="none" w:sz="0" w:space="0" w:color="auto"/>
            <w:left w:val="none" w:sz="0" w:space="0" w:color="auto"/>
            <w:bottom w:val="none" w:sz="0" w:space="0" w:color="auto"/>
            <w:right w:val="none" w:sz="0" w:space="0" w:color="auto"/>
          </w:divBdr>
        </w:div>
        <w:div w:id="1742436485">
          <w:marLeft w:val="274"/>
          <w:marRight w:val="0"/>
          <w:marTop w:val="0"/>
          <w:marBottom w:val="0"/>
          <w:divBdr>
            <w:top w:val="none" w:sz="0" w:space="0" w:color="auto"/>
            <w:left w:val="none" w:sz="0" w:space="0" w:color="auto"/>
            <w:bottom w:val="none" w:sz="0" w:space="0" w:color="auto"/>
            <w:right w:val="none" w:sz="0" w:space="0" w:color="auto"/>
          </w:divBdr>
        </w:div>
        <w:div w:id="2129659971">
          <w:marLeft w:val="274"/>
          <w:marRight w:val="0"/>
          <w:marTop w:val="0"/>
          <w:marBottom w:val="0"/>
          <w:divBdr>
            <w:top w:val="none" w:sz="0" w:space="0" w:color="auto"/>
            <w:left w:val="none" w:sz="0" w:space="0" w:color="auto"/>
            <w:bottom w:val="none" w:sz="0" w:space="0" w:color="auto"/>
            <w:right w:val="none" w:sz="0" w:space="0" w:color="auto"/>
          </w:divBdr>
        </w:div>
      </w:divsChild>
    </w:div>
    <w:div w:id="1090154130">
      <w:bodyDiv w:val="1"/>
      <w:marLeft w:val="0"/>
      <w:marRight w:val="0"/>
      <w:marTop w:val="0"/>
      <w:marBottom w:val="0"/>
      <w:divBdr>
        <w:top w:val="none" w:sz="0" w:space="0" w:color="auto"/>
        <w:left w:val="none" w:sz="0" w:space="0" w:color="auto"/>
        <w:bottom w:val="none" w:sz="0" w:space="0" w:color="auto"/>
        <w:right w:val="none" w:sz="0" w:space="0" w:color="auto"/>
      </w:divBdr>
    </w:div>
    <w:div w:id="1901743529">
      <w:bodyDiv w:val="1"/>
      <w:marLeft w:val="0"/>
      <w:marRight w:val="0"/>
      <w:marTop w:val="0"/>
      <w:marBottom w:val="0"/>
      <w:divBdr>
        <w:top w:val="none" w:sz="0" w:space="0" w:color="auto"/>
        <w:left w:val="none" w:sz="0" w:space="0" w:color="auto"/>
        <w:bottom w:val="none" w:sz="0" w:space="0" w:color="auto"/>
        <w:right w:val="none" w:sz="0" w:space="0" w:color="auto"/>
      </w:divBdr>
    </w:div>
    <w:div w:id="2004314352">
      <w:bodyDiv w:val="1"/>
      <w:marLeft w:val="0"/>
      <w:marRight w:val="0"/>
      <w:marTop w:val="0"/>
      <w:marBottom w:val="0"/>
      <w:divBdr>
        <w:top w:val="none" w:sz="0" w:space="0" w:color="auto"/>
        <w:left w:val="none" w:sz="0" w:space="0" w:color="auto"/>
        <w:bottom w:val="none" w:sz="0" w:space="0" w:color="auto"/>
        <w:right w:val="none" w:sz="0" w:space="0" w:color="auto"/>
      </w:divBdr>
      <w:divsChild>
        <w:div w:id="608202236">
          <w:marLeft w:val="1094"/>
          <w:marRight w:val="0"/>
          <w:marTop w:val="0"/>
          <w:marBottom w:val="120"/>
          <w:divBdr>
            <w:top w:val="none" w:sz="0" w:space="0" w:color="auto"/>
            <w:left w:val="none" w:sz="0" w:space="0" w:color="auto"/>
            <w:bottom w:val="none" w:sz="0" w:space="0" w:color="auto"/>
            <w:right w:val="none" w:sz="0" w:space="0" w:color="auto"/>
          </w:divBdr>
        </w:div>
        <w:div w:id="1607618143">
          <w:marLeft w:val="1094"/>
          <w:marRight w:val="0"/>
          <w:marTop w:val="0"/>
          <w:marBottom w:val="120"/>
          <w:divBdr>
            <w:top w:val="none" w:sz="0" w:space="0" w:color="auto"/>
            <w:left w:val="none" w:sz="0" w:space="0" w:color="auto"/>
            <w:bottom w:val="none" w:sz="0" w:space="0" w:color="auto"/>
            <w:right w:val="none" w:sz="0" w:space="0" w:color="auto"/>
          </w:divBdr>
        </w:div>
        <w:div w:id="1950501026">
          <w:marLeft w:val="720"/>
          <w:marRight w:val="0"/>
          <w:marTop w:val="0"/>
          <w:marBottom w:val="120"/>
          <w:divBdr>
            <w:top w:val="none" w:sz="0" w:space="0" w:color="auto"/>
            <w:left w:val="none" w:sz="0" w:space="0" w:color="auto"/>
            <w:bottom w:val="none" w:sz="0" w:space="0" w:color="auto"/>
            <w:right w:val="none" w:sz="0" w:space="0" w:color="auto"/>
          </w:divBdr>
        </w:div>
        <w:div w:id="1979646299">
          <w:marLeft w:val="720"/>
          <w:marRight w:val="0"/>
          <w:marTop w:val="0"/>
          <w:marBottom w:val="12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A9514608-8901-49FA-B7F8-8F701B3BCCCC}">
  <ds:schemaRefs>
    <ds:schemaRef ds:uri="http://schemas.microsoft.com/sharepoint/events"/>
  </ds:schemaRefs>
</ds:datastoreItem>
</file>

<file path=customXml/itemProps2.xml><?xml version="1.0" encoding="utf-8"?>
<ds:datastoreItem xmlns:ds="http://schemas.openxmlformats.org/officeDocument/2006/customXml" ds:itemID="{83C00119-F9E5-4893-AE1B-EC12E6E6C321}">
  <ds:schemaRefs>
    <ds:schemaRef ds:uri="http://schemas.microsoft.com/office/2006/metadata/longProperties"/>
  </ds:schemaRefs>
</ds:datastoreItem>
</file>

<file path=customXml/itemProps3.xml><?xml version="1.0" encoding="utf-8"?>
<ds:datastoreItem xmlns:ds="http://schemas.openxmlformats.org/officeDocument/2006/customXml" ds:itemID="{513A9C80-90FB-40D7-96F3-863FFCD27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E600B6-A709-49C7-BA0E-7848DF7DE300}">
  <ds:schemaRefs>
    <ds:schemaRef ds:uri="Microsoft.SharePoint.Taxonomy.ContentTypeSync"/>
  </ds:schemaRefs>
</ds:datastoreItem>
</file>

<file path=customXml/itemProps5.xml><?xml version="1.0" encoding="utf-8"?>
<ds:datastoreItem xmlns:ds="http://schemas.openxmlformats.org/officeDocument/2006/customXml" ds:itemID="{5FECD8F5-EFA1-48C6-951A-A13E325B3164}">
  <ds:schemaRefs>
    <ds:schemaRef ds:uri="http://schemas.microsoft.com/sharepoint/v3/contenttype/forms"/>
  </ds:schemaRefs>
</ds:datastoreItem>
</file>

<file path=customXml/itemProps6.xml><?xml version="1.0" encoding="utf-8"?>
<ds:datastoreItem xmlns:ds="http://schemas.openxmlformats.org/officeDocument/2006/customXml" ds:itemID="{CAB06975-94C9-48C1-B1AC-D432FF156516}">
  <ds:schemaRefs>
    <ds:schemaRef ds:uri="71c5aaf6-e6ce-465b-b873-5148d2a4c105"/>
    <ds:schemaRef ds:uri="http://purl.org/dc/elements/1.1/"/>
    <ds:schemaRef ds:uri="http://schemas.openxmlformats.org/package/2006/metadata/core-properties"/>
    <ds:schemaRef ds:uri="a3840f4f-04be-43d1-b2ef-6ff1382503c7"/>
    <ds:schemaRef ds:uri="http://schemas.microsoft.com/office/infopath/2007/PartnerControls"/>
    <ds:schemaRef ds:uri="http://purl.org/dc/terms/"/>
    <ds:schemaRef ds:uri="3b34c8f0-1ef5-4d1e-bb66-517ce7fe7356"/>
    <ds:schemaRef ds:uri="http://schemas.microsoft.com/office/2006/metadata/properties"/>
    <ds:schemaRef ds:uri="http://schemas.microsoft.com/office/2006/documentManagement/types"/>
    <ds:schemaRef ds:uri="b1e1cf1a-759b-4612-9ceb-2888e9efb0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1814</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12135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1</cp:revision>
  <dcterms:created xsi:type="dcterms:W3CDTF">2018-08-09T17:12:00Z</dcterms:created>
  <dcterms:modified xsi:type="dcterms:W3CDTF">2018-08-09T17:12:00Z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b3d79943-635d-43cc-85bc-22fc17673c16</vt:lpwstr>
  </property>
  <property fmtid="{D5CDD505-2E9C-101B-9397-08002B2CF9AE}" pid="4" name="_NewReviewCycle">
    <vt:lpwstr/>
  </property>
  <property fmtid="{D5CDD505-2E9C-101B-9397-08002B2CF9AE}" pid="5" name="_AdHocReviewCycleID">
    <vt:i4>-77695802</vt:i4>
  </property>
  <property fmtid="{D5CDD505-2E9C-101B-9397-08002B2CF9AE}" pid="6" name="_EmailSubject">
    <vt:lpwstr>IAB Arch. 2a Routing Contribution for next RAN Meetings</vt:lpwstr>
  </property>
  <property fmtid="{D5CDD505-2E9C-101B-9397-08002B2CF9AE}" pid="7" name="_AuthorEmail">
    <vt:lpwstr>colin.kahn@nokia-bell-labs.com</vt:lpwstr>
  </property>
  <property fmtid="{D5CDD505-2E9C-101B-9397-08002B2CF9AE}" pid="8" name="_AuthorEmailDisplayName">
    <vt:lpwstr>Kahn, Colin (Nokia - US/Murray Hill)</vt:lpwstr>
  </property>
  <property fmtid="{D5CDD505-2E9C-101B-9397-08002B2CF9AE}" pid="9" name="_dlc_DocId">
    <vt:lpwstr>5AIRPNAIUNRU-1156379521-777</vt:lpwstr>
  </property>
  <property fmtid="{D5CDD505-2E9C-101B-9397-08002B2CF9AE}" pid="10" name="_dlc_DocIdUrl">
    <vt:lpwstr>https://nokia.sharepoint.com/sites/c5g/e2earch/_layouts/15/DocIdRedir.aspx?ID=5AIRPNAIUNRU-1156379521-777, 5AIRPNAIUNRU-1156379521-777</vt:lpwstr>
  </property>
  <property fmtid="{D5CDD505-2E9C-101B-9397-08002B2CF9AE}" pid="11" name="_PreviousAdHocReviewCycleID">
    <vt:i4>-7231487</vt:i4>
  </property>
  <property fmtid="{D5CDD505-2E9C-101B-9397-08002B2CF9AE}" pid="12" name="_ReviewingToolsShownOnce">
    <vt:lpwstr/>
  </property>
</Properties>
</file>