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335BA" w14:textId="540DC2DD" w:rsidR="00785BDE" w:rsidRPr="00B266B0" w:rsidRDefault="00BA1C3D" w:rsidP="00785BDE">
      <w:pPr>
        <w:pStyle w:val="Header"/>
        <w:tabs>
          <w:tab w:val="right" w:pos="9639"/>
        </w:tabs>
        <w:rPr>
          <w:bCs/>
          <w:i/>
          <w:noProof w:val="0"/>
          <w:sz w:val="24"/>
          <w:szCs w:val="24"/>
        </w:rPr>
      </w:pPr>
      <w:r>
        <w:rPr>
          <w:bCs/>
          <w:noProof w:val="0"/>
          <w:sz w:val="24"/>
          <w:szCs w:val="24"/>
        </w:rPr>
        <w:t>3GPP TSG-RAN WG2 Meeting #103</w:t>
      </w:r>
      <w:r w:rsidR="00785BDE" w:rsidRPr="00B266B0">
        <w:rPr>
          <w:bCs/>
          <w:noProof w:val="0"/>
          <w:sz w:val="24"/>
          <w:szCs w:val="24"/>
        </w:rPr>
        <w:tab/>
      </w:r>
      <w:r w:rsidR="00785BDE" w:rsidRPr="00B266B0">
        <w:rPr>
          <w:rFonts w:hint="eastAsia"/>
          <w:bCs/>
          <w:noProof w:val="0"/>
          <w:sz w:val="24"/>
          <w:szCs w:val="24"/>
        </w:rPr>
        <w:t>R</w:t>
      </w:r>
      <w:r w:rsidR="00785BDE" w:rsidRPr="00B266B0">
        <w:rPr>
          <w:bCs/>
          <w:noProof w:val="0"/>
          <w:sz w:val="24"/>
          <w:szCs w:val="24"/>
        </w:rPr>
        <w:t>2</w:t>
      </w:r>
      <w:r w:rsidR="00785BDE" w:rsidRPr="00B266B0">
        <w:rPr>
          <w:rFonts w:hint="eastAsia"/>
          <w:bCs/>
          <w:noProof w:val="0"/>
          <w:sz w:val="24"/>
          <w:szCs w:val="24"/>
        </w:rPr>
        <w:t>-</w:t>
      </w:r>
      <w:r w:rsidR="00785BDE" w:rsidRPr="00B266B0">
        <w:rPr>
          <w:bCs/>
          <w:noProof w:val="0"/>
          <w:sz w:val="24"/>
          <w:szCs w:val="24"/>
        </w:rPr>
        <w:t>1</w:t>
      </w:r>
      <w:r w:rsidR="00785BDE">
        <w:rPr>
          <w:bCs/>
          <w:noProof w:val="0"/>
          <w:sz w:val="24"/>
          <w:szCs w:val="24"/>
        </w:rPr>
        <w:t>8</w:t>
      </w:r>
      <w:r w:rsidR="004A1528">
        <w:rPr>
          <w:bCs/>
          <w:noProof w:val="0"/>
          <w:sz w:val="24"/>
          <w:szCs w:val="24"/>
        </w:rPr>
        <w:t>12291</w:t>
      </w:r>
    </w:p>
    <w:p w14:paraId="30D0E222" w14:textId="18DF766F" w:rsidR="00785BDE" w:rsidRPr="00B266B0" w:rsidRDefault="00BA1C3D" w:rsidP="00785BDE">
      <w:pPr>
        <w:pStyle w:val="Header"/>
        <w:tabs>
          <w:tab w:val="right" w:pos="9639"/>
        </w:tabs>
        <w:rPr>
          <w:bCs/>
          <w:noProof w:val="0"/>
          <w:sz w:val="24"/>
          <w:szCs w:val="24"/>
        </w:rPr>
      </w:pPr>
      <w:r w:rsidRPr="00BA1C3D">
        <w:rPr>
          <w:rFonts w:eastAsia="SimSun"/>
          <w:noProof w:val="0"/>
          <w:sz w:val="24"/>
          <w:szCs w:val="24"/>
          <w:lang w:eastAsia="zh-CN"/>
        </w:rPr>
        <w:t>Gothenburg</w:t>
      </w:r>
      <w:r w:rsidR="00D815A9" w:rsidRPr="003F4E28">
        <w:rPr>
          <w:rFonts w:eastAsia="SimSun"/>
          <w:noProof w:val="0"/>
          <w:sz w:val="24"/>
          <w:szCs w:val="24"/>
          <w:lang w:eastAsia="zh-CN"/>
        </w:rPr>
        <w:t>, S</w:t>
      </w:r>
      <w:r>
        <w:rPr>
          <w:rFonts w:eastAsia="SimSun"/>
          <w:noProof w:val="0"/>
          <w:sz w:val="24"/>
          <w:szCs w:val="24"/>
          <w:lang w:eastAsia="zh-CN"/>
        </w:rPr>
        <w:t>weden</w:t>
      </w:r>
      <w:r w:rsidR="00D815A9" w:rsidRPr="003F4E28">
        <w:rPr>
          <w:rFonts w:eastAsia="SimSun"/>
          <w:noProof w:val="0"/>
          <w:sz w:val="24"/>
          <w:szCs w:val="24"/>
          <w:lang w:eastAsia="zh-CN"/>
        </w:rPr>
        <w:t>, 2</w:t>
      </w:r>
      <w:r>
        <w:rPr>
          <w:rFonts w:eastAsia="SimSun"/>
          <w:noProof w:val="0"/>
          <w:sz w:val="24"/>
          <w:szCs w:val="24"/>
          <w:lang w:eastAsia="zh-CN"/>
        </w:rPr>
        <w:t>0</w:t>
      </w:r>
      <w:r w:rsidRPr="00BA1C3D">
        <w:rPr>
          <w:rFonts w:eastAsia="SimSun"/>
          <w:noProof w:val="0"/>
          <w:sz w:val="24"/>
          <w:szCs w:val="24"/>
          <w:vertAlign w:val="superscript"/>
          <w:lang w:eastAsia="zh-CN"/>
        </w:rPr>
        <w:t>th</w:t>
      </w:r>
      <w:r>
        <w:rPr>
          <w:rFonts w:eastAsia="SimSun"/>
          <w:noProof w:val="0"/>
          <w:sz w:val="24"/>
          <w:szCs w:val="24"/>
          <w:lang w:eastAsia="zh-CN"/>
        </w:rPr>
        <w:t>-24</w:t>
      </w:r>
      <w:r w:rsidRPr="00BA1C3D">
        <w:rPr>
          <w:rFonts w:eastAsia="SimSun"/>
          <w:noProof w:val="0"/>
          <w:sz w:val="24"/>
          <w:szCs w:val="24"/>
          <w:vertAlign w:val="superscript"/>
          <w:lang w:eastAsia="zh-CN"/>
        </w:rPr>
        <w:t>th</w:t>
      </w:r>
      <w:r>
        <w:rPr>
          <w:rFonts w:eastAsia="SimSun"/>
          <w:noProof w:val="0"/>
          <w:sz w:val="24"/>
          <w:szCs w:val="24"/>
          <w:lang w:eastAsia="zh-CN"/>
        </w:rPr>
        <w:t xml:space="preserve"> August</w:t>
      </w:r>
      <w:r w:rsidR="00D815A9" w:rsidRPr="003F4E28">
        <w:rPr>
          <w:rFonts w:eastAsia="SimSun"/>
          <w:noProof w:val="0"/>
          <w:sz w:val="24"/>
          <w:szCs w:val="24"/>
          <w:lang w:eastAsia="zh-CN"/>
        </w:rPr>
        <w:t xml:space="preserve"> 2018</w:t>
      </w:r>
      <w:r w:rsidR="00785BDE">
        <w:rPr>
          <w:rFonts w:eastAsia="SimSun"/>
          <w:noProof w:val="0"/>
          <w:sz w:val="24"/>
          <w:szCs w:val="24"/>
          <w:lang w:eastAsia="zh-CN"/>
        </w:rPr>
        <w:tab/>
      </w:r>
      <w:r w:rsidR="00BE2ECD">
        <w:rPr>
          <w:rFonts w:eastAsia="SimSun"/>
          <w:noProof w:val="0"/>
          <w:sz w:val="24"/>
          <w:szCs w:val="24"/>
          <w:lang w:eastAsia="zh-CN"/>
        </w:rPr>
        <w:t xml:space="preserve">Revision of </w:t>
      </w:r>
      <w:r w:rsidR="00785BDE">
        <w:rPr>
          <w:rFonts w:eastAsia="SimSun"/>
          <w:i/>
          <w:noProof w:val="0"/>
          <w:sz w:val="24"/>
          <w:szCs w:val="24"/>
          <w:lang w:eastAsia="zh-CN"/>
        </w:rPr>
        <w:t>R2-18</w:t>
      </w:r>
      <w:r>
        <w:rPr>
          <w:rFonts w:eastAsia="SimSun"/>
          <w:i/>
          <w:noProof w:val="0"/>
          <w:sz w:val="24"/>
          <w:szCs w:val="24"/>
          <w:lang w:eastAsia="zh-CN"/>
        </w:rPr>
        <w:t>XXXXX</w:t>
      </w:r>
    </w:p>
    <w:p w14:paraId="588009B7" w14:textId="77777777" w:rsidR="00785BDE" w:rsidRPr="00B266B0" w:rsidRDefault="00785BDE" w:rsidP="00785BDE">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3B5310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51D9">
        <w:rPr>
          <w:rFonts w:cs="Arial"/>
          <w:b/>
          <w:bCs/>
          <w:sz w:val="24"/>
          <w:lang w:eastAsia="ja-JP"/>
        </w:rPr>
        <w:t>9.7.2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3DB262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1C3D">
        <w:rPr>
          <w:rFonts w:ascii="Arial" w:hAnsi="Arial" w:cs="Arial"/>
          <w:b/>
          <w:bCs/>
          <w:sz w:val="24"/>
        </w:rPr>
        <w:t>PLMN ID when an LTE cell is only connected to 5GC</w:t>
      </w:r>
    </w:p>
    <w:p w14:paraId="3AC3A0B1" w14:textId="5BB033D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51D9" w:rsidRPr="009D51D9">
        <w:rPr>
          <w:rFonts w:ascii="Arial" w:hAnsi="Arial" w:cs="Arial"/>
          <w:b/>
          <w:bCs/>
          <w:sz w:val="24"/>
        </w:rPr>
        <w:t>LTE_5GCN_connect-Core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8831E8E" w14:textId="3933AADE" w:rsidR="001553D2" w:rsidRDefault="00BA1C3D" w:rsidP="00BA1C3D">
      <w:pPr>
        <w:pStyle w:val="BodyText"/>
        <w:spacing w:before="120"/>
        <w:jc w:val="left"/>
        <w:rPr>
          <w:rFonts w:eastAsia="SimSun"/>
          <w:lang w:eastAsia="zh-CN"/>
        </w:rPr>
      </w:pPr>
      <w:r>
        <w:rPr>
          <w:rFonts w:eastAsia="SimSun"/>
          <w:lang w:eastAsia="zh-CN"/>
        </w:rPr>
        <w:t>At RAN2#102 the structure of the PLMN ID and cel</w:t>
      </w:r>
      <w:r w:rsidR="001553D2">
        <w:rPr>
          <w:rFonts w:eastAsia="SimSun"/>
          <w:lang w:eastAsia="zh-CN"/>
        </w:rPr>
        <w:t>l access information was agreed and the following agreements for made for the case when a cell is only connected to 5GC:</w:t>
      </w:r>
    </w:p>
    <w:p w14:paraId="7937E375" w14:textId="77777777" w:rsidR="001553D2" w:rsidRDefault="001553D2" w:rsidP="001553D2">
      <w:pPr>
        <w:pStyle w:val="Doc-text2"/>
        <w:pBdr>
          <w:top w:val="single" w:sz="4" w:space="1" w:color="auto"/>
          <w:left w:val="single" w:sz="4" w:space="4" w:color="auto"/>
          <w:bottom w:val="single" w:sz="4" w:space="1" w:color="auto"/>
          <w:right w:val="single" w:sz="4" w:space="4" w:color="auto"/>
        </w:pBdr>
      </w:pPr>
      <w:r>
        <w:t>Agreements</w:t>
      </w:r>
    </w:p>
    <w:p w14:paraId="701DF058" w14:textId="77777777" w:rsidR="001553D2" w:rsidRDefault="001553D2" w:rsidP="001553D2">
      <w:pPr>
        <w:pStyle w:val="Doc-text2"/>
        <w:pBdr>
          <w:top w:val="single" w:sz="4" w:space="1" w:color="auto"/>
          <w:left w:val="single" w:sz="4" w:space="4" w:color="auto"/>
          <w:bottom w:val="single" w:sz="4" w:space="1" w:color="auto"/>
          <w:right w:val="single" w:sz="4" w:space="4" w:color="auto"/>
        </w:pBdr>
      </w:pPr>
      <w:r>
        <w:t>1: Adopt the following solution for the case when the cell is only connected to 5GC:</w:t>
      </w:r>
    </w:p>
    <w:p w14:paraId="479A4F16" w14:textId="77777777" w:rsidR="001553D2" w:rsidRDefault="001553D2" w:rsidP="001553D2">
      <w:pPr>
        <w:pStyle w:val="Doc-text2"/>
        <w:pBdr>
          <w:top w:val="single" w:sz="4" w:space="1" w:color="auto"/>
          <w:left w:val="single" w:sz="4" w:space="4" w:color="auto"/>
          <w:bottom w:val="single" w:sz="4" w:space="1" w:color="auto"/>
          <w:right w:val="single" w:sz="4" w:space="4" w:color="auto"/>
        </w:pBdr>
      </w:pPr>
      <w:r>
        <w:t>1)</w:t>
      </w:r>
      <w:r>
        <w:tab/>
        <w:t>The cell is barred (cellBarred is set to barred)</w:t>
      </w:r>
    </w:p>
    <w:p w14:paraId="05D8E739" w14:textId="77777777" w:rsidR="001553D2" w:rsidRDefault="001553D2" w:rsidP="001553D2">
      <w:pPr>
        <w:pStyle w:val="Doc-text2"/>
        <w:pBdr>
          <w:top w:val="single" w:sz="4" w:space="1" w:color="auto"/>
          <w:left w:val="single" w:sz="4" w:space="4" w:color="auto"/>
          <w:bottom w:val="single" w:sz="4" w:space="1" w:color="auto"/>
          <w:right w:val="single" w:sz="4" w:space="4" w:color="auto"/>
        </w:pBdr>
      </w:pPr>
      <w:r>
        <w:t>2)</w:t>
      </w:r>
      <w:r>
        <w:tab/>
        <w:t>Put any PLMN and cell ID in existing PLMN list (does not matter whether they are real value or not, as no UE will use it)</w:t>
      </w:r>
    </w:p>
    <w:p w14:paraId="6D2B1C38" w14:textId="77777777" w:rsidR="001553D2" w:rsidRDefault="001553D2" w:rsidP="001553D2">
      <w:pPr>
        <w:pStyle w:val="Doc-text2"/>
        <w:pBdr>
          <w:top w:val="single" w:sz="4" w:space="1" w:color="auto"/>
          <w:left w:val="single" w:sz="4" w:space="4" w:color="auto"/>
          <w:bottom w:val="single" w:sz="4" w:space="1" w:color="auto"/>
          <w:right w:val="single" w:sz="4" w:space="4" w:color="auto"/>
        </w:pBdr>
      </w:pPr>
      <w:r>
        <w:t>3)</w:t>
      </w:r>
      <w:r>
        <w:tab/>
        <w:t>The new list is used to advertise all PLMNs with full PLMN IDs (and their cell access information) for 5GC connectivity</w:t>
      </w:r>
    </w:p>
    <w:p w14:paraId="2C58F6F0" w14:textId="44D327CA" w:rsidR="0061429D" w:rsidRDefault="001553D2" w:rsidP="003F1223">
      <w:pPr>
        <w:pStyle w:val="BodyText"/>
        <w:spacing w:before="120"/>
        <w:jc w:val="left"/>
        <w:rPr>
          <w:rFonts w:eastAsiaTheme="minorEastAsia"/>
          <w:lang w:val="en-GB" w:eastAsia="zh-CN"/>
        </w:rPr>
      </w:pPr>
      <w:r>
        <w:rPr>
          <w:rFonts w:eastAsia="SimSun"/>
          <w:lang w:eastAsia="zh-CN"/>
        </w:rPr>
        <w:t xml:space="preserve">According to agreement 2 </w:t>
      </w:r>
      <w:r w:rsidR="00BA1C3D">
        <w:rPr>
          <w:rFonts w:eastAsia="SimSun"/>
          <w:lang w:eastAsia="zh-CN"/>
        </w:rPr>
        <w:t xml:space="preserve">it was left </w:t>
      </w:r>
      <w:r w:rsidR="00C56B12">
        <w:rPr>
          <w:rFonts w:eastAsia="SimSun"/>
          <w:lang w:eastAsia="zh-CN"/>
        </w:rPr>
        <w:t>open the</w:t>
      </w:r>
      <w:r>
        <w:rPr>
          <w:rFonts w:eastAsia="SimSun"/>
          <w:lang w:eastAsia="zh-CN"/>
        </w:rPr>
        <w:t xml:space="preserve"> </w:t>
      </w:r>
      <w:r w:rsidR="00BA1C3D">
        <w:rPr>
          <w:rFonts w:eastAsia="SimSun"/>
          <w:lang w:eastAsia="zh-CN"/>
        </w:rPr>
        <w:t xml:space="preserve">PLMN </w:t>
      </w:r>
      <w:r>
        <w:rPr>
          <w:rFonts w:eastAsia="SimSun"/>
          <w:lang w:eastAsia="zh-CN"/>
        </w:rPr>
        <w:t xml:space="preserve">and cell </w:t>
      </w:r>
      <w:r w:rsidR="00BA1C3D">
        <w:rPr>
          <w:rFonts w:eastAsia="SimSun"/>
          <w:lang w:eastAsia="zh-CN"/>
        </w:rPr>
        <w:t xml:space="preserve">ID </w:t>
      </w:r>
      <w:r w:rsidR="00C56B12">
        <w:rPr>
          <w:rFonts w:eastAsia="SimSun"/>
          <w:lang w:eastAsia="zh-CN"/>
        </w:rPr>
        <w:t>to be</w:t>
      </w:r>
      <w:r w:rsidR="00BA1C3D">
        <w:rPr>
          <w:rFonts w:eastAsia="SimSun"/>
          <w:lang w:eastAsia="zh-CN"/>
        </w:rPr>
        <w:t xml:space="preserve"> advertised in the legacy PLMN list when a cell is only connected to 5GC.</w:t>
      </w:r>
      <w:r>
        <w:rPr>
          <w:rFonts w:eastAsia="SimSun"/>
          <w:lang w:eastAsia="zh-CN"/>
        </w:rPr>
        <w:t xml:space="preserve"> </w:t>
      </w:r>
      <w:r w:rsidR="003F1223">
        <w:rPr>
          <w:rFonts w:eastAsiaTheme="minorEastAsia"/>
          <w:lang w:val="en-GB" w:eastAsia="zh-CN"/>
        </w:rPr>
        <w:t xml:space="preserve">This paper </w:t>
      </w:r>
      <w:r w:rsidR="00BA1C3D">
        <w:rPr>
          <w:rFonts w:eastAsiaTheme="minorEastAsia"/>
          <w:lang w:val="en-GB" w:eastAsia="zh-CN"/>
        </w:rPr>
        <w:t xml:space="preserve">investigates this issue, and </w:t>
      </w:r>
      <w:r w:rsidR="003F1223">
        <w:rPr>
          <w:rFonts w:eastAsiaTheme="minorEastAsia"/>
          <w:lang w:val="en-GB" w:eastAsia="zh-CN"/>
        </w:rPr>
        <w:t>proposes a solution.</w:t>
      </w:r>
    </w:p>
    <w:p w14:paraId="083F9791" w14:textId="77777777" w:rsidR="009F403A" w:rsidRDefault="00CD4C7B" w:rsidP="00CD4C7B">
      <w:pPr>
        <w:pStyle w:val="Heading1"/>
      </w:pPr>
      <w:r w:rsidRPr="006E13D1">
        <w:t>2</w:t>
      </w:r>
      <w:r w:rsidRPr="006E13D1">
        <w:tab/>
      </w:r>
      <w:r w:rsidR="009D51D9">
        <w:t>Discussion</w:t>
      </w:r>
    </w:p>
    <w:p w14:paraId="362D6D20" w14:textId="2EF98010" w:rsidR="001553D2" w:rsidRDefault="001553D2" w:rsidP="00CD4C7B">
      <w:r>
        <w:t>When a cell is not connected to any EPC (only connected to 5GC) the existing cell barred indication is used to avoid any EPC only UEs to select the cell. However, the cell will be still visible for legacy UEs and the PLMN ID advertised in the legacy PLMN list will be reported to neighbouring eNBs, i.e. the PLMN ID in the legacy list will be used a</w:t>
      </w:r>
      <w:r w:rsidR="0035629B">
        <w:t>s</w:t>
      </w:r>
      <w:r>
        <w:t xml:space="preserve"> primary PLMN. </w:t>
      </w:r>
    </w:p>
    <w:p w14:paraId="74DE7043" w14:textId="6D04EEA1" w:rsidR="001553D2" w:rsidRPr="00872E82" w:rsidRDefault="001553D2" w:rsidP="00CD4C7B">
      <w:pPr>
        <w:rPr>
          <w:b/>
        </w:rPr>
      </w:pPr>
      <w:r w:rsidRPr="00872E82">
        <w:rPr>
          <w:b/>
        </w:rPr>
        <w:t xml:space="preserve">Observation: </w:t>
      </w:r>
      <w:r w:rsidR="003059A9" w:rsidRPr="00872E82">
        <w:rPr>
          <w:b/>
        </w:rPr>
        <w:t xml:space="preserve">The PLMN advertised in the legacy list is used </w:t>
      </w:r>
      <w:r w:rsidR="00C56B12" w:rsidRPr="00872E82">
        <w:rPr>
          <w:b/>
        </w:rPr>
        <w:t xml:space="preserve">as primary PLMN identifier </w:t>
      </w:r>
      <w:r w:rsidR="003059A9" w:rsidRPr="00872E82">
        <w:rPr>
          <w:b/>
        </w:rPr>
        <w:t>even if the cell is barred.</w:t>
      </w:r>
    </w:p>
    <w:p w14:paraId="50DD1E08" w14:textId="36F29872" w:rsidR="00BA1C3D" w:rsidRDefault="00BA1C3D" w:rsidP="00CD4C7B">
      <w:r>
        <w:t xml:space="preserve">At </w:t>
      </w:r>
      <w:r>
        <w:rPr>
          <w:rFonts w:eastAsia="SimSun"/>
          <w:lang w:eastAsia="zh-CN"/>
        </w:rPr>
        <w:t xml:space="preserve">RAN2#102 the proposal was to use a </w:t>
      </w:r>
      <w:r w:rsidR="00201767">
        <w:rPr>
          <w:rFonts w:eastAsia="SimSun"/>
          <w:lang w:eastAsia="zh-CN"/>
        </w:rPr>
        <w:t>"</w:t>
      </w:r>
      <w:r>
        <w:rPr>
          <w:rFonts w:eastAsia="SimSun"/>
          <w:lang w:eastAsia="zh-CN"/>
        </w:rPr>
        <w:t>dummy PLMN ID</w:t>
      </w:r>
      <w:r w:rsidR="00201767">
        <w:rPr>
          <w:rFonts w:eastAsia="SimSun"/>
          <w:lang w:eastAsia="zh-CN"/>
        </w:rPr>
        <w:t>"</w:t>
      </w:r>
      <w:r>
        <w:rPr>
          <w:rFonts w:eastAsia="SimSun"/>
          <w:lang w:eastAsia="zh-CN"/>
        </w:rPr>
        <w:t xml:space="preserve"> </w:t>
      </w:r>
      <w:r w:rsidR="006F58CE">
        <w:rPr>
          <w:rFonts w:eastAsia="SimSun"/>
          <w:lang w:eastAsia="zh-CN"/>
        </w:rPr>
        <w:t>[</w:t>
      </w:r>
      <w:r w:rsidR="001553D2">
        <w:rPr>
          <w:rFonts w:eastAsia="SimSun"/>
          <w:lang w:eastAsia="zh-CN"/>
        </w:rPr>
        <w:t>1</w:t>
      </w:r>
      <w:r w:rsidR="006F58CE">
        <w:rPr>
          <w:rFonts w:eastAsia="SimSun"/>
          <w:lang w:eastAsia="zh-CN"/>
        </w:rPr>
        <w:t xml:space="preserve">] </w:t>
      </w:r>
      <w:r>
        <w:rPr>
          <w:rFonts w:eastAsia="SimSun"/>
          <w:lang w:eastAsia="zh-CN"/>
        </w:rPr>
        <w:t>in the legacy PLMN list</w:t>
      </w:r>
      <w:r w:rsidR="00585DCD">
        <w:rPr>
          <w:rFonts w:eastAsia="SimSun"/>
          <w:lang w:eastAsia="zh-CN"/>
        </w:rPr>
        <w:t xml:space="preserve"> when a cell is only connected to 5GC. </w:t>
      </w:r>
      <w:r>
        <w:t>This approach has the following drawbacks:</w:t>
      </w:r>
    </w:p>
    <w:p w14:paraId="65ABD412" w14:textId="43C56110" w:rsidR="00585DCD" w:rsidRDefault="00585DCD" w:rsidP="00BA1C3D">
      <w:pPr>
        <w:pStyle w:val="ListParagraph"/>
        <w:numPr>
          <w:ilvl w:val="0"/>
          <w:numId w:val="23"/>
        </w:numPr>
      </w:pPr>
      <w:r>
        <w:t>The p</w:t>
      </w:r>
      <w:r w:rsidR="00BA1C3D">
        <w:t>rimary PLMN</w:t>
      </w:r>
      <w:r>
        <w:t xml:space="preserve"> concept </w:t>
      </w:r>
      <w:r w:rsidR="00C56B12">
        <w:t xml:space="preserve">for 5GC </w:t>
      </w:r>
      <w:r>
        <w:t>sh</w:t>
      </w:r>
      <w:r w:rsidR="00201767">
        <w:t>all</w:t>
      </w:r>
      <w:r>
        <w:t xml:space="preserve"> be revised, as the UEs supporting </w:t>
      </w:r>
      <w:r w:rsidR="002E25F8">
        <w:t>LTE/</w:t>
      </w:r>
      <w:r>
        <w:t>5GC sh</w:t>
      </w:r>
      <w:r w:rsidR="002E25F8">
        <w:t xml:space="preserve">ould </w:t>
      </w:r>
      <w:r w:rsidR="00201767">
        <w:t xml:space="preserve">use the </w:t>
      </w:r>
      <w:r w:rsidR="002E25F8">
        <w:t xml:space="preserve">first element of the new PLMN ID list </w:t>
      </w:r>
      <w:r w:rsidR="00201767">
        <w:t xml:space="preserve">when </w:t>
      </w:r>
      <w:r w:rsidR="002E25F8">
        <w:t xml:space="preserve">they </w:t>
      </w:r>
      <w:r w:rsidR="00201767">
        <w:t xml:space="preserve">report about </w:t>
      </w:r>
      <w:r w:rsidR="002E25F8">
        <w:t>the</w:t>
      </w:r>
      <w:r w:rsidR="00201767">
        <w:t xml:space="preserve"> cell </w:t>
      </w:r>
      <w:r w:rsidR="002E25F8">
        <w:t>to</w:t>
      </w:r>
      <w:r w:rsidR="00201767">
        <w:t xml:space="preserve"> neighbouring RAN nodes.</w:t>
      </w:r>
      <w:r>
        <w:t xml:space="preserve"> </w:t>
      </w:r>
    </w:p>
    <w:p w14:paraId="52FE8F42" w14:textId="77777777" w:rsidR="00C56B12" w:rsidRDefault="00201767" w:rsidP="00BA1C3D">
      <w:pPr>
        <w:pStyle w:val="ListParagraph"/>
        <w:numPr>
          <w:ilvl w:val="0"/>
          <w:numId w:val="23"/>
        </w:numPr>
      </w:pPr>
      <w:r>
        <w:t xml:space="preserve">Pre-Rel-15 UEs and Rel-15 UEs </w:t>
      </w:r>
      <w:r w:rsidR="002E25F8">
        <w:t xml:space="preserve">supporting LTE/5GC </w:t>
      </w:r>
      <w:r>
        <w:t xml:space="preserve">will send different report </w:t>
      </w:r>
      <w:r w:rsidR="002E25F8">
        <w:t xml:space="preserve">about </w:t>
      </w:r>
      <w:r>
        <w:t xml:space="preserve">the </w:t>
      </w:r>
      <w:r w:rsidR="00C56B12">
        <w:t>cell for neighbouring RAN nodes:</w:t>
      </w:r>
    </w:p>
    <w:p w14:paraId="1C716CDB" w14:textId="44C87090" w:rsidR="00C56B12" w:rsidRDefault="00201767" w:rsidP="00C56B12">
      <w:pPr>
        <w:pStyle w:val="ListParagraph"/>
        <w:numPr>
          <w:ilvl w:val="1"/>
          <w:numId w:val="23"/>
        </w:numPr>
      </w:pPr>
      <w:r>
        <w:t xml:space="preserve">Pre-Rel-15 UEs will report the </w:t>
      </w:r>
      <w:r w:rsidR="002E25F8">
        <w:t xml:space="preserve">cell belonging to the </w:t>
      </w:r>
      <w:r w:rsidR="00C56B12">
        <w:t xml:space="preserve">first element of the legacy PLMN list (i.e., the </w:t>
      </w:r>
      <w:r>
        <w:t>"dummy PLMN ID"</w:t>
      </w:r>
      <w:r w:rsidR="00C56B12">
        <w:t xml:space="preserve"> when the cell is only connected to 5GC);</w:t>
      </w:r>
    </w:p>
    <w:p w14:paraId="598A0736" w14:textId="62B03C86" w:rsidR="00201767" w:rsidRDefault="00201767" w:rsidP="00C56B12">
      <w:pPr>
        <w:pStyle w:val="ListParagraph"/>
        <w:numPr>
          <w:ilvl w:val="1"/>
          <w:numId w:val="23"/>
        </w:numPr>
      </w:pPr>
      <w:r>
        <w:t xml:space="preserve">UEs </w:t>
      </w:r>
      <w:r w:rsidR="002E25F8">
        <w:t xml:space="preserve">supporting LTE/5GC </w:t>
      </w:r>
      <w:r>
        <w:t xml:space="preserve">will use the </w:t>
      </w:r>
      <w:r w:rsidR="002E25F8">
        <w:t>first</w:t>
      </w:r>
      <w:r>
        <w:t xml:space="preserve"> element of the new </w:t>
      </w:r>
      <w:r w:rsidR="002E25F8">
        <w:t xml:space="preserve">PLMN </w:t>
      </w:r>
      <w:r>
        <w:t xml:space="preserve">list as </w:t>
      </w:r>
      <w:r w:rsidR="002E25F8">
        <w:t xml:space="preserve">primary PLMN ID. </w:t>
      </w:r>
    </w:p>
    <w:p w14:paraId="3446FAB2" w14:textId="689D445E" w:rsidR="00BA1C3D" w:rsidRDefault="00585DCD" w:rsidP="00585DCD">
      <w:pPr>
        <w:pStyle w:val="ListParagraph"/>
        <w:numPr>
          <w:ilvl w:val="0"/>
          <w:numId w:val="23"/>
        </w:numPr>
      </w:pPr>
      <w:r>
        <w:t xml:space="preserve">It is not clear what </w:t>
      </w:r>
      <w:r w:rsidR="00201767">
        <w:t>value could be used as "</w:t>
      </w:r>
      <w:r>
        <w:t>dummy PLMN ID</w:t>
      </w:r>
      <w:r w:rsidR="00201767">
        <w:t>"</w:t>
      </w:r>
      <w:r>
        <w:t>, as it shall be guaranteed that the "dummy PLMN ID</w:t>
      </w:r>
      <w:r w:rsidR="00201767">
        <w:t>"</w:t>
      </w:r>
      <w:r>
        <w:t xml:space="preserve"> will never collide with a PLMN ID of a real operator. </w:t>
      </w:r>
      <w:r w:rsidR="00647C69">
        <w:t>S</w:t>
      </w:r>
      <w:r w:rsidR="00201767">
        <w:t>imply using an unassigned value is not an acceptable solution</w:t>
      </w:r>
      <w:r w:rsidR="00647C69">
        <w:t xml:space="preserve"> as</w:t>
      </w:r>
      <w:r w:rsidR="00967717">
        <w:t xml:space="preserve"> (i)</w:t>
      </w:r>
      <w:r w:rsidR="00647C69">
        <w:t xml:space="preserve"> any unassigned value may be assigned to an entity later and </w:t>
      </w:r>
      <w:r w:rsidR="00967717">
        <w:t xml:space="preserve">(ii) </w:t>
      </w:r>
      <w:r w:rsidR="00647C69">
        <w:t>it might be illegal to use an unassigned value</w:t>
      </w:r>
      <w:r w:rsidR="00201767">
        <w:t xml:space="preserve">. Allocating a </w:t>
      </w:r>
      <w:r w:rsidR="00967717">
        <w:t xml:space="preserve">special </w:t>
      </w:r>
      <w:r w:rsidR="00201767">
        <w:t>PLMN ID for this type of purpose is possible, but could be cumbersome</w:t>
      </w:r>
      <w:r w:rsidR="002E25F8">
        <w:t>,</w:t>
      </w:r>
      <w:r w:rsidR="00201767">
        <w:t xml:space="preserve"> as g</w:t>
      </w:r>
      <w:r>
        <w:t>enerally PLMN identifier</w:t>
      </w:r>
      <w:r w:rsidR="00201767">
        <w:t>s</w:t>
      </w:r>
      <w:r>
        <w:t xml:space="preserve"> are considered important resources and only allocated for operators providing public services.</w:t>
      </w:r>
      <w:r w:rsidR="00201767">
        <w:t xml:space="preserve"> </w:t>
      </w:r>
    </w:p>
    <w:p w14:paraId="26E44087" w14:textId="396EE24F" w:rsidR="0035629B" w:rsidRDefault="00967717" w:rsidP="00585DCD">
      <w:pPr>
        <w:pStyle w:val="ListParagraph"/>
        <w:numPr>
          <w:ilvl w:val="0"/>
          <w:numId w:val="23"/>
        </w:numPr>
      </w:pPr>
      <w:r>
        <w:t xml:space="preserve">If the </w:t>
      </w:r>
      <w:r w:rsidR="0035629B">
        <w:t xml:space="preserve">"dummy PLMN ID" </w:t>
      </w:r>
      <w:r>
        <w:t>is not a standardized value then</w:t>
      </w:r>
      <w:r w:rsidR="0035629B">
        <w:t xml:space="preserve"> an operator will not recognize "dummy" values </w:t>
      </w:r>
      <w:r>
        <w:t xml:space="preserve">of </w:t>
      </w:r>
      <w:r w:rsidR="0035629B">
        <w:t>other operators, thus reports generated by legacy UEs about neighbouring cells of other operators may c</w:t>
      </w:r>
      <w:r>
        <w:t>reate</w:t>
      </w:r>
      <w:r w:rsidR="0035629B">
        <w:t xml:space="preserve"> confusions.</w:t>
      </w:r>
    </w:p>
    <w:p w14:paraId="31E6E5D2" w14:textId="166450A2" w:rsidR="002376C8" w:rsidRDefault="00201767" w:rsidP="00CD4C7B">
      <w:r>
        <w:lastRenderedPageBreak/>
        <w:t>A</w:t>
      </w:r>
      <w:r w:rsidR="00BA1C3D">
        <w:t xml:space="preserve"> simple solution </w:t>
      </w:r>
      <w:r>
        <w:t xml:space="preserve">to overcome the above problems </w:t>
      </w:r>
      <w:r w:rsidR="00BA1C3D">
        <w:t xml:space="preserve">is to advertise </w:t>
      </w:r>
      <w:r w:rsidR="0035629B">
        <w:t xml:space="preserve">the real </w:t>
      </w:r>
      <w:r>
        <w:t xml:space="preserve">PLMN ID to be used as </w:t>
      </w:r>
      <w:r w:rsidR="00BA1C3D">
        <w:t xml:space="preserve">the primary PLMN ID </w:t>
      </w:r>
      <w:r>
        <w:t xml:space="preserve">(i.e. first PLMN ID in the new PLMN ID list for 5GC connectivity) </w:t>
      </w:r>
      <w:r w:rsidR="00BA1C3D">
        <w:t>in the legacy list</w:t>
      </w:r>
      <w:r>
        <w:t xml:space="preserve"> as well</w:t>
      </w:r>
      <w:r w:rsidR="00BA1C3D">
        <w:t xml:space="preserve">. </w:t>
      </w:r>
      <w:r>
        <w:t>This solution ensures th</w:t>
      </w:r>
      <w:r w:rsidR="00536BD6">
        <w:t>at</w:t>
      </w:r>
      <w:r>
        <w:t xml:space="preserve"> </w:t>
      </w:r>
      <w:r w:rsidR="00C56B12">
        <w:t>all UEs</w:t>
      </w:r>
      <w:r>
        <w:t xml:space="preserve"> will report about the cell with the same </w:t>
      </w:r>
      <w:r w:rsidR="002E25F8">
        <w:t xml:space="preserve">identifiers </w:t>
      </w:r>
      <w:r>
        <w:t>to the neighbouring RAN nodes</w:t>
      </w:r>
      <w:r w:rsidR="00C56B12">
        <w:t xml:space="preserve">. This solution requires </w:t>
      </w:r>
      <w:r w:rsidR="00313366">
        <w:t>no change in th</w:t>
      </w:r>
      <w:r>
        <w:t>e specifications</w:t>
      </w:r>
      <w:r w:rsidR="00313366">
        <w:t xml:space="preserve"> as it is already specified that first item is the legacy PLMN ID list is used as the primary PLMN ID. </w:t>
      </w:r>
    </w:p>
    <w:p w14:paraId="4D9759BE" w14:textId="17163E6E" w:rsidR="00313366" w:rsidRDefault="00313366" w:rsidP="00CD4C7B">
      <w:r>
        <w:t xml:space="preserve">If another approach is used </w:t>
      </w:r>
      <w:r w:rsidR="00D628E2">
        <w:t xml:space="preserve">(e.g. "dummy PLMN ID"), </w:t>
      </w:r>
      <w:r>
        <w:t>then we need to add clarifications in the specifications on handling primary PLMN ID for cells connected to 5GC only.</w:t>
      </w:r>
      <w:r w:rsidR="002376C8">
        <w:t xml:space="preserve"> Moreover, </w:t>
      </w:r>
      <w:r w:rsidR="00270805">
        <w:t xml:space="preserve">as the </w:t>
      </w:r>
      <w:r w:rsidR="00270805">
        <w:t xml:space="preserve">cell barred indication is not used </w:t>
      </w:r>
      <w:r w:rsidR="00270805">
        <w:t>exclusively</w:t>
      </w:r>
      <w:r w:rsidR="00270805">
        <w:t xml:space="preserve"> to indicate that the cell</w:t>
      </w:r>
      <w:r w:rsidR="00270805">
        <w:t xml:space="preserve"> is only connected to EPC, </w:t>
      </w:r>
      <w:r w:rsidR="002376C8">
        <w:t xml:space="preserve">it </w:t>
      </w:r>
      <w:r w:rsidR="00270805">
        <w:t>can</w:t>
      </w:r>
      <w:r w:rsidR="002376C8">
        <w:t xml:space="preserve"> happen that a cell is barred due to other reasons, and in those scenarios the PLMN ID </w:t>
      </w:r>
      <w:r w:rsidR="00967717">
        <w:t xml:space="preserve">in the legacy list </w:t>
      </w:r>
      <w:r w:rsidR="002376C8">
        <w:t>is still valid and should be used as primary PLMN ID.</w:t>
      </w:r>
    </w:p>
    <w:p w14:paraId="16D886C7" w14:textId="6DECB1CF" w:rsidR="00536BD6" w:rsidRDefault="00536BD6" w:rsidP="00CD4C7B">
      <w:r>
        <w:t>The advertisement of the real PLMN ID in the legacy list will not cause any issues in the PLMN and cell selection, as barred cells are never selected by the UEs.</w:t>
      </w:r>
    </w:p>
    <w:p w14:paraId="7C993720" w14:textId="67081839" w:rsidR="00536BD6" w:rsidRDefault="00536BD6" w:rsidP="00CD4C7B">
      <w:r>
        <w:t xml:space="preserve">There are other means that can help a RAN node to recognize that </w:t>
      </w:r>
      <w:r w:rsidR="00967717">
        <w:t xml:space="preserve">a </w:t>
      </w:r>
      <w:r>
        <w:t xml:space="preserve">report is about a cell that is not connected to EPC. E.g. a solution can be </w:t>
      </w:r>
      <w:r w:rsidR="00967717">
        <w:t xml:space="preserve">an operator assign </w:t>
      </w:r>
      <w:r>
        <w:t xml:space="preserve">a special </w:t>
      </w:r>
      <w:r w:rsidR="00967717">
        <w:t xml:space="preserve">EPC </w:t>
      </w:r>
      <w:r>
        <w:t xml:space="preserve">TAC </w:t>
      </w:r>
      <w:r w:rsidR="00967717">
        <w:t xml:space="preserve">value </w:t>
      </w:r>
      <w:r>
        <w:t>for the cells</w:t>
      </w:r>
      <w:r w:rsidR="00967717">
        <w:t xml:space="preserve"> that are only connected to 5GC</w:t>
      </w:r>
      <w:r>
        <w:t>. As TACs are operator specific, different operators can use different TACs for this purpose.</w:t>
      </w:r>
    </w:p>
    <w:p w14:paraId="24DA7F90" w14:textId="16C29F6A" w:rsidR="00536BD6" w:rsidRPr="00872E82" w:rsidRDefault="00BA1C3D" w:rsidP="00CD4C7B">
      <w:pPr>
        <w:rPr>
          <w:b/>
        </w:rPr>
      </w:pPr>
      <w:r w:rsidRPr="00872E82">
        <w:rPr>
          <w:b/>
        </w:rPr>
        <w:t>Proposal</w:t>
      </w:r>
      <w:r w:rsidR="009801F6" w:rsidRPr="00872E82">
        <w:rPr>
          <w:b/>
        </w:rPr>
        <w:t>:</w:t>
      </w:r>
      <w:r w:rsidR="002E25F8" w:rsidRPr="00872E82">
        <w:rPr>
          <w:b/>
        </w:rPr>
        <w:t xml:space="preserve"> </w:t>
      </w:r>
      <w:r w:rsidR="00967717" w:rsidRPr="00872E82">
        <w:rPr>
          <w:b/>
        </w:rPr>
        <w:t xml:space="preserve">The first PLMN ID in the legacy </w:t>
      </w:r>
      <w:r w:rsidR="005D1C7E" w:rsidRPr="00872E82">
        <w:rPr>
          <w:b/>
        </w:rPr>
        <w:t xml:space="preserve">PLMN ID </w:t>
      </w:r>
      <w:r w:rsidR="00967717" w:rsidRPr="00872E82">
        <w:rPr>
          <w:b/>
        </w:rPr>
        <w:t xml:space="preserve">list is always used as the primary PLMN ID </w:t>
      </w:r>
      <w:r w:rsidR="00536BD6" w:rsidRPr="00872E82">
        <w:rPr>
          <w:b/>
        </w:rPr>
        <w:t>even if the cell is only connected to 5GC (not connected to EPC)</w:t>
      </w:r>
      <w:r w:rsidR="00967717" w:rsidRPr="00872E82">
        <w:rPr>
          <w:b/>
        </w:rPr>
        <w:t xml:space="preserve"> to keep backward compatibility</w:t>
      </w:r>
      <w:r w:rsidR="00536BD6" w:rsidRPr="00872E82">
        <w:rPr>
          <w:b/>
        </w:rPr>
        <w:t>.</w:t>
      </w:r>
    </w:p>
    <w:p w14:paraId="660814D0" w14:textId="77777777" w:rsidR="009D51D9" w:rsidRDefault="00CD4C7B" w:rsidP="00CD4C7B">
      <w:pPr>
        <w:pStyle w:val="Heading1"/>
      </w:pPr>
      <w:r w:rsidRPr="006E13D1">
        <w:t>3</w:t>
      </w:r>
      <w:r w:rsidRPr="006E13D1">
        <w:tab/>
      </w:r>
      <w:r w:rsidR="009D51D9">
        <w:t>Proposal</w:t>
      </w:r>
    </w:p>
    <w:p w14:paraId="3BE4EE9B" w14:textId="484C5DCF" w:rsidR="00872E82" w:rsidRDefault="00872E82" w:rsidP="00872E82">
      <w:pPr>
        <w:jc w:val="both"/>
        <w:rPr>
          <w:lang w:val="en-US"/>
        </w:rPr>
      </w:pPr>
      <w:r w:rsidRPr="00BB3879">
        <w:rPr>
          <w:lang w:val="en-US"/>
        </w:rPr>
        <w:t>In this contribution we have made the following observation and proposal:</w:t>
      </w:r>
    </w:p>
    <w:p w14:paraId="1596E644" w14:textId="77777777" w:rsidR="00270805" w:rsidRPr="00872E82" w:rsidRDefault="00270805" w:rsidP="00270805">
      <w:pPr>
        <w:rPr>
          <w:b/>
        </w:rPr>
      </w:pPr>
      <w:r w:rsidRPr="00872E82">
        <w:rPr>
          <w:b/>
        </w:rPr>
        <w:t>Observation: The PLMN advertised in the legacy list is used as primary PLMN identifier even if the cell is barred.</w:t>
      </w:r>
    </w:p>
    <w:p w14:paraId="018A3220" w14:textId="77777777" w:rsidR="00270805" w:rsidRPr="00872E82" w:rsidRDefault="00270805" w:rsidP="00270805">
      <w:pPr>
        <w:rPr>
          <w:b/>
        </w:rPr>
      </w:pPr>
      <w:bookmarkStart w:id="0" w:name="_GoBack"/>
      <w:bookmarkEnd w:id="0"/>
      <w:r w:rsidRPr="00872E82">
        <w:rPr>
          <w:b/>
        </w:rPr>
        <w:t>Proposal: The first PLMN ID in the legacy PLMN ID list is always used as the primary PLMN ID even if the cell is only connected to 5GC (not connected to EPC) to keep backward compatibility.</w:t>
      </w:r>
    </w:p>
    <w:sectPr w:rsidR="00270805" w:rsidRPr="00872E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F44C3" w14:textId="77777777" w:rsidR="00595C01" w:rsidRDefault="00595C01">
      <w:r>
        <w:separator/>
      </w:r>
    </w:p>
  </w:endnote>
  <w:endnote w:type="continuationSeparator" w:id="0">
    <w:p w14:paraId="3F1EBD3B" w14:textId="77777777" w:rsidR="00595C01" w:rsidRDefault="0059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36513" w14:textId="77777777" w:rsidR="00595C01" w:rsidRDefault="00595C01">
      <w:r>
        <w:separator/>
      </w:r>
    </w:p>
  </w:footnote>
  <w:footnote w:type="continuationSeparator" w:id="0">
    <w:p w14:paraId="63DFAA79" w14:textId="77777777" w:rsidR="00595C01" w:rsidRDefault="00595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602C0"/>
    <w:multiLevelType w:val="hybridMultilevel"/>
    <w:tmpl w:val="19369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A24C0"/>
    <w:multiLevelType w:val="hybridMultilevel"/>
    <w:tmpl w:val="29FAE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3979E9"/>
    <w:multiLevelType w:val="hybridMultilevel"/>
    <w:tmpl w:val="6624D490"/>
    <w:lvl w:ilvl="0" w:tplc="492A3CDC">
      <w:start w:val="1"/>
      <w:numFmt w:val="decimal"/>
      <w:lvlText w:val="%1)"/>
      <w:lvlJc w:val="left"/>
      <w:pPr>
        <w:ind w:left="1068"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B34815"/>
    <w:multiLevelType w:val="hybridMultilevel"/>
    <w:tmpl w:val="6624D490"/>
    <w:lvl w:ilvl="0" w:tplc="492A3CDC">
      <w:start w:val="1"/>
      <w:numFmt w:val="decimal"/>
      <w:lvlText w:val="%1)"/>
      <w:lvlJc w:val="left"/>
      <w:pPr>
        <w:ind w:left="1068"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9323A"/>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7" w15:restartNumberingAfterBreak="0">
    <w:nsid w:val="193F337C"/>
    <w:multiLevelType w:val="hybridMultilevel"/>
    <w:tmpl w:val="C958C42E"/>
    <w:lvl w:ilvl="0" w:tplc="A8A2E5F8">
      <w:start w:val="1"/>
      <w:numFmt w:val="bullet"/>
      <w:lvlText w:val=""/>
      <w:lvlJc w:val="left"/>
      <w:pPr>
        <w:tabs>
          <w:tab w:val="num" w:pos="720"/>
        </w:tabs>
        <w:ind w:left="720" w:hanging="360"/>
      </w:pPr>
      <w:rPr>
        <w:rFonts w:ascii="Wingdings" w:hAnsi="Wingdings" w:hint="default"/>
      </w:rPr>
    </w:lvl>
    <w:lvl w:ilvl="1" w:tplc="EA5A1A3E">
      <w:start w:val="1"/>
      <w:numFmt w:val="bullet"/>
      <w:lvlText w:val=""/>
      <w:lvlJc w:val="left"/>
      <w:pPr>
        <w:tabs>
          <w:tab w:val="num" w:pos="1440"/>
        </w:tabs>
        <w:ind w:left="1440" w:hanging="360"/>
      </w:pPr>
      <w:rPr>
        <w:rFonts w:ascii="Wingdings" w:hAnsi="Wingdings" w:hint="default"/>
      </w:rPr>
    </w:lvl>
    <w:lvl w:ilvl="2" w:tplc="1AB60DD8">
      <w:start w:val="1"/>
      <w:numFmt w:val="bullet"/>
      <w:lvlText w:val=""/>
      <w:lvlJc w:val="left"/>
      <w:pPr>
        <w:tabs>
          <w:tab w:val="num" w:pos="2160"/>
        </w:tabs>
        <w:ind w:left="2160" w:hanging="360"/>
      </w:pPr>
      <w:rPr>
        <w:rFonts w:ascii="Wingdings" w:hAnsi="Wingdings" w:hint="default"/>
      </w:rPr>
    </w:lvl>
    <w:lvl w:ilvl="3" w:tplc="52E6A0FE" w:tentative="1">
      <w:start w:val="1"/>
      <w:numFmt w:val="bullet"/>
      <w:lvlText w:val=""/>
      <w:lvlJc w:val="left"/>
      <w:pPr>
        <w:tabs>
          <w:tab w:val="num" w:pos="2880"/>
        </w:tabs>
        <w:ind w:left="2880" w:hanging="360"/>
      </w:pPr>
      <w:rPr>
        <w:rFonts w:ascii="Wingdings" w:hAnsi="Wingdings" w:hint="default"/>
      </w:rPr>
    </w:lvl>
    <w:lvl w:ilvl="4" w:tplc="DD98AB2C" w:tentative="1">
      <w:start w:val="1"/>
      <w:numFmt w:val="bullet"/>
      <w:lvlText w:val=""/>
      <w:lvlJc w:val="left"/>
      <w:pPr>
        <w:tabs>
          <w:tab w:val="num" w:pos="3600"/>
        </w:tabs>
        <w:ind w:left="3600" w:hanging="360"/>
      </w:pPr>
      <w:rPr>
        <w:rFonts w:ascii="Wingdings" w:hAnsi="Wingdings" w:hint="default"/>
      </w:rPr>
    </w:lvl>
    <w:lvl w:ilvl="5" w:tplc="58EA73F0" w:tentative="1">
      <w:start w:val="1"/>
      <w:numFmt w:val="bullet"/>
      <w:lvlText w:val=""/>
      <w:lvlJc w:val="left"/>
      <w:pPr>
        <w:tabs>
          <w:tab w:val="num" w:pos="4320"/>
        </w:tabs>
        <w:ind w:left="4320" w:hanging="360"/>
      </w:pPr>
      <w:rPr>
        <w:rFonts w:ascii="Wingdings" w:hAnsi="Wingdings" w:hint="default"/>
      </w:rPr>
    </w:lvl>
    <w:lvl w:ilvl="6" w:tplc="2CD659BE" w:tentative="1">
      <w:start w:val="1"/>
      <w:numFmt w:val="bullet"/>
      <w:lvlText w:val=""/>
      <w:lvlJc w:val="left"/>
      <w:pPr>
        <w:tabs>
          <w:tab w:val="num" w:pos="5040"/>
        </w:tabs>
        <w:ind w:left="5040" w:hanging="360"/>
      </w:pPr>
      <w:rPr>
        <w:rFonts w:ascii="Wingdings" w:hAnsi="Wingdings" w:hint="default"/>
      </w:rPr>
    </w:lvl>
    <w:lvl w:ilvl="7" w:tplc="3364DCB0" w:tentative="1">
      <w:start w:val="1"/>
      <w:numFmt w:val="bullet"/>
      <w:lvlText w:val=""/>
      <w:lvlJc w:val="left"/>
      <w:pPr>
        <w:tabs>
          <w:tab w:val="num" w:pos="5760"/>
        </w:tabs>
        <w:ind w:left="5760" w:hanging="360"/>
      </w:pPr>
      <w:rPr>
        <w:rFonts w:ascii="Wingdings" w:hAnsi="Wingdings" w:hint="default"/>
      </w:rPr>
    </w:lvl>
    <w:lvl w:ilvl="8" w:tplc="F8CAEBA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92D30"/>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9" w15:restartNumberingAfterBreak="0">
    <w:nsid w:val="3461190C"/>
    <w:multiLevelType w:val="hybridMultilevel"/>
    <w:tmpl w:val="2AFA4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AC0C24"/>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12" w15:restartNumberingAfterBreak="0">
    <w:nsid w:val="3BC70D85"/>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13" w15:restartNumberingAfterBreak="0">
    <w:nsid w:val="47FE2999"/>
    <w:multiLevelType w:val="hybridMultilevel"/>
    <w:tmpl w:val="06761AC4"/>
    <w:lvl w:ilvl="0" w:tplc="A8A2E5F8">
      <w:start w:val="1"/>
      <w:numFmt w:val="bullet"/>
      <w:lvlText w:val=""/>
      <w:lvlJc w:val="left"/>
      <w:pPr>
        <w:tabs>
          <w:tab w:val="num" w:pos="720"/>
        </w:tabs>
        <w:ind w:left="720" w:hanging="360"/>
      </w:pPr>
      <w:rPr>
        <w:rFonts w:ascii="Wingdings" w:hAnsi="Wingdings" w:hint="default"/>
      </w:rPr>
    </w:lvl>
    <w:lvl w:ilvl="1" w:tplc="EA5A1A3E">
      <w:start w:val="1"/>
      <w:numFmt w:val="bullet"/>
      <w:lvlText w:val=""/>
      <w:lvlJc w:val="left"/>
      <w:pPr>
        <w:tabs>
          <w:tab w:val="num" w:pos="1440"/>
        </w:tabs>
        <w:ind w:left="1440" w:hanging="360"/>
      </w:pPr>
      <w:rPr>
        <w:rFonts w:ascii="Wingdings" w:hAnsi="Wingdings" w:hint="default"/>
      </w:rPr>
    </w:lvl>
    <w:lvl w:ilvl="2" w:tplc="FFFFFFFF">
      <w:start w:val="2"/>
      <w:numFmt w:val="bullet"/>
      <w:lvlText w:val="-"/>
      <w:lvlJc w:val="left"/>
      <w:pPr>
        <w:tabs>
          <w:tab w:val="num" w:pos="2160"/>
        </w:tabs>
        <w:ind w:left="2160" w:hanging="360"/>
      </w:pPr>
      <w:rPr>
        <w:rFonts w:ascii="Times New Roman" w:eastAsia="MS Mincho" w:hAnsi="Times New Roman" w:cs="Times New Roman" w:hint="default"/>
      </w:rPr>
    </w:lvl>
    <w:lvl w:ilvl="3" w:tplc="52E6A0FE" w:tentative="1">
      <w:start w:val="1"/>
      <w:numFmt w:val="bullet"/>
      <w:lvlText w:val=""/>
      <w:lvlJc w:val="left"/>
      <w:pPr>
        <w:tabs>
          <w:tab w:val="num" w:pos="2880"/>
        </w:tabs>
        <w:ind w:left="2880" w:hanging="360"/>
      </w:pPr>
      <w:rPr>
        <w:rFonts w:ascii="Wingdings" w:hAnsi="Wingdings" w:hint="default"/>
      </w:rPr>
    </w:lvl>
    <w:lvl w:ilvl="4" w:tplc="DD98AB2C" w:tentative="1">
      <w:start w:val="1"/>
      <w:numFmt w:val="bullet"/>
      <w:lvlText w:val=""/>
      <w:lvlJc w:val="left"/>
      <w:pPr>
        <w:tabs>
          <w:tab w:val="num" w:pos="3600"/>
        </w:tabs>
        <w:ind w:left="3600" w:hanging="360"/>
      </w:pPr>
      <w:rPr>
        <w:rFonts w:ascii="Wingdings" w:hAnsi="Wingdings" w:hint="default"/>
      </w:rPr>
    </w:lvl>
    <w:lvl w:ilvl="5" w:tplc="58EA73F0" w:tentative="1">
      <w:start w:val="1"/>
      <w:numFmt w:val="bullet"/>
      <w:lvlText w:val=""/>
      <w:lvlJc w:val="left"/>
      <w:pPr>
        <w:tabs>
          <w:tab w:val="num" w:pos="4320"/>
        </w:tabs>
        <w:ind w:left="4320" w:hanging="360"/>
      </w:pPr>
      <w:rPr>
        <w:rFonts w:ascii="Wingdings" w:hAnsi="Wingdings" w:hint="default"/>
      </w:rPr>
    </w:lvl>
    <w:lvl w:ilvl="6" w:tplc="2CD659BE" w:tentative="1">
      <w:start w:val="1"/>
      <w:numFmt w:val="bullet"/>
      <w:lvlText w:val=""/>
      <w:lvlJc w:val="left"/>
      <w:pPr>
        <w:tabs>
          <w:tab w:val="num" w:pos="5040"/>
        </w:tabs>
        <w:ind w:left="5040" w:hanging="360"/>
      </w:pPr>
      <w:rPr>
        <w:rFonts w:ascii="Wingdings" w:hAnsi="Wingdings" w:hint="default"/>
      </w:rPr>
    </w:lvl>
    <w:lvl w:ilvl="7" w:tplc="3364DCB0" w:tentative="1">
      <w:start w:val="1"/>
      <w:numFmt w:val="bullet"/>
      <w:lvlText w:val=""/>
      <w:lvlJc w:val="left"/>
      <w:pPr>
        <w:tabs>
          <w:tab w:val="num" w:pos="5760"/>
        </w:tabs>
        <w:ind w:left="5760" w:hanging="360"/>
      </w:pPr>
      <w:rPr>
        <w:rFonts w:ascii="Wingdings" w:hAnsi="Wingdings" w:hint="default"/>
      </w:rPr>
    </w:lvl>
    <w:lvl w:ilvl="8" w:tplc="F8CAEBA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412C15"/>
    <w:multiLevelType w:val="hybridMultilevel"/>
    <w:tmpl w:val="BA26F6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E21591"/>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16" w15:restartNumberingAfterBreak="0">
    <w:nsid w:val="5A9E3471"/>
    <w:multiLevelType w:val="hybridMultilevel"/>
    <w:tmpl w:val="2B444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8B04A8"/>
    <w:multiLevelType w:val="hybridMultilevel"/>
    <w:tmpl w:val="C0AC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2E0DDB"/>
    <w:multiLevelType w:val="hybridMultilevel"/>
    <w:tmpl w:val="9E464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8B7F0C"/>
    <w:multiLevelType w:val="hybridMultilevel"/>
    <w:tmpl w:val="89642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9763CA"/>
    <w:multiLevelType w:val="hybridMultilevel"/>
    <w:tmpl w:val="AA003C9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1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5"/>
  </w:num>
  <w:num w:numId="11">
    <w:abstractNumId w:val="7"/>
  </w:num>
  <w:num w:numId="12">
    <w:abstractNumId w:val="13"/>
  </w:num>
  <w:num w:numId="13">
    <w:abstractNumId w:val="17"/>
  </w:num>
  <w:num w:numId="14">
    <w:abstractNumId w:val="14"/>
  </w:num>
  <w:num w:numId="15">
    <w:abstractNumId w:val="15"/>
  </w:num>
  <w:num w:numId="16">
    <w:abstractNumId w:val="6"/>
  </w:num>
  <w:num w:numId="17">
    <w:abstractNumId w:val="12"/>
  </w:num>
  <w:num w:numId="18">
    <w:abstractNumId w:val="18"/>
  </w:num>
  <w:num w:numId="19">
    <w:abstractNumId w:val="2"/>
  </w:num>
  <w:num w:numId="20">
    <w:abstractNumId w:val="19"/>
  </w:num>
  <w:num w:numId="21">
    <w:abstractNumId w:val="9"/>
  </w:num>
  <w:num w:numId="22">
    <w:abstractNumId w:val="11"/>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DEA"/>
    <w:rsid w:val="00071E3C"/>
    <w:rsid w:val="00080512"/>
    <w:rsid w:val="00090468"/>
    <w:rsid w:val="000A744F"/>
    <w:rsid w:val="000B7BCF"/>
    <w:rsid w:val="000C522B"/>
    <w:rsid w:val="000D58AB"/>
    <w:rsid w:val="000F4990"/>
    <w:rsid w:val="001069C2"/>
    <w:rsid w:val="00112F1A"/>
    <w:rsid w:val="00145075"/>
    <w:rsid w:val="001467BD"/>
    <w:rsid w:val="001553D2"/>
    <w:rsid w:val="001741A0"/>
    <w:rsid w:val="00175FA0"/>
    <w:rsid w:val="00194CD0"/>
    <w:rsid w:val="001B49C9"/>
    <w:rsid w:val="001C1652"/>
    <w:rsid w:val="001C3718"/>
    <w:rsid w:val="001C4F79"/>
    <w:rsid w:val="001F168B"/>
    <w:rsid w:val="001F7831"/>
    <w:rsid w:val="001F7D77"/>
    <w:rsid w:val="00201767"/>
    <w:rsid w:val="00204045"/>
    <w:rsid w:val="0020712B"/>
    <w:rsid w:val="0022606D"/>
    <w:rsid w:val="00235C32"/>
    <w:rsid w:val="002376C8"/>
    <w:rsid w:val="00263EE6"/>
    <w:rsid w:val="00270805"/>
    <w:rsid w:val="002747EC"/>
    <w:rsid w:val="0027783A"/>
    <w:rsid w:val="002855BF"/>
    <w:rsid w:val="002E2304"/>
    <w:rsid w:val="002E25F8"/>
    <w:rsid w:val="002F0D22"/>
    <w:rsid w:val="003059A9"/>
    <w:rsid w:val="00313366"/>
    <w:rsid w:val="003172DC"/>
    <w:rsid w:val="00325AE3"/>
    <w:rsid w:val="00326069"/>
    <w:rsid w:val="0035462D"/>
    <w:rsid w:val="0035629B"/>
    <w:rsid w:val="00364B41"/>
    <w:rsid w:val="00372AAE"/>
    <w:rsid w:val="00377B9D"/>
    <w:rsid w:val="003B40AD"/>
    <w:rsid w:val="003C4E37"/>
    <w:rsid w:val="003E16BE"/>
    <w:rsid w:val="003F1223"/>
    <w:rsid w:val="004006E8"/>
    <w:rsid w:val="00401855"/>
    <w:rsid w:val="00477455"/>
    <w:rsid w:val="004A1528"/>
    <w:rsid w:val="004A1F7B"/>
    <w:rsid w:val="004B4988"/>
    <w:rsid w:val="004C1586"/>
    <w:rsid w:val="004C44D2"/>
    <w:rsid w:val="004C5DEE"/>
    <w:rsid w:val="004D3578"/>
    <w:rsid w:val="004D380D"/>
    <w:rsid w:val="004E213A"/>
    <w:rsid w:val="004F5D7D"/>
    <w:rsid w:val="00503171"/>
    <w:rsid w:val="00506C28"/>
    <w:rsid w:val="00534DA0"/>
    <w:rsid w:val="00536BD6"/>
    <w:rsid w:val="00543E6C"/>
    <w:rsid w:val="00565087"/>
    <w:rsid w:val="0056573F"/>
    <w:rsid w:val="00585DCD"/>
    <w:rsid w:val="00595C01"/>
    <w:rsid w:val="005C2392"/>
    <w:rsid w:val="005D1C7E"/>
    <w:rsid w:val="005D650C"/>
    <w:rsid w:val="005E5104"/>
    <w:rsid w:val="00611566"/>
    <w:rsid w:val="0061429D"/>
    <w:rsid w:val="00646D99"/>
    <w:rsid w:val="00647C69"/>
    <w:rsid w:val="00656910"/>
    <w:rsid w:val="0066334D"/>
    <w:rsid w:val="00682705"/>
    <w:rsid w:val="0069503A"/>
    <w:rsid w:val="006A009D"/>
    <w:rsid w:val="006C66D8"/>
    <w:rsid w:val="006D1E24"/>
    <w:rsid w:val="006D3BBB"/>
    <w:rsid w:val="006E1417"/>
    <w:rsid w:val="006F1407"/>
    <w:rsid w:val="006F58CE"/>
    <w:rsid w:val="006F6A2C"/>
    <w:rsid w:val="00710201"/>
    <w:rsid w:val="007342B5"/>
    <w:rsid w:val="00734A5B"/>
    <w:rsid w:val="00744E76"/>
    <w:rsid w:val="00757D40"/>
    <w:rsid w:val="00781F0F"/>
    <w:rsid w:val="00785BDE"/>
    <w:rsid w:val="0078727C"/>
    <w:rsid w:val="00790306"/>
    <w:rsid w:val="0079049D"/>
    <w:rsid w:val="00793DC5"/>
    <w:rsid w:val="007B0622"/>
    <w:rsid w:val="007B18D8"/>
    <w:rsid w:val="007B698C"/>
    <w:rsid w:val="007C095F"/>
    <w:rsid w:val="007E1C4D"/>
    <w:rsid w:val="008028A4"/>
    <w:rsid w:val="00805056"/>
    <w:rsid w:val="00810747"/>
    <w:rsid w:val="00813245"/>
    <w:rsid w:val="00872E82"/>
    <w:rsid w:val="008768CA"/>
    <w:rsid w:val="00877EF9"/>
    <w:rsid w:val="00880559"/>
    <w:rsid w:val="008B5306"/>
    <w:rsid w:val="0090271F"/>
    <w:rsid w:val="00902DB9"/>
    <w:rsid w:val="0090466A"/>
    <w:rsid w:val="0091169E"/>
    <w:rsid w:val="009355B7"/>
    <w:rsid w:val="00936071"/>
    <w:rsid w:val="00940212"/>
    <w:rsid w:val="00942EC2"/>
    <w:rsid w:val="0095778F"/>
    <w:rsid w:val="00961B32"/>
    <w:rsid w:val="00967717"/>
    <w:rsid w:val="00970DB3"/>
    <w:rsid w:val="00974BB0"/>
    <w:rsid w:val="009801F6"/>
    <w:rsid w:val="00996776"/>
    <w:rsid w:val="009A0AF3"/>
    <w:rsid w:val="009B07CD"/>
    <w:rsid w:val="009C19E9"/>
    <w:rsid w:val="009D2F12"/>
    <w:rsid w:val="009D51D9"/>
    <w:rsid w:val="009D6973"/>
    <w:rsid w:val="009D74A6"/>
    <w:rsid w:val="009F403A"/>
    <w:rsid w:val="00A10F02"/>
    <w:rsid w:val="00A204CA"/>
    <w:rsid w:val="00A53724"/>
    <w:rsid w:val="00A543CB"/>
    <w:rsid w:val="00A80465"/>
    <w:rsid w:val="00A82346"/>
    <w:rsid w:val="00A9671C"/>
    <w:rsid w:val="00AA1553"/>
    <w:rsid w:val="00AA229F"/>
    <w:rsid w:val="00AF4376"/>
    <w:rsid w:val="00B00BBC"/>
    <w:rsid w:val="00B05962"/>
    <w:rsid w:val="00B105AA"/>
    <w:rsid w:val="00B15449"/>
    <w:rsid w:val="00B27303"/>
    <w:rsid w:val="00B32B48"/>
    <w:rsid w:val="00B47FD1"/>
    <w:rsid w:val="00B516BB"/>
    <w:rsid w:val="00B9376C"/>
    <w:rsid w:val="00BA1C3D"/>
    <w:rsid w:val="00BC3555"/>
    <w:rsid w:val="00BE2ECD"/>
    <w:rsid w:val="00C12B51"/>
    <w:rsid w:val="00C24650"/>
    <w:rsid w:val="00C33079"/>
    <w:rsid w:val="00C56B12"/>
    <w:rsid w:val="00C67C3E"/>
    <w:rsid w:val="00C83A13"/>
    <w:rsid w:val="00C9068C"/>
    <w:rsid w:val="00C90E87"/>
    <w:rsid w:val="00C92967"/>
    <w:rsid w:val="00CA3D0C"/>
    <w:rsid w:val="00CA654B"/>
    <w:rsid w:val="00CD4C7B"/>
    <w:rsid w:val="00CE054F"/>
    <w:rsid w:val="00CF5A66"/>
    <w:rsid w:val="00D1159E"/>
    <w:rsid w:val="00D141E7"/>
    <w:rsid w:val="00D211B3"/>
    <w:rsid w:val="00D33BE3"/>
    <w:rsid w:val="00D3792D"/>
    <w:rsid w:val="00D55E47"/>
    <w:rsid w:val="00D628E2"/>
    <w:rsid w:val="00D62E19"/>
    <w:rsid w:val="00D738D6"/>
    <w:rsid w:val="00D80795"/>
    <w:rsid w:val="00D815A9"/>
    <w:rsid w:val="00D854BE"/>
    <w:rsid w:val="00D87E00"/>
    <w:rsid w:val="00D9134D"/>
    <w:rsid w:val="00D91E60"/>
    <w:rsid w:val="00D96D11"/>
    <w:rsid w:val="00DA7A03"/>
    <w:rsid w:val="00DB0DB8"/>
    <w:rsid w:val="00DB1818"/>
    <w:rsid w:val="00DC309B"/>
    <w:rsid w:val="00DC4DA2"/>
    <w:rsid w:val="00E12EFD"/>
    <w:rsid w:val="00E605A6"/>
    <w:rsid w:val="00E62835"/>
    <w:rsid w:val="00E70503"/>
    <w:rsid w:val="00E77645"/>
    <w:rsid w:val="00E83697"/>
    <w:rsid w:val="00E92736"/>
    <w:rsid w:val="00E96DD8"/>
    <w:rsid w:val="00EC1D4A"/>
    <w:rsid w:val="00EC4A25"/>
    <w:rsid w:val="00F025A2"/>
    <w:rsid w:val="00F07388"/>
    <w:rsid w:val="00F2026E"/>
    <w:rsid w:val="00F2210A"/>
    <w:rsid w:val="00F37743"/>
    <w:rsid w:val="00F37AA8"/>
    <w:rsid w:val="00F54A3D"/>
    <w:rsid w:val="00F54CB0"/>
    <w:rsid w:val="00F653B8"/>
    <w:rsid w:val="00F71B89"/>
    <w:rsid w:val="00F7353C"/>
    <w:rsid w:val="00F76F8F"/>
    <w:rsid w:val="00FA1266"/>
    <w:rsid w:val="00FA5E03"/>
    <w:rsid w:val="00FB36FA"/>
    <w:rsid w:val="00FC1192"/>
    <w:rsid w:val="00FD130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5DE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1429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1429D"/>
    <w:rPr>
      <w:rFonts w:eastAsia="MS Mincho"/>
      <w:szCs w:val="24"/>
      <w:lang w:val="en-US" w:eastAsia="en-US"/>
    </w:rPr>
  </w:style>
  <w:style w:type="paragraph" w:customStyle="1" w:styleId="Doc-text2">
    <w:name w:val="Doc-text2"/>
    <w:basedOn w:val="Normal"/>
    <w:link w:val="Doc-text2Char"/>
    <w:qFormat/>
    <w:rsid w:val="006142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429D"/>
    <w:rPr>
      <w:rFonts w:ascii="Arial" w:eastAsia="MS Mincho" w:hAnsi="Arial"/>
      <w:szCs w:val="24"/>
    </w:rPr>
  </w:style>
  <w:style w:type="paragraph" w:styleId="ListParagraph">
    <w:name w:val="List Paragraph"/>
    <w:basedOn w:val="Normal"/>
    <w:uiPriority w:val="34"/>
    <w:qFormat/>
    <w:rsid w:val="007B698C"/>
    <w:pPr>
      <w:ind w:left="720"/>
      <w:contextualSpacing/>
    </w:pPr>
  </w:style>
  <w:style w:type="character" w:styleId="CommentReference">
    <w:name w:val="annotation reference"/>
    <w:basedOn w:val="DefaultParagraphFont"/>
    <w:rsid w:val="002E2304"/>
    <w:rPr>
      <w:sz w:val="16"/>
      <w:szCs w:val="16"/>
    </w:rPr>
  </w:style>
  <w:style w:type="paragraph" w:styleId="CommentText">
    <w:name w:val="annotation text"/>
    <w:basedOn w:val="Normal"/>
    <w:link w:val="CommentTextChar"/>
    <w:rsid w:val="002E2304"/>
  </w:style>
  <w:style w:type="character" w:customStyle="1" w:styleId="CommentTextChar">
    <w:name w:val="Comment Text Char"/>
    <w:basedOn w:val="DefaultParagraphFont"/>
    <w:link w:val="CommentText"/>
    <w:rsid w:val="002E2304"/>
    <w:rPr>
      <w:lang w:eastAsia="en-US"/>
    </w:rPr>
  </w:style>
  <w:style w:type="paragraph" w:styleId="CommentSubject">
    <w:name w:val="annotation subject"/>
    <w:basedOn w:val="CommentText"/>
    <w:next w:val="CommentText"/>
    <w:link w:val="CommentSubjectChar"/>
    <w:rsid w:val="002E2304"/>
    <w:rPr>
      <w:b/>
      <w:bCs/>
    </w:rPr>
  </w:style>
  <w:style w:type="character" w:customStyle="1" w:styleId="CommentSubjectChar">
    <w:name w:val="Comment Subject Char"/>
    <w:basedOn w:val="CommentTextChar"/>
    <w:link w:val="CommentSubject"/>
    <w:rsid w:val="002E230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885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968925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452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Props1.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2.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3.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2</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(Gyuri)</cp:lastModifiedBy>
  <cp:revision>5</cp:revision>
  <dcterms:created xsi:type="dcterms:W3CDTF">2018-08-09T14:56:00Z</dcterms:created>
  <dcterms:modified xsi:type="dcterms:W3CDTF">2018-08-10T06:48:00Z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