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DA9" w:rsidRPr="00B266B0" w:rsidRDefault="003C2DA9" w:rsidP="003C2DA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FE00CC">
        <w:rPr>
          <w:bCs/>
          <w:noProof w:val="0"/>
          <w:sz w:val="24"/>
          <w:szCs w:val="24"/>
        </w:rPr>
        <w:t>12206</w:t>
      </w:r>
    </w:p>
    <w:p w:rsidR="003C2DA9" w:rsidRPr="00B266B0" w:rsidRDefault="003C2DA9" w:rsidP="003C2DA9">
      <w:pPr>
        <w:pStyle w:val="Header"/>
        <w:tabs>
          <w:tab w:val="right" w:pos="9639"/>
        </w:tabs>
        <w:rPr>
          <w:bCs/>
          <w:noProof w:val="0"/>
          <w:sz w:val="24"/>
          <w:szCs w:val="24"/>
        </w:rPr>
      </w:pPr>
      <w:r>
        <w:rPr>
          <w:rFonts w:eastAsia="SimSun"/>
          <w:noProof w:val="0"/>
          <w:sz w:val="24"/>
          <w:szCs w:val="24"/>
          <w:lang w:eastAsia="zh-CN"/>
        </w:rPr>
        <w:t>Gothenburg, Sweden, 20 - 24 August</w:t>
      </w:r>
      <w:r w:rsidRPr="002610D8">
        <w:rPr>
          <w:rFonts w:eastAsia="SimSun"/>
          <w:noProof w:val="0"/>
          <w:sz w:val="24"/>
          <w:szCs w:val="24"/>
          <w:lang w:eastAsia="zh-CN"/>
        </w:rPr>
        <w:t xml:space="preserve"> 2018</w:t>
      </w:r>
      <w:r>
        <w:rPr>
          <w:rFonts w:eastAsia="SimSun"/>
          <w:noProof w:val="0"/>
          <w:sz w:val="24"/>
          <w:szCs w:val="24"/>
          <w:lang w:eastAsia="zh-CN"/>
        </w:rPr>
        <w:tab/>
      </w:r>
    </w:p>
    <w:p w:rsidR="003C2DA9" w:rsidRPr="00B266B0" w:rsidRDefault="003C2DA9" w:rsidP="003C2DA9">
      <w:pPr>
        <w:pStyle w:val="Header"/>
        <w:rPr>
          <w:bCs/>
          <w:noProof w:val="0"/>
          <w:sz w:val="24"/>
        </w:rPr>
      </w:pPr>
    </w:p>
    <w:p w:rsidR="003C2DA9" w:rsidRPr="00B266B0" w:rsidRDefault="003C2DA9" w:rsidP="003C2DA9">
      <w:pPr>
        <w:pStyle w:val="Header"/>
        <w:rPr>
          <w:bCs/>
          <w:noProof w:val="0"/>
          <w:sz w:val="24"/>
        </w:rPr>
      </w:pPr>
    </w:p>
    <w:p w:rsidR="003C2DA9" w:rsidRPr="00B266B0" w:rsidRDefault="003C2DA9" w:rsidP="003C2DA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920B9" w:rsidRPr="001920B9">
        <w:rPr>
          <w:rFonts w:cs="Arial"/>
          <w:b/>
          <w:bCs/>
          <w:sz w:val="24"/>
          <w:lang w:eastAsia="ja-JP"/>
        </w:rPr>
        <w:t>10.3.1.4.3</w:t>
      </w:r>
    </w:p>
    <w:p w:rsidR="003C2DA9" w:rsidRPr="00B266B0" w:rsidRDefault="003C2DA9" w:rsidP="003C2DA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Lenovo, Motorola Mobility</w:t>
      </w:r>
    </w:p>
    <w:p w:rsidR="003C2DA9" w:rsidRDefault="003C2DA9" w:rsidP="003C2DA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2759">
        <w:rPr>
          <w:rFonts w:ascii="Arial" w:hAnsi="Arial" w:cs="Arial"/>
          <w:b/>
          <w:bCs/>
          <w:sz w:val="24"/>
        </w:rPr>
        <w:t xml:space="preserve">TB size mismatch </w:t>
      </w:r>
      <w:r w:rsidR="005D0A0D">
        <w:rPr>
          <w:rFonts w:ascii="Arial" w:hAnsi="Arial" w:cs="Arial"/>
          <w:b/>
          <w:bCs/>
          <w:sz w:val="24"/>
        </w:rPr>
        <w:t>when switching between CFRA and CBRA</w:t>
      </w:r>
    </w:p>
    <w:p w:rsidR="003C2DA9" w:rsidRPr="00B266B0" w:rsidRDefault="003C2DA9" w:rsidP="003C2DA9">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Pr="00112F1A">
        <w:rPr>
          <w:rFonts w:ascii="Arial" w:hAnsi="Arial" w:cs="Arial"/>
          <w:b/>
          <w:bCs/>
          <w:sz w:val="24"/>
        </w:rPr>
        <w:t>NR_newRAT</w:t>
      </w:r>
      <w:proofErr w:type="spellEnd"/>
      <w:r w:rsidRPr="00112F1A">
        <w:rPr>
          <w:rFonts w:ascii="Arial" w:hAnsi="Arial" w:cs="Arial"/>
          <w:b/>
          <w:bCs/>
          <w:sz w:val="24"/>
        </w:rPr>
        <w:t xml:space="preserve">-Core </w:t>
      </w:r>
      <w:bookmarkStart w:id="0" w:name="_GoBack"/>
      <w:bookmarkEnd w:id="0"/>
    </w:p>
    <w:p w:rsidR="003C2DA9" w:rsidRPr="00B266B0" w:rsidRDefault="003C2DA9" w:rsidP="003C2DA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3C2DA9" w:rsidRPr="006E13D1" w:rsidRDefault="003C2DA9" w:rsidP="003C2DA9">
      <w:pPr>
        <w:pStyle w:val="Heading1"/>
      </w:pPr>
      <w:r w:rsidRPr="006E13D1">
        <w:t>1</w:t>
      </w:r>
      <w:r w:rsidRPr="006E13D1">
        <w:tab/>
      </w:r>
      <w:r>
        <w:t>Introduction</w:t>
      </w:r>
    </w:p>
    <w:p w:rsidR="003C2DA9" w:rsidRPr="006E13D1" w:rsidRDefault="00A86BB8" w:rsidP="003C2DA9">
      <w:r>
        <w:t>In the last RAN2 meeting the UE behaviour for cases when there is a mismatch between CFRA and CBRA RAR UL grant size was discussed without reaching any conclusion. This contribution is further discussing this issue.</w:t>
      </w:r>
    </w:p>
    <w:p w:rsidR="003C2DA9" w:rsidRPr="006E13D1" w:rsidRDefault="003C2DA9" w:rsidP="003C2DA9">
      <w:pPr>
        <w:pStyle w:val="Heading1"/>
      </w:pPr>
      <w:r w:rsidRPr="006E13D1">
        <w:t>2</w:t>
      </w:r>
      <w:r w:rsidRPr="006E13D1">
        <w:tab/>
      </w:r>
      <w:r>
        <w:t>Discussion</w:t>
      </w:r>
    </w:p>
    <w:p w:rsidR="009C5355" w:rsidRDefault="00BC1B29" w:rsidP="003C2DA9">
      <w:r>
        <w:t>In NR</w:t>
      </w:r>
      <w:r w:rsidR="006840B1">
        <w:t xml:space="preserve"> UE may end up switching between CFRA and CBRA based on the selected beam for each RA resource selection. </w:t>
      </w:r>
      <w:r>
        <w:t>For example for the Handover case</w:t>
      </w:r>
      <w:r w:rsidR="006840B1">
        <w:t>, where the UE is configured with CFRA resources but at the time of Random Access resource selection, none of the SSBs having a configured CFRA resource are above the selection threshold</w:t>
      </w:r>
      <w:r>
        <w:t xml:space="preserve">, UE will </w:t>
      </w:r>
      <w:proofErr w:type="spellStart"/>
      <w:r>
        <w:t>fallback</w:t>
      </w:r>
      <w:proofErr w:type="spellEnd"/>
      <w:r>
        <w:t xml:space="preserve"> to CBRA</w:t>
      </w:r>
      <w:r w:rsidR="006840B1">
        <w:t xml:space="preserve">. </w:t>
      </w:r>
      <w:r>
        <w:t xml:space="preserve">In case that Contention Resolution fails, UE starts with Random Access Resource selection with may now happen on a contention-free basis. </w:t>
      </w:r>
      <w:r w:rsidR="00420440">
        <w:br/>
      </w:r>
      <w:r w:rsidR="00CF066F">
        <w:br/>
      </w:r>
      <w:r>
        <w:t>As discussed during the last RAN2 meeting due to the switching between CBRA and CFRA, it may happen that UE receives RAR UL grant which is matching with the size of the TB stored in Msg3 buffer</w:t>
      </w:r>
      <w:r w:rsidR="006840B1">
        <w:t>.</w:t>
      </w:r>
      <w:r w:rsidR="00CF066F">
        <w:t xml:space="preserve"> As</w:t>
      </w:r>
      <w:r w:rsidR="009C5355">
        <w:t xml:space="preserve"> there are two different preamble groups defined and </w:t>
      </w:r>
      <w:r w:rsidR="00CF066F">
        <w:t xml:space="preserve">since </w:t>
      </w:r>
      <w:proofErr w:type="spellStart"/>
      <w:r w:rsidR="00CF066F">
        <w:t>gNB</w:t>
      </w:r>
      <w:proofErr w:type="spellEnd"/>
      <w:r w:rsidR="009C5355">
        <w:t xml:space="preserve"> does not know if the UE even attempted </w:t>
      </w:r>
      <w:r w:rsidR="00CF066F">
        <w:t xml:space="preserve">a </w:t>
      </w:r>
      <w:r w:rsidR="009C5355">
        <w:t xml:space="preserve">CBRA before CFRA, it is not possible for the </w:t>
      </w:r>
      <w:proofErr w:type="spellStart"/>
      <w:r w:rsidR="00CF066F">
        <w:t>gNB</w:t>
      </w:r>
      <w:proofErr w:type="spellEnd"/>
      <w:r w:rsidR="009C5355">
        <w:t xml:space="preserve"> to know which </w:t>
      </w:r>
      <w:r w:rsidR="00CF066F">
        <w:t xml:space="preserve">RAR UL grant </w:t>
      </w:r>
      <w:r w:rsidR="009C5355">
        <w:t xml:space="preserve">size </w:t>
      </w:r>
      <w:r w:rsidR="00CF066F">
        <w:t>to select in order t</w:t>
      </w:r>
      <w:r w:rsidR="009C5355">
        <w:t>o avoid the issue with different grant size from the MAC PDU in Msg3 buffer. Hence, it is expected that the issue with different Msg3 grant sizes will be much more frequent in NR than it was in LTE.</w:t>
      </w:r>
    </w:p>
    <w:p w:rsidR="001654B2" w:rsidRDefault="00571238" w:rsidP="003C2DA9">
      <w:r>
        <w:t xml:space="preserve">Currently the </w:t>
      </w:r>
      <w:r w:rsidR="009C5355">
        <w:t xml:space="preserve">UE </w:t>
      </w:r>
      <w:r>
        <w:t xml:space="preserve">behaviour is </w:t>
      </w:r>
      <w:r w:rsidR="001654B2">
        <w:t>unspecified</w:t>
      </w:r>
      <w:r>
        <w:t xml:space="preserve"> for the case of receiving different RAR UL grant sizes within one RACH procedure. So UE </w:t>
      </w:r>
      <w:r w:rsidR="009C5355">
        <w:t xml:space="preserve">may generate a new transport block according to the latest received RAR UL grant, which means that the data contained in the TB </w:t>
      </w:r>
      <w:r>
        <w:t xml:space="preserve">stored </w:t>
      </w:r>
      <w:r w:rsidR="009C5355">
        <w:t>in Msg3 buffer is either lost (for RLC-UM/TM) or network/UE has to rely on RLC retransmission for RLC-AM.</w:t>
      </w:r>
    </w:p>
    <w:p w:rsidR="001654B2" w:rsidRDefault="001654B2" w:rsidP="003C2DA9">
      <w:r>
        <w:t xml:space="preserve">There were several proposals to the last RAN2 meeting to either avoid such situation by preamble selection restrictions or by </w:t>
      </w:r>
      <w:r w:rsidR="0010294D">
        <w:t xml:space="preserve">rebuilding the </w:t>
      </w:r>
      <w:r>
        <w:t xml:space="preserve">TB </w:t>
      </w:r>
      <w:r w:rsidR="0010294D">
        <w:t xml:space="preserve">stored in Msg3 buffer </w:t>
      </w:r>
      <w:r>
        <w:t xml:space="preserve">according to the latest received RAR UL grant </w:t>
      </w:r>
      <w:r w:rsidR="0010294D">
        <w:t>size</w:t>
      </w:r>
      <w:r>
        <w:t>.</w:t>
      </w:r>
      <w:r w:rsidR="005F6C11">
        <w:t xml:space="preserve"> Common to both </w:t>
      </w:r>
      <w:r w:rsidR="005B1A4D">
        <w:t>kinds</w:t>
      </w:r>
      <w:r w:rsidR="005F6C11">
        <w:t xml:space="preserve"> of proposals is</w:t>
      </w:r>
      <w:r w:rsidR="005B1A4D">
        <w:t xml:space="preserve"> the aim not to lose the data stored in </w:t>
      </w:r>
      <w:r w:rsidR="005F6C11">
        <w:t>Msg3 buffer, e.g. Handover Complete message</w:t>
      </w:r>
      <w:r w:rsidR="005B1A4D">
        <w:t>), and delay e.g. the completion of the HO procedure (as RLC level re-transmission would be required)</w:t>
      </w:r>
      <w:r w:rsidR="005F6C11">
        <w:t xml:space="preserve">.   </w:t>
      </w:r>
    </w:p>
    <w:p w:rsidR="00E04B07" w:rsidRDefault="0019193B" w:rsidP="003C2DA9">
      <w:r>
        <w:t xml:space="preserve">We think that restriction the RACH preamble group selection or disallowing the usage of CFRA after the first attempt with CBRA preamble during a RA procedure is not a good approach to tackle the problem with different RAR UL grant sizes. </w:t>
      </w:r>
      <w:r w:rsidR="00AB7133">
        <w:t>Therefore we favour a solution where UE generates a new TB according to the latest received RAR UL grant whereby this new TB includes the data which is stored in the Msg3 buffer.</w:t>
      </w:r>
      <w:r w:rsidR="00AB7133">
        <w:br/>
      </w:r>
      <w:r w:rsidR="00E04B07">
        <w:t>We see the following to options how to achieve such behaviour:</w:t>
      </w:r>
    </w:p>
    <w:p w:rsidR="009C5355" w:rsidRDefault="00651C7B" w:rsidP="00E04B07">
      <w:pPr>
        <w:pStyle w:val="ListParagraph"/>
        <w:numPr>
          <w:ilvl w:val="0"/>
          <w:numId w:val="4"/>
        </w:numPr>
      </w:pPr>
      <w:r w:rsidRPr="00651C7B">
        <w:rPr>
          <w:b/>
        </w:rPr>
        <w:t>Option 1:</w:t>
      </w:r>
      <w:r>
        <w:rPr>
          <w:b/>
        </w:rPr>
        <w:t xml:space="preserve"> </w:t>
      </w:r>
      <w:r>
        <w:rPr>
          <w:b/>
        </w:rPr>
        <w:br/>
      </w:r>
      <w:r w:rsidR="00E04B07">
        <w:t xml:space="preserve">UE triggers autonomously – without waiting for a RLC status report from the receiver - RLC retransmission of the MAC SDUs/RLC PDUs contained within the TB stored in Msg3 buffer. </w:t>
      </w:r>
      <w:r w:rsidR="008E3D53">
        <w:t xml:space="preserve">Triggering RLC retransmissions </w:t>
      </w:r>
      <w:r w:rsidR="00245DE0">
        <w:t xml:space="preserve">internally </w:t>
      </w:r>
      <w:r w:rsidR="008E3D53">
        <w:t xml:space="preserve">at the </w:t>
      </w:r>
      <w:r w:rsidR="00245DE0">
        <w:t>UE side,</w:t>
      </w:r>
      <w:r w:rsidR="008E3D53">
        <w:t xml:space="preserve"> </w:t>
      </w:r>
      <w:r w:rsidR="00245DE0">
        <w:t xml:space="preserve">i.e. </w:t>
      </w:r>
      <w:r w:rsidR="00245DE0" w:rsidRPr="009C5355">
        <w:t xml:space="preserve">MAC entity indicates to the relevant RLC entities to trigger a RLC </w:t>
      </w:r>
      <w:r w:rsidR="00245DE0">
        <w:t xml:space="preserve">retransmission for the corresponding RLC PDUs, allows for a quick retransmission of the RLC data. </w:t>
      </w:r>
    </w:p>
    <w:p w:rsidR="00651C7B" w:rsidRDefault="00651C7B" w:rsidP="00651C7B">
      <w:pPr>
        <w:pStyle w:val="ListParagraph"/>
      </w:pPr>
    </w:p>
    <w:p w:rsidR="00245DE0" w:rsidRDefault="00651C7B" w:rsidP="00E04B07">
      <w:pPr>
        <w:pStyle w:val="ListParagraph"/>
        <w:numPr>
          <w:ilvl w:val="0"/>
          <w:numId w:val="4"/>
        </w:numPr>
      </w:pPr>
      <w:r w:rsidRPr="00651C7B">
        <w:rPr>
          <w:b/>
        </w:rPr>
        <w:t>Option 2</w:t>
      </w:r>
      <w:proofErr w:type="gramStart"/>
      <w:r w:rsidRPr="00651C7B">
        <w:rPr>
          <w:b/>
        </w:rPr>
        <w:t>:</w:t>
      </w:r>
      <w:proofErr w:type="gramEnd"/>
      <w:r>
        <w:br/>
      </w:r>
      <w:r w:rsidR="00CE002F">
        <w:t xml:space="preserve">For cases when UE receives RAR </w:t>
      </w:r>
      <w:r w:rsidR="00245DE0">
        <w:t>UL grant which is larger than the size of the TB stored in Msg3 buffer</w:t>
      </w:r>
      <w:r w:rsidR="00CE002F">
        <w:t xml:space="preserve">, UE generates </w:t>
      </w:r>
      <w:r w:rsidR="00245DE0">
        <w:t xml:space="preserve">a new TB by invoking </w:t>
      </w:r>
      <w:r w:rsidR="00CE002F">
        <w:t xml:space="preserve">the </w:t>
      </w:r>
      <w:r w:rsidR="00245DE0">
        <w:t xml:space="preserve">LCP procedure; the size of this </w:t>
      </w:r>
      <w:r w:rsidR="00CE002F">
        <w:t xml:space="preserve">to be generated </w:t>
      </w:r>
      <w:r w:rsidR="00245DE0">
        <w:t xml:space="preserve">TB is the </w:t>
      </w:r>
      <w:r w:rsidR="00483FE5">
        <w:t xml:space="preserve">TBs size of the </w:t>
      </w:r>
      <w:r w:rsidR="00245DE0">
        <w:t xml:space="preserve">RAR UL grant minus the </w:t>
      </w:r>
      <w:r w:rsidR="00483FE5">
        <w:t xml:space="preserve">TB size from Msg3 buffer </w:t>
      </w:r>
      <w:r w:rsidR="00245DE0" w:rsidRPr="009C5355">
        <w:t xml:space="preserve">excluding any padding MAC </w:t>
      </w:r>
      <w:proofErr w:type="spellStart"/>
      <w:r w:rsidR="00245DE0" w:rsidRPr="009C5355">
        <w:t>subPDU</w:t>
      </w:r>
      <w:proofErr w:type="spellEnd"/>
      <w:r w:rsidR="00245DE0" w:rsidRPr="009C5355">
        <w:t xml:space="preserve"> (if </w:t>
      </w:r>
      <w:r w:rsidR="00CE002F">
        <w:t>p</w:t>
      </w:r>
      <w:r w:rsidR="00245DE0" w:rsidRPr="009C5355">
        <w:t>resent</w:t>
      </w:r>
      <w:r w:rsidR="00CE002F">
        <w:t>)</w:t>
      </w:r>
      <w:r w:rsidR="00245DE0" w:rsidRPr="009C5355">
        <w:t>.</w:t>
      </w:r>
      <w:r w:rsidR="00245DE0">
        <w:t xml:space="preserve"> UE </w:t>
      </w:r>
      <w:r w:rsidR="00245DE0">
        <w:lastRenderedPageBreak/>
        <w:t xml:space="preserve">subsequently removes the </w:t>
      </w:r>
      <w:r w:rsidR="0052529F">
        <w:t xml:space="preserve">padding </w:t>
      </w:r>
      <w:r w:rsidR="00245DE0">
        <w:t xml:space="preserve">MAC </w:t>
      </w:r>
      <w:proofErr w:type="spellStart"/>
      <w:r w:rsidR="00245DE0">
        <w:t>subPDU</w:t>
      </w:r>
      <w:proofErr w:type="spellEnd"/>
      <w:r w:rsidR="00245DE0">
        <w:t xml:space="preserve"> (if present) from the TB stored in Msg3 buffer and appends the new</w:t>
      </w:r>
      <w:r w:rsidR="0052529F">
        <w:t>ly</w:t>
      </w:r>
      <w:r w:rsidR="00245DE0">
        <w:t xml:space="preserve"> generated TB to form a combined </w:t>
      </w:r>
      <w:r w:rsidR="00483FE5">
        <w:t xml:space="preserve">new </w:t>
      </w:r>
      <w:r w:rsidR="00245DE0">
        <w:t>TB which is then delivered to the corresponding HARQ process for transmission.</w:t>
      </w:r>
      <w:r w:rsidR="00245DE0" w:rsidRPr="00245DE0">
        <w:t xml:space="preserve"> </w:t>
      </w:r>
    </w:p>
    <w:p w:rsidR="001654B2" w:rsidRDefault="00E72D15" w:rsidP="003C2DA9">
      <w:r>
        <w:t>We think both options would be acceptable from UE complexity perspective. Option 2 has the advantage that this operation is confined to the MAC layer, whereas for the first option some interaction between MAC and RLC is necessary. On the other hand Option 1 provides a solution which is applicable also for cases when CFRA RAR UL grant is smaller than the CBRA RAR UL grant, which might not be unlikely though.</w:t>
      </w:r>
    </w:p>
    <w:p w:rsidR="00E72D15" w:rsidRPr="00E72D15" w:rsidRDefault="00E72D15" w:rsidP="003C2DA9">
      <w:pPr>
        <w:rPr>
          <w:b/>
        </w:rPr>
      </w:pPr>
      <w:r w:rsidRPr="00E72D15">
        <w:rPr>
          <w:b/>
        </w:rPr>
        <w:t>Proposal</w:t>
      </w:r>
      <w:r w:rsidR="0042557B">
        <w:rPr>
          <w:b/>
        </w:rPr>
        <w:t xml:space="preserve"> </w:t>
      </w:r>
      <w:r w:rsidRPr="00E72D15">
        <w:rPr>
          <w:b/>
        </w:rPr>
        <w:t xml:space="preserve">1: RAN2 should choose one of the </w:t>
      </w:r>
      <w:r>
        <w:rPr>
          <w:b/>
        </w:rPr>
        <w:t xml:space="preserve">above </w:t>
      </w:r>
      <w:r w:rsidRPr="00E72D15">
        <w:rPr>
          <w:b/>
        </w:rPr>
        <w:t>options for defining the UE behaviour for RAR UL grant size mismatch.</w:t>
      </w:r>
    </w:p>
    <w:p w:rsidR="003C2DA9" w:rsidRPr="006E13D1" w:rsidRDefault="003C2DA9" w:rsidP="003C2DA9">
      <w:pPr>
        <w:pStyle w:val="Heading1"/>
      </w:pPr>
      <w:r w:rsidRPr="006E13D1">
        <w:t>3</w:t>
      </w:r>
      <w:r w:rsidRPr="006E13D1">
        <w:tab/>
      </w:r>
      <w:r>
        <w:t>Conclusion</w:t>
      </w:r>
    </w:p>
    <w:p w:rsidR="003C2DA9" w:rsidRDefault="003C2DA9" w:rsidP="003C2DA9">
      <w:r>
        <w:t xml:space="preserve">The </w:t>
      </w:r>
      <w:r w:rsidR="0042557B">
        <w:t>UE behaviour for cases when there is a mismatch between CFRA and CBRA RAR UL grant size</w:t>
      </w:r>
      <w:r>
        <w:t>. It’s proposed agree on the following:</w:t>
      </w:r>
    </w:p>
    <w:p w:rsidR="0042557B" w:rsidRPr="00E72D15" w:rsidRDefault="0042557B" w:rsidP="0042557B">
      <w:pPr>
        <w:rPr>
          <w:b/>
        </w:rPr>
      </w:pPr>
      <w:r w:rsidRPr="00E72D15">
        <w:rPr>
          <w:b/>
        </w:rPr>
        <w:t>Proposal</w:t>
      </w:r>
      <w:r>
        <w:rPr>
          <w:b/>
        </w:rPr>
        <w:t xml:space="preserve"> </w:t>
      </w:r>
      <w:r w:rsidRPr="00E72D15">
        <w:rPr>
          <w:b/>
        </w:rPr>
        <w:t xml:space="preserve">1: RAN2 should choose one of the </w:t>
      </w:r>
      <w:r>
        <w:rPr>
          <w:b/>
        </w:rPr>
        <w:t xml:space="preserve">above </w:t>
      </w:r>
      <w:r w:rsidRPr="00E72D15">
        <w:rPr>
          <w:b/>
        </w:rPr>
        <w:t>options for defining the UE behaviour for RAR UL grant size mismatch.</w:t>
      </w:r>
    </w:p>
    <w:p w:rsidR="003C2DA9" w:rsidRPr="006E13D1" w:rsidRDefault="003C2DA9" w:rsidP="003C2DA9"/>
    <w:p w:rsidR="003C2DA9" w:rsidRPr="006E13D1" w:rsidRDefault="003C2DA9" w:rsidP="003C2DA9">
      <w:pPr>
        <w:pStyle w:val="Heading1"/>
      </w:pPr>
      <w:r w:rsidRPr="006E13D1">
        <w:t>References</w:t>
      </w:r>
    </w:p>
    <w:p w:rsidR="003C2DA9" w:rsidRDefault="001C27C2" w:rsidP="003C2DA9">
      <w:pPr>
        <w:numPr>
          <w:ilvl w:val="0"/>
          <w:numId w:val="1"/>
        </w:numPr>
        <w:overflowPunct w:val="0"/>
        <w:autoSpaceDE w:val="0"/>
        <w:autoSpaceDN w:val="0"/>
        <w:adjustRightInd w:val="0"/>
        <w:textAlignment w:val="baseline"/>
      </w:pPr>
      <w:bookmarkStart w:id="1" w:name="_Ref75086397"/>
      <w:r w:rsidRPr="001C27C2">
        <w:rPr>
          <w:rFonts w:hint="eastAsia"/>
        </w:rPr>
        <w:t>R</w:t>
      </w:r>
      <w:r w:rsidRPr="001C27C2">
        <w:t>2</w:t>
      </w:r>
      <w:r w:rsidRPr="001C27C2">
        <w:rPr>
          <w:rFonts w:hint="eastAsia"/>
        </w:rPr>
        <w:t>-</w:t>
      </w:r>
      <w:r w:rsidRPr="001C27C2">
        <w:t>1810157</w:t>
      </w:r>
      <w:r w:rsidR="003C2DA9">
        <w:t xml:space="preserve">, </w:t>
      </w:r>
      <w:r w:rsidRPr="001C27C2">
        <w:rPr>
          <w:i/>
        </w:rPr>
        <w:t>Msg3 handling when switching from CBRA to CFRA</w:t>
      </w:r>
      <w:r w:rsidR="003C2DA9">
        <w:t xml:space="preserve">, </w:t>
      </w:r>
      <w:r>
        <w:t>Nokia, Nokia Shanghai Bell</w:t>
      </w:r>
    </w:p>
    <w:bookmarkEnd w:id="1"/>
    <w:p w:rsidR="003C2DA9" w:rsidRPr="00CD4C7B" w:rsidRDefault="003C2DA9" w:rsidP="002B1C93">
      <w:pPr>
        <w:overflowPunct w:val="0"/>
        <w:autoSpaceDE w:val="0"/>
        <w:autoSpaceDN w:val="0"/>
        <w:adjustRightInd w:val="0"/>
        <w:textAlignment w:val="baseline"/>
      </w:pPr>
    </w:p>
    <w:p w:rsidR="005C2A26" w:rsidRDefault="000C4DBB"/>
    <w:sectPr w:rsidR="005C2A26">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626B"/>
    <w:multiLevelType w:val="hybridMultilevel"/>
    <w:tmpl w:val="CCB8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754768A5"/>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7BBE04C0"/>
    <w:multiLevelType w:val="hybridMultilevel"/>
    <w:tmpl w:val="6756A72C"/>
    <w:lvl w:ilvl="0" w:tplc="FCF00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DA9"/>
    <w:rsid w:val="000C4DBB"/>
    <w:rsid w:val="0010294D"/>
    <w:rsid w:val="001654B2"/>
    <w:rsid w:val="00180194"/>
    <w:rsid w:val="0019193B"/>
    <w:rsid w:val="001920B9"/>
    <w:rsid w:val="001C27C2"/>
    <w:rsid w:val="00245DE0"/>
    <w:rsid w:val="002B1C93"/>
    <w:rsid w:val="003C2DA9"/>
    <w:rsid w:val="00420440"/>
    <w:rsid w:val="0042557B"/>
    <w:rsid w:val="00460301"/>
    <w:rsid w:val="00483FE5"/>
    <w:rsid w:val="0052529F"/>
    <w:rsid w:val="00571238"/>
    <w:rsid w:val="005B1A4D"/>
    <w:rsid w:val="005D0A0D"/>
    <w:rsid w:val="005F6C11"/>
    <w:rsid w:val="00651C7B"/>
    <w:rsid w:val="006840B1"/>
    <w:rsid w:val="00710081"/>
    <w:rsid w:val="007453BE"/>
    <w:rsid w:val="007D11DF"/>
    <w:rsid w:val="007E7118"/>
    <w:rsid w:val="008E3D53"/>
    <w:rsid w:val="009A4690"/>
    <w:rsid w:val="009C5355"/>
    <w:rsid w:val="009D0840"/>
    <w:rsid w:val="00A16D2A"/>
    <w:rsid w:val="00A86BB8"/>
    <w:rsid w:val="00AB7133"/>
    <w:rsid w:val="00B6668F"/>
    <w:rsid w:val="00BC1B29"/>
    <w:rsid w:val="00C02759"/>
    <w:rsid w:val="00CB604D"/>
    <w:rsid w:val="00CE002F"/>
    <w:rsid w:val="00CF066F"/>
    <w:rsid w:val="00D23481"/>
    <w:rsid w:val="00DE41E4"/>
    <w:rsid w:val="00E04B07"/>
    <w:rsid w:val="00E72D15"/>
    <w:rsid w:val="00FE0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A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C2DA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2DA9"/>
    <w:rPr>
      <w:rFonts w:ascii="Arial" w:eastAsia="Times New Roman" w:hAnsi="Arial" w:cs="Times New Roman"/>
      <w:sz w:val="36"/>
      <w:szCs w:val="20"/>
      <w:lang w:val="en-GB"/>
    </w:rPr>
  </w:style>
  <w:style w:type="paragraph" w:styleId="Header">
    <w:name w:val="header"/>
    <w:aliases w:val="header odd"/>
    <w:link w:val="HeaderChar"/>
    <w:rsid w:val="003C2DA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3C2DA9"/>
    <w:rPr>
      <w:rFonts w:ascii="Arial" w:eastAsia="Times New Roman" w:hAnsi="Arial" w:cs="Times New Roman"/>
      <w:b/>
      <w:noProof/>
      <w:sz w:val="18"/>
      <w:szCs w:val="20"/>
      <w:lang w:val="en-GB" w:eastAsia="ja-JP"/>
    </w:rPr>
  </w:style>
  <w:style w:type="paragraph" w:customStyle="1" w:styleId="CRCoverPage">
    <w:name w:val="CR Cover Page"/>
    <w:rsid w:val="003C2DA9"/>
    <w:pPr>
      <w:spacing w:after="120" w:line="240" w:lineRule="auto"/>
    </w:pPr>
    <w:rPr>
      <w:rFonts w:ascii="Arial" w:eastAsia="MS Mincho" w:hAnsi="Arial" w:cs="Times New Roman"/>
      <w:sz w:val="20"/>
      <w:szCs w:val="20"/>
      <w:lang w:val="en-GB"/>
    </w:rPr>
  </w:style>
  <w:style w:type="table" w:styleId="TableGrid">
    <w:name w:val="Table Grid"/>
    <w:basedOn w:val="TableNormal"/>
    <w:rsid w:val="003C2DA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C2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2DA9"/>
    <w:rPr>
      <w:rFonts w:ascii="Arial" w:eastAsia="MS Mincho" w:hAnsi="Arial" w:cs="Times New Roman"/>
      <w:sz w:val="20"/>
      <w:szCs w:val="24"/>
      <w:lang w:val="en-GB" w:eastAsia="en-GB"/>
    </w:rPr>
  </w:style>
  <w:style w:type="paragraph" w:styleId="ListParagraph">
    <w:name w:val="List Paragraph"/>
    <w:basedOn w:val="Normal"/>
    <w:uiPriority w:val="34"/>
    <w:qFormat/>
    <w:rsid w:val="003C2D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A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C2DA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2DA9"/>
    <w:rPr>
      <w:rFonts w:ascii="Arial" w:eastAsia="Times New Roman" w:hAnsi="Arial" w:cs="Times New Roman"/>
      <w:sz w:val="36"/>
      <w:szCs w:val="20"/>
      <w:lang w:val="en-GB"/>
    </w:rPr>
  </w:style>
  <w:style w:type="paragraph" w:styleId="Header">
    <w:name w:val="header"/>
    <w:aliases w:val="header odd"/>
    <w:link w:val="HeaderChar"/>
    <w:rsid w:val="003C2DA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3C2DA9"/>
    <w:rPr>
      <w:rFonts w:ascii="Arial" w:eastAsia="Times New Roman" w:hAnsi="Arial" w:cs="Times New Roman"/>
      <w:b/>
      <w:noProof/>
      <w:sz w:val="18"/>
      <w:szCs w:val="20"/>
      <w:lang w:val="en-GB" w:eastAsia="ja-JP"/>
    </w:rPr>
  </w:style>
  <w:style w:type="paragraph" w:customStyle="1" w:styleId="CRCoverPage">
    <w:name w:val="CR Cover Page"/>
    <w:rsid w:val="003C2DA9"/>
    <w:pPr>
      <w:spacing w:after="120" w:line="240" w:lineRule="auto"/>
    </w:pPr>
    <w:rPr>
      <w:rFonts w:ascii="Arial" w:eastAsia="MS Mincho" w:hAnsi="Arial" w:cs="Times New Roman"/>
      <w:sz w:val="20"/>
      <w:szCs w:val="20"/>
      <w:lang w:val="en-GB"/>
    </w:rPr>
  </w:style>
  <w:style w:type="table" w:styleId="TableGrid">
    <w:name w:val="Table Grid"/>
    <w:basedOn w:val="TableNormal"/>
    <w:rsid w:val="003C2DA9"/>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C2D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C2DA9"/>
    <w:rPr>
      <w:rFonts w:ascii="Arial" w:eastAsia="MS Mincho" w:hAnsi="Arial" w:cs="Times New Roman"/>
      <w:sz w:val="20"/>
      <w:szCs w:val="24"/>
      <w:lang w:val="en-GB" w:eastAsia="en-GB"/>
    </w:rPr>
  </w:style>
  <w:style w:type="paragraph" w:styleId="ListParagraph">
    <w:name w:val="List Paragraph"/>
    <w:basedOn w:val="Normal"/>
    <w:uiPriority w:val="34"/>
    <w:qFormat/>
    <w:rsid w:val="003C2D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Joachim Löhr</dc:creator>
  <cp:lastModifiedBy>Joachim Löhr</cp:lastModifiedBy>
  <cp:revision>3</cp:revision>
  <dcterms:created xsi:type="dcterms:W3CDTF">2018-08-09T14:40:00Z</dcterms:created>
  <dcterms:modified xsi:type="dcterms:W3CDTF">2018-08-09T14:40:00Z</dcterms:modified>
</cp:coreProperties>
</file>