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00942720"/>
    <w:bookmarkStart w:id="1" w:name="_Toc501138289"/>
    <w:bookmarkStart w:id="2" w:name="_Toc487673639"/>
    <w:bookmarkStart w:id="3" w:name="_Toc491180908"/>
    <w:bookmarkStart w:id="4" w:name="_Toc493510608"/>
    <w:bookmarkStart w:id="5" w:name="_Toc470095101"/>
    <w:p w14:paraId="75A1F644" w14:textId="3340E866" w:rsidR="003A6CE7" w:rsidRPr="003A6CE7" w:rsidRDefault="003A6CE7" w:rsidP="003A6CE7">
      <w:pPr>
        <w:pStyle w:val="Header"/>
        <w:tabs>
          <w:tab w:val="left" w:pos="6521"/>
        </w:tabs>
        <w:overflowPunct/>
        <w:autoSpaceDE/>
        <w:autoSpaceDN/>
        <w:adjustRightInd/>
        <w:spacing w:after="0" w:line="240" w:lineRule="auto"/>
        <w:jc w:val="both"/>
        <w:textAlignment w:val="auto"/>
        <w:rPr>
          <w:rFonts w:eastAsia="SimSun"/>
          <w:noProof/>
          <w:sz w:val="24"/>
          <w:lang w:eastAsia="en-GB"/>
        </w:rPr>
      </w:pPr>
      <w:r w:rsidRPr="003A6CE7">
        <w:rPr>
          <w:rFonts w:eastAsia="SimSun"/>
          <w:noProof/>
          <w:sz w:val="24"/>
          <w:lang w:val="en-US" w:eastAsia="en-US"/>
        </w:rPr>
        <mc:AlternateContent>
          <mc:Choice Requires="wps">
            <w:drawing>
              <wp:anchor distT="0" distB="0" distL="114300" distR="114300" simplePos="0" relativeHeight="251659264" behindDoc="0" locked="1" layoutInCell="1" allowOverlap="1" wp14:anchorId="576FC33E" wp14:editId="7A8ED0DE">
                <wp:simplePos x="0" y="0"/>
                <wp:positionH relativeFrom="column">
                  <wp:posOffset>0</wp:posOffset>
                </wp:positionH>
                <wp:positionV relativeFrom="paragraph">
                  <wp:posOffset>0</wp:posOffset>
                </wp:positionV>
                <wp:extent cx="635" cy="635"/>
                <wp:effectExtent l="0" t="0" r="0" b="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6D88F"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A6CE7">
        <w:rPr>
          <w:rFonts w:eastAsia="SimSun"/>
          <w:noProof/>
          <w:sz w:val="24"/>
          <w:lang w:eastAsia="en-GB"/>
        </w:rPr>
        <w:t>3GPP TSG-RAN WG2 meeting #103</w:t>
      </w:r>
      <w:r w:rsidRPr="003A6CE7">
        <w:rPr>
          <w:rFonts w:eastAsia="SimSun" w:hint="eastAsia"/>
          <w:noProof/>
          <w:sz w:val="24"/>
          <w:lang w:eastAsia="en-GB"/>
        </w:rPr>
        <w:tab/>
      </w:r>
      <w:r w:rsidRPr="003A6CE7">
        <w:rPr>
          <w:rFonts w:eastAsia="SimSun"/>
          <w:noProof/>
          <w:sz w:val="24"/>
          <w:lang w:eastAsia="en-GB"/>
        </w:rPr>
        <w:tab/>
      </w:r>
      <w:r w:rsidRPr="003A6CE7">
        <w:rPr>
          <w:rFonts w:eastAsia="SimSun"/>
          <w:noProof/>
          <w:sz w:val="24"/>
          <w:lang w:eastAsia="en-GB"/>
        </w:rPr>
        <w:tab/>
      </w:r>
      <w:r w:rsidRPr="003A6CE7">
        <w:rPr>
          <w:rFonts w:eastAsia="SimSun"/>
          <w:noProof/>
          <w:sz w:val="24"/>
          <w:lang w:eastAsia="en-GB"/>
        </w:rPr>
        <w:tab/>
      </w:r>
      <w:r w:rsidRPr="003A6CE7">
        <w:rPr>
          <w:rFonts w:eastAsia="SimSun"/>
          <w:noProof/>
          <w:sz w:val="24"/>
          <w:lang w:eastAsia="en-GB"/>
        </w:rPr>
        <w:tab/>
      </w:r>
      <w:r w:rsidRPr="003A6CE7">
        <w:rPr>
          <w:rFonts w:eastAsia="SimSun"/>
          <w:noProof/>
          <w:sz w:val="24"/>
          <w:lang w:eastAsia="en-GB"/>
        </w:rPr>
        <w:tab/>
      </w:r>
      <w:r w:rsidRPr="003A6CE7">
        <w:rPr>
          <w:rFonts w:eastAsia="SimSun"/>
          <w:noProof/>
          <w:sz w:val="24"/>
          <w:lang w:eastAsia="en-GB"/>
        </w:rPr>
        <w:tab/>
      </w:r>
      <w:r w:rsidRPr="003A6CE7">
        <w:rPr>
          <w:rFonts w:eastAsia="SimSun"/>
          <w:noProof/>
          <w:sz w:val="24"/>
          <w:lang w:eastAsia="en-GB"/>
        </w:rPr>
        <w:tab/>
        <w:t>R2-18</w:t>
      </w:r>
      <w:r>
        <w:rPr>
          <w:rFonts w:eastAsia="SimSun"/>
          <w:noProof/>
          <w:sz w:val="24"/>
          <w:lang w:eastAsia="en-GB"/>
        </w:rPr>
        <w:t>11</w:t>
      </w:r>
      <w:r w:rsidR="00DB27C9">
        <w:rPr>
          <w:rFonts w:eastAsia="SimSun"/>
          <w:noProof/>
          <w:sz w:val="24"/>
          <w:lang w:eastAsia="en-GB"/>
        </w:rPr>
        <w:t>849</w:t>
      </w:r>
    </w:p>
    <w:p w14:paraId="0730FD21" w14:textId="61717940" w:rsidR="003D56E5" w:rsidRPr="003A6CE7" w:rsidRDefault="003A6CE7" w:rsidP="003A6CE7">
      <w:pPr>
        <w:pStyle w:val="Header"/>
        <w:tabs>
          <w:tab w:val="left" w:pos="6521"/>
        </w:tabs>
        <w:overflowPunct/>
        <w:autoSpaceDE/>
        <w:autoSpaceDN/>
        <w:adjustRightInd/>
        <w:spacing w:after="0" w:line="240" w:lineRule="auto"/>
        <w:jc w:val="both"/>
        <w:textAlignment w:val="auto"/>
        <w:rPr>
          <w:rFonts w:eastAsia="SimSun"/>
          <w:noProof/>
          <w:sz w:val="24"/>
          <w:lang w:eastAsia="en-GB"/>
        </w:rPr>
      </w:pPr>
      <w:r w:rsidRPr="003A6CE7">
        <w:rPr>
          <w:rFonts w:eastAsia="SimSun"/>
          <w:noProof/>
          <w:sz w:val="24"/>
          <w:lang w:eastAsia="en-GB"/>
        </w:rPr>
        <w:t>Gothenburg, Sweden, 20 – 24 August</w:t>
      </w:r>
      <w:r w:rsidRPr="003A6CE7">
        <w:rPr>
          <w:rFonts w:eastAsia="SimSun" w:hint="eastAsia"/>
          <w:noProof/>
          <w:sz w:val="24"/>
          <w:lang w:eastAsia="en-GB"/>
        </w:rPr>
        <w:t>, 2018</w:t>
      </w:r>
      <w:r w:rsidR="003D56E5" w:rsidRPr="003A6CE7">
        <w:rPr>
          <w:rFonts w:eastAsia="SimSun"/>
          <w:noProof/>
          <w:sz w:val="24"/>
          <w:lang w:eastAsia="en-GB"/>
        </w:rPr>
        <w:tab/>
      </w:r>
      <w:r w:rsidR="003D56E5" w:rsidRPr="003A6CE7">
        <w:rPr>
          <w:rFonts w:eastAsia="SimSun"/>
          <w:noProof/>
          <w:sz w:val="24"/>
          <w:lang w:eastAsia="en-GB"/>
        </w:rPr>
        <w:tab/>
      </w:r>
    </w:p>
    <w:p w14:paraId="6F65DD0E" w14:textId="77777777" w:rsidR="008D0DF4" w:rsidRDefault="008D0DF4">
      <w:pPr>
        <w:pStyle w:val="3GPPHeader"/>
      </w:pPr>
    </w:p>
    <w:p w14:paraId="08142FB3" w14:textId="011885B8" w:rsidR="001C0E06" w:rsidRDefault="001C0E06" w:rsidP="001C0E06">
      <w:pPr>
        <w:spacing w:after="60" w:line="240" w:lineRule="auto"/>
        <w:ind w:left="1985" w:hanging="1985"/>
        <w:rPr>
          <w:rFonts w:ascii="Arial" w:hAnsi="Arial" w:cs="Arial"/>
          <w:b/>
        </w:rPr>
      </w:pPr>
      <w:r>
        <w:rPr>
          <w:rFonts w:ascii="Arial" w:hAnsi="Arial" w:cs="Arial"/>
          <w:b/>
        </w:rPr>
        <w:t>Agenda Item</w:t>
      </w:r>
      <w:r w:rsidRPr="00F85511">
        <w:rPr>
          <w:rFonts w:ascii="Arial" w:hAnsi="Arial" w:cs="Arial"/>
          <w:b/>
        </w:rPr>
        <w:t>:</w:t>
      </w:r>
      <w:r w:rsidRPr="00F85511">
        <w:rPr>
          <w:rFonts w:ascii="Arial" w:hAnsi="Arial" w:cs="Arial"/>
          <w:b/>
        </w:rPr>
        <w:tab/>
      </w:r>
      <w:r>
        <w:rPr>
          <w:rFonts w:ascii="Arial" w:hAnsi="Arial" w:cs="Arial"/>
          <w:b/>
        </w:rPr>
        <w:t>9.</w:t>
      </w:r>
      <w:r w:rsidR="00DA18AA">
        <w:rPr>
          <w:rFonts w:ascii="Arial" w:hAnsi="Arial" w:cs="Arial"/>
          <w:b/>
        </w:rPr>
        <w:t>2</w:t>
      </w:r>
      <w:r w:rsidR="003A6CE7">
        <w:rPr>
          <w:rFonts w:ascii="Arial" w:hAnsi="Arial" w:cs="Arial"/>
          <w:b/>
        </w:rPr>
        <w:t>.2</w:t>
      </w:r>
    </w:p>
    <w:p w14:paraId="09768F77" w14:textId="77777777" w:rsidR="001C0E06" w:rsidRPr="00F85511" w:rsidRDefault="001C0E06" w:rsidP="001C0E06">
      <w:pPr>
        <w:spacing w:after="60" w:line="240" w:lineRule="auto"/>
        <w:ind w:left="1985" w:hanging="1985"/>
        <w:rPr>
          <w:rFonts w:ascii="Arial" w:hAnsi="Arial" w:cs="Arial"/>
        </w:rPr>
      </w:pPr>
      <w:r>
        <w:rPr>
          <w:rFonts w:ascii="Arial" w:hAnsi="Arial" w:cs="Arial"/>
          <w:b/>
        </w:rPr>
        <w:t>Source:</w:t>
      </w:r>
      <w:r>
        <w:rPr>
          <w:rFonts w:ascii="Arial" w:hAnsi="Arial" w:cs="Arial"/>
          <w:b/>
        </w:rPr>
        <w:tab/>
        <w:t>Intel Corporation</w:t>
      </w:r>
    </w:p>
    <w:p w14:paraId="31DE5494" w14:textId="1995BBD5"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005F4186">
        <w:rPr>
          <w:rFonts w:ascii="Arial" w:hAnsi="Arial" w:cs="Arial"/>
          <w:b/>
        </w:rPr>
        <w:t>Rel-15 UE</w:t>
      </w:r>
      <w:r w:rsidR="00E67200" w:rsidRPr="001C0E06">
        <w:rPr>
          <w:rFonts w:ascii="Arial" w:hAnsi="Arial" w:cs="Arial"/>
          <w:b/>
        </w:rPr>
        <w:t xml:space="preserve"> </w:t>
      </w:r>
      <w:r w:rsidR="005F4186">
        <w:rPr>
          <w:rFonts w:ascii="Arial" w:hAnsi="Arial" w:cs="Arial"/>
          <w:b/>
        </w:rPr>
        <w:t xml:space="preserve">LTE </w:t>
      </w:r>
      <w:r w:rsidR="00E67200" w:rsidRPr="001C0E06">
        <w:rPr>
          <w:rFonts w:ascii="Arial" w:hAnsi="Arial" w:cs="Arial"/>
          <w:b/>
        </w:rPr>
        <w:t xml:space="preserve">capability </w:t>
      </w:r>
      <w:r w:rsidR="005F4186">
        <w:rPr>
          <w:rFonts w:ascii="Arial" w:hAnsi="Arial" w:cs="Arial"/>
          <w:b/>
        </w:rPr>
        <w:t>size reduction methods</w:t>
      </w:r>
    </w:p>
    <w:p w14:paraId="395F7A39" w14:textId="6990C4AE" w:rsidR="00F85511" w:rsidRPr="00F85511" w:rsidRDefault="001C0E06" w:rsidP="00F85511">
      <w:pPr>
        <w:spacing w:after="60" w:line="240" w:lineRule="auto"/>
        <w:ind w:left="1985" w:hanging="1985"/>
        <w:rPr>
          <w:rFonts w:ascii="Arial" w:hAnsi="Arial" w:cs="Arial"/>
          <w:bCs/>
        </w:rPr>
      </w:pPr>
      <w:r>
        <w:rPr>
          <w:rFonts w:ascii="Arial" w:hAnsi="Arial" w:cs="Arial"/>
          <w:b/>
        </w:rPr>
        <w:t>Document for</w:t>
      </w:r>
      <w:r w:rsidR="00F85511" w:rsidRPr="00F85511">
        <w:rPr>
          <w:rFonts w:ascii="Arial" w:hAnsi="Arial" w:cs="Arial"/>
          <w:b/>
        </w:rPr>
        <w:t>:</w:t>
      </w:r>
      <w:r w:rsidR="00F85511" w:rsidRPr="00F85511">
        <w:rPr>
          <w:rFonts w:ascii="Arial" w:hAnsi="Arial" w:cs="Arial"/>
          <w:bCs/>
        </w:rPr>
        <w:tab/>
      </w:r>
      <w:r w:rsidRPr="001C0E06">
        <w:rPr>
          <w:rFonts w:ascii="Arial" w:hAnsi="Arial" w:cs="Arial"/>
          <w:b/>
          <w:bCs/>
        </w:rPr>
        <w:t>Discussion and Decision</w:t>
      </w:r>
    </w:p>
    <w:p w14:paraId="2BBFA1F1" w14:textId="77777777" w:rsidR="00F85511" w:rsidRPr="00F85511" w:rsidRDefault="00F85511" w:rsidP="00F85511">
      <w:pPr>
        <w:spacing w:after="60" w:line="240" w:lineRule="auto"/>
        <w:ind w:left="1985" w:hanging="1985"/>
        <w:rPr>
          <w:rFonts w:ascii="Arial" w:hAnsi="Arial" w:cs="Arial"/>
          <w:b/>
        </w:rPr>
      </w:pPr>
    </w:p>
    <w:p w14:paraId="0EFBE04E" w14:textId="77777777" w:rsidR="008D0DF4" w:rsidRDefault="00680A27">
      <w:pPr>
        <w:pStyle w:val="Heading1"/>
      </w:pPr>
      <w:r>
        <w:t>1</w:t>
      </w:r>
      <w:r>
        <w:tab/>
      </w:r>
      <w:r w:rsidR="00F85511">
        <w:t>Overall description</w:t>
      </w:r>
    </w:p>
    <w:p w14:paraId="5B9C9300" w14:textId="555C6CDC" w:rsidR="00D66726" w:rsidRDefault="00DB38DA">
      <w:r>
        <w:t>With the introduction of sTTI/sPT feature in rel-15, the UE LTE capability size could potential</w:t>
      </w:r>
      <w:r w:rsidR="00B336F6">
        <w:t>y</w:t>
      </w:r>
      <w:r>
        <w:t xml:space="preserve"> double or triple for the BCs (depending on how many BCs support sTTI/sPT in the UE reported capability, and depending on how many variations of sTTI/sPT the UE supports for each of this CA BCs). We have already seen many problems with large sizes in implementations of eNB across the world and there was even a submission to Athens meeting flagging this issue</w:t>
      </w:r>
      <w:r w:rsidR="00021680">
        <w:t xml:space="preserve"> </w:t>
      </w:r>
      <w:r>
        <w:t xml:space="preserve">[1]. </w:t>
      </w:r>
      <w:r w:rsidR="00FA0CB7">
        <w:t xml:space="preserve"> </w:t>
      </w:r>
    </w:p>
    <w:p w14:paraId="67F8DA43" w14:textId="49D7074D" w:rsidR="002A5E62" w:rsidRDefault="00B336F6" w:rsidP="006B297E">
      <w:r>
        <w:t xml:space="preserve">The current philosophy of the UE reporting the entire capability in any NW it tries to register (legacy NW or new rel-15 NW) could create problems in the field when the rel-15 UEs start reporting huge capability sizes (for eg, to legacy NWs). Apart from the size, the UE repeating the same BCs (with variations for sTTI in rel-15 IEs that the legacy NW would ignore) could create problems in eNBs when they see the same CA BC repeated several times. The skipFallback feature introduced in rel-13 to curb the capability size has potential to be not used effectively with the introduction of sTTI/sPT capabilities. </w:t>
      </w:r>
    </w:p>
    <w:p w14:paraId="593FEF69" w14:textId="7FE8870A" w:rsidR="00B336F6" w:rsidRDefault="00B336F6" w:rsidP="006B297E">
      <w:r>
        <w:t>This paper tries to explain the potential problems and try to provide a slightly changed capability reporting philosophy that can be applied from rel-15.</w:t>
      </w:r>
    </w:p>
    <w:p w14:paraId="11972FE7" w14:textId="06A48262" w:rsidR="005A00F1" w:rsidRDefault="007C682C" w:rsidP="005A00F1">
      <w:pPr>
        <w:pStyle w:val="Heading1"/>
      </w:pPr>
      <w:r>
        <w:t>2</w:t>
      </w:r>
      <w:r w:rsidR="005A00F1">
        <w:tab/>
        <w:t xml:space="preserve">sTTI/sPT capability signalling size reduction </w:t>
      </w:r>
    </w:p>
    <w:p w14:paraId="7A33C317" w14:textId="6A253786" w:rsidR="00E03B62" w:rsidRDefault="005A00F1" w:rsidP="000E3EF3">
      <w:r>
        <w:t xml:space="preserve">Both features sTTI and sPT </w:t>
      </w:r>
      <w:r w:rsidR="007E3EEA">
        <w:t>can</w:t>
      </w:r>
      <w:r>
        <w:t xml:space="preserve"> significantly </w:t>
      </w:r>
      <w:r w:rsidR="00F37C3F">
        <w:t>increase</w:t>
      </w:r>
      <w:r>
        <w:t xml:space="preserve"> the UE capability signalling size as most of the parameters related to these two features are reported per band per BC, and in some cases the capabilities reported in the CA BCs are again reported with differing values due to these two features.</w:t>
      </w:r>
    </w:p>
    <w:p w14:paraId="4CD65C5A" w14:textId="560C4647" w:rsidR="005A00F1" w:rsidRPr="007E3EEA" w:rsidRDefault="005A00F1" w:rsidP="000E3EF3">
      <w:pPr>
        <w:rPr>
          <w:b/>
        </w:rPr>
      </w:pPr>
      <w:r w:rsidRPr="007E3EEA">
        <w:rPr>
          <w:b/>
        </w:rPr>
        <w:t xml:space="preserve">Observation 1: UE reports </w:t>
      </w:r>
      <w:r w:rsidR="0013602B">
        <w:rPr>
          <w:b/>
        </w:rPr>
        <w:t>the</w:t>
      </w:r>
      <w:r w:rsidRPr="007E3EEA">
        <w:rPr>
          <w:b/>
        </w:rPr>
        <w:t xml:space="preserve"> total capability whenever the capability request is provided by the NW, which includes sTTI/sPT capability. A release-15 UE using the existing procedures, has to report the sTTI/sPT capability even when the requesting eNB is not sTTI capable or even </w:t>
      </w:r>
      <w:r w:rsidR="007E3EEA">
        <w:rPr>
          <w:b/>
        </w:rPr>
        <w:t xml:space="preserve">not </w:t>
      </w:r>
      <w:r w:rsidRPr="007E3EEA">
        <w:rPr>
          <w:b/>
        </w:rPr>
        <w:t xml:space="preserve">upgraded to rel-15. </w:t>
      </w:r>
    </w:p>
    <w:p w14:paraId="1606240A" w14:textId="4E4050C7" w:rsidR="005A00F1" w:rsidRDefault="005A00F1" w:rsidP="000E3EF3">
      <w:r>
        <w:t>This can result in the transfer of large capability size out of which many IEs are not used by the eNB or in cases, even not comprehended by the eNB.</w:t>
      </w:r>
    </w:p>
    <w:p w14:paraId="272F0949" w14:textId="077A2F7F" w:rsidR="007E3EEA" w:rsidRDefault="007E3EEA" w:rsidP="000E3EF3">
      <w:r>
        <w:t>With skipFallback feature, due to addition of sTTI/sPT capabilities, the chances of UEs supporting differing lower order CA capabilities is much higher. And since the UE just reports a single bit to indicate that the lower order CA BCs have differing capabilities, the NWs which are not interested in sTTI/sPT</w:t>
      </w:r>
      <w:r w:rsidR="0013602B">
        <w:t>, are not aware that the differing capabilities could be from sTTI/sPT. This can result in increased signalling between the UEs and eNB.</w:t>
      </w:r>
    </w:p>
    <w:p w14:paraId="757CCE89" w14:textId="1347D242" w:rsidR="0013602B" w:rsidRPr="0013602B" w:rsidRDefault="0013602B" w:rsidP="000E3EF3">
      <w:pPr>
        <w:rPr>
          <w:b/>
        </w:rPr>
      </w:pPr>
      <w:r w:rsidRPr="0013602B">
        <w:rPr>
          <w:b/>
        </w:rPr>
        <w:t>Observation</w:t>
      </w:r>
      <w:r w:rsidR="00145B95">
        <w:rPr>
          <w:b/>
        </w:rPr>
        <w:t xml:space="preserve"> </w:t>
      </w:r>
      <w:r w:rsidRPr="0013602B">
        <w:rPr>
          <w:b/>
        </w:rPr>
        <w:t>2: skipFallback feature can result in increased signalling between the UE and eNB due to differing capabilities between the higher order CA and lower order CA BCs where the chances are more of differing lower order capabilities due to sTTI/sPT feature. And this increase of capability signalling exchange between eNB and UE is not useful if the eNB does not support sTTI/sPT.</w:t>
      </w:r>
    </w:p>
    <w:p w14:paraId="37CDBD60" w14:textId="1EB1423B" w:rsidR="00145B95" w:rsidRDefault="00145B95" w:rsidP="000E3EF3">
      <w:r>
        <w:t>Also, with introduction of sTTI/sPT capability signalling based on the CA BCs reported, if the UE repeats the CA BCs to provide the different set of sTTI/sPT capabilities (for the same CA BC), the eNB which does not comprehend the sTTI/sPT IEs would see the BCs repeated in the UE capabilities which can lead to ambiguity.</w:t>
      </w:r>
    </w:p>
    <w:p w14:paraId="0906F487" w14:textId="493F0FA4" w:rsidR="00145B95" w:rsidRPr="00145B95" w:rsidRDefault="00145B95" w:rsidP="000E3EF3">
      <w:pPr>
        <w:rPr>
          <w:b/>
        </w:rPr>
      </w:pPr>
      <w:r w:rsidRPr="00145B95">
        <w:rPr>
          <w:b/>
        </w:rPr>
        <w:t xml:space="preserve">Observation 3: With introduction of sTTI/sPT capability signalling based on the CA BCs reported, if the UE repeats the CA BCs to provide the different set of sTTI/sPT capabilities (for the same CA BC), the eNB which </w:t>
      </w:r>
      <w:r w:rsidRPr="00145B95">
        <w:rPr>
          <w:b/>
        </w:rPr>
        <w:lastRenderedPageBreak/>
        <w:t>does not comprehend the sTTI/sPT IEs would see the BCs repeated in the UE capabilities which can lead to ambiguity.</w:t>
      </w:r>
    </w:p>
    <w:p w14:paraId="1467BDDC" w14:textId="3F33B706" w:rsidR="005A00F1" w:rsidRDefault="005A00F1" w:rsidP="000E3EF3">
      <w:r>
        <w:t xml:space="preserve">To avoid this, we propose that </w:t>
      </w:r>
      <w:r w:rsidR="00B336F6">
        <w:t xml:space="preserve">from rel-15, the eNBs explicitly request the capabilities for rel-15 features that RAN2 identifies (for eg sTTI) and </w:t>
      </w:r>
      <w:r>
        <w:t xml:space="preserve">only the eNBs which actually support </w:t>
      </w:r>
      <w:r w:rsidR="00B336F6">
        <w:t xml:space="preserve">or are interested in these features,  </w:t>
      </w:r>
      <w:r>
        <w:t xml:space="preserve">feature explicitly request for this capability in the UECapabilityEnquiry message. And that the UE reports </w:t>
      </w:r>
      <w:r w:rsidR="00B336F6">
        <w:t xml:space="preserve">the full detailed capability for the identified rel-15 features </w:t>
      </w:r>
      <w:r>
        <w:t>only when requested.</w:t>
      </w:r>
    </w:p>
    <w:p w14:paraId="68F8473E" w14:textId="12443139" w:rsidR="00B336F6" w:rsidRDefault="00B336F6" w:rsidP="00B336F6">
      <w:pPr>
        <w:rPr>
          <w:b/>
        </w:rPr>
      </w:pPr>
      <w:r w:rsidRPr="005A00F1">
        <w:rPr>
          <w:b/>
        </w:rPr>
        <w:t xml:space="preserve">Proposal </w:t>
      </w:r>
      <w:r>
        <w:rPr>
          <w:b/>
        </w:rPr>
        <w:t>1</w:t>
      </w:r>
      <w:r w:rsidRPr="005A00F1">
        <w:rPr>
          <w:b/>
        </w:rPr>
        <w:t xml:space="preserve">: </w:t>
      </w:r>
      <w:r>
        <w:rPr>
          <w:b/>
        </w:rPr>
        <w:t xml:space="preserve">RAN2 to agree that from rel-15, the eNBs shall explicitly request for capability of certain rel-15 </w:t>
      </w:r>
      <w:r w:rsidR="00FA7F5A">
        <w:rPr>
          <w:b/>
        </w:rPr>
        <w:t xml:space="preserve">optional </w:t>
      </w:r>
      <w:r>
        <w:rPr>
          <w:b/>
        </w:rPr>
        <w:t xml:space="preserve">features </w:t>
      </w:r>
      <w:r w:rsidR="00FA7F5A">
        <w:rPr>
          <w:b/>
        </w:rPr>
        <w:t>and t</w:t>
      </w:r>
      <w:r>
        <w:rPr>
          <w:b/>
        </w:rPr>
        <w:t>he UE reports the full set of capabilities</w:t>
      </w:r>
      <w:r w:rsidR="00FA7F5A">
        <w:rPr>
          <w:b/>
        </w:rPr>
        <w:t xml:space="preserve"> for these features</w:t>
      </w:r>
      <w:r>
        <w:rPr>
          <w:b/>
        </w:rPr>
        <w:t xml:space="preserve"> only when the eNB </w:t>
      </w:r>
      <w:r w:rsidRPr="005A00F1">
        <w:rPr>
          <w:b/>
        </w:rPr>
        <w:t>explicitly request</w:t>
      </w:r>
      <w:r>
        <w:rPr>
          <w:b/>
        </w:rPr>
        <w:t>s</w:t>
      </w:r>
      <w:r w:rsidRPr="005A00F1">
        <w:rPr>
          <w:b/>
        </w:rPr>
        <w:t xml:space="preserve"> in t</w:t>
      </w:r>
      <w:r w:rsidR="00FA7F5A">
        <w:rPr>
          <w:b/>
        </w:rPr>
        <w:t>he UECapabilityEnquiry</w:t>
      </w:r>
      <w:r>
        <w:rPr>
          <w:b/>
        </w:rPr>
        <w:t>.</w:t>
      </w:r>
    </w:p>
    <w:p w14:paraId="10756863" w14:textId="55CA130A" w:rsidR="009E10E4" w:rsidRDefault="009E10E4" w:rsidP="000E3EF3">
      <w:pPr>
        <w:rPr>
          <w:b/>
        </w:rPr>
      </w:pPr>
      <w:r>
        <w:t>This way of reporting partial capabilities may cause issues in cases where the capabilities are transferred across eNBs, as the target eNB may not be aware that the UE support</w:t>
      </w:r>
      <w:r w:rsidR="00FA7F5A">
        <w:t>s</w:t>
      </w:r>
      <w:r>
        <w:t xml:space="preserve"> </w:t>
      </w:r>
      <w:r w:rsidR="00FA7F5A">
        <w:t xml:space="preserve">the RAN2 identified rel-15 features (like </w:t>
      </w:r>
      <w:r>
        <w:t>sTTI/sPT</w:t>
      </w:r>
      <w:r w:rsidR="00FA7F5A">
        <w:t>)</w:t>
      </w:r>
      <w:r>
        <w:t xml:space="preserve"> if the source eNB has not asked for this capability. To address this, the UE </w:t>
      </w:r>
      <w:r w:rsidRPr="00FA7F5A">
        <w:rPr>
          <w:b/>
          <w:highlight w:val="yellow"/>
        </w:rPr>
        <w:t>always</w:t>
      </w:r>
      <w:r>
        <w:t xml:space="preserve"> reports the support of </w:t>
      </w:r>
      <w:r w:rsidR="00FA7F5A">
        <w:t xml:space="preserve">the RAN2 identified rel-15 features </w:t>
      </w:r>
      <w:r>
        <w:t xml:space="preserve">using </w:t>
      </w:r>
      <w:r w:rsidR="00FA7F5A">
        <w:t>an additional enumerated</w:t>
      </w:r>
      <w:r>
        <w:t xml:space="preserve"> field, which is always set whenever the UE reports it’s capability to the eNB.</w:t>
      </w:r>
    </w:p>
    <w:p w14:paraId="07A35254" w14:textId="637898D7" w:rsidR="005328DA" w:rsidRPr="005328DA" w:rsidRDefault="005328DA" w:rsidP="000E3EF3">
      <w:r w:rsidRPr="005328DA">
        <w:t>Even when the full sTTI/sPT related capabilities are not provided by the UE, the stored capability in the eNB or MME would be tagged with the field ‘sTTI-sPT-supported-r15‘ that can be used by the target eNBs to know that the UE supports these features and if needed can request them from the UE.</w:t>
      </w:r>
    </w:p>
    <w:p w14:paraId="16A6C32E" w14:textId="7E7D9C9F" w:rsidR="00FA7F5A" w:rsidRDefault="00FA7F5A" w:rsidP="00FA7F5A">
      <w:pPr>
        <w:rPr>
          <w:b/>
        </w:rPr>
      </w:pPr>
      <w:r>
        <w:rPr>
          <w:b/>
        </w:rPr>
        <w:t>Proposal 2: For the RAN2 identified rel-15 optional features where capabilities are to be explicitly requested by the NW, t</w:t>
      </w:r>
      <w:r w:rsidRPr="004E5BDD">
        <w:rPr>
          <w:b/>
        </w:rPr>
        <w:t xml:space="preserve">he UE </w:t>
      </w:r>
      <w:r>
        <w:rPr>
          <w:b/>
        </w:rPr>
        <w:t xml:space="preserve">always </w:t>
      </w:r>
      <w:r w:rsidRPr="004E5BDD">
        <w:rPr>
          <w:b/>
        </w:rPr>
        <w:t xml:space="preserve">reports the support of </w:t>
      </w:r>
      <w:r>
        <w:rPr>
          <w:b/>
        </w:rPr>
        <w:t>these</w:t>
      </w:r>
      <w:r w:rsidRPr="004E5BDD">
        <w:rPr>
          <w:b/>
        </w:rPr>
        <w:t xml:space="preserve"> </w:t>
      </w:r>
      <w:r>
        <w:rPr>
          <w:b/>
        </w:rPr>
        <w:t>features using a enumerated field whenever the UE has to provide the UE capabilities to the NW. These enumerated capability fields are provided by the UE in capability reporting irrespective of whether the NW has asked for the capability of these features.</w:t>
      </w:r>
    </w:p>
    <w:p w14:paraId="4A6EC5CA" w14:textId="03A46298" w:rsidR="00FA7F5A" w:rsidRPr="007E630A" w:rsidRDefault="007E630A" w:rsidP="009E10E4">
      <w:r>
        <w:t>Due to the above observations, w</w:t>
      </w:r>
      <w:r w:rsidRPr="007E630A">
        <w:t xml:space="preserve">e </w:t>
      </w:r>
      <w:r>
        <w:t>propose that sTTI/sPT feature be included in such special rel-15 features.</w:t>
      </w:r>
    </w:p>
    <w:p w14:paraId="56567041" w14:textId="4FE69D89" w:rsidR="00A72F81" w:rsidRDefault="00A72F81" w:rsidP="00A72F81">
      <w:pPr>
        <w:rPr>
          <w:b/>
        </w:rPr>
      </w:pPr>
      <w:r w:rsidRPr="005A00F1">
        <w:rPr>
          <w:b/>
        </w:rPr>
        <w:t xml:space="preserve">Proposal </w:t>
      </w:r>
      <w:r>
        <w:rPr>
          <w:b/>
        </w:rPr>
        <w:t>3</w:t>
      </w:r>
      <w:r w:rsidRPr="005A00F1">
        <w:rPr>
          <w:b/>
        </w:rPr>
        <w:t xml:space="preserve">: </w:t>
      </w:r>
      <w:r>
        <w:rPr>
          <w:b/>
        </w:rPr>
        <w:t>RAN2 to agree that sTTI/sPT feature to be one of the special optional rel-15 features, where the UE reports the full capabilities of this feature only when the NW explicitly requests for it.</w:t>
      </w:r>
    </w:p>
    <w:p w14:paraId="5D366D9B" w14:textId="589209D4" w:rsidR="00A72F81" w:rsidRDefault="00A72F81" w:rsidP="00A72F81">
      <w:pPr>
        <w:rPr>
          <w:b/>
        </w:rPr>
      </w:pPr>
      <w:r>
        <w:rPr>
          <w:b/>
        </w:rPr>
        <w:tab/>
        <w:t>Proposal 3a: The UE always reports the support of sTTI/sPT feature in capability message using a single enumerated field ‘</w:t>
      </w:r>
      <w:r w:rsidRPr="004E5BDD">
        <w:rPr>
          <w:b/>
        </w:rPr>
        <w:t>sTTI-sPT-supported-r15</w:t>
      </w:r>
      <w:r>
        <w:rPr>
          <w:b/>
        </w:rPr>
        <w:t>’.</w:t>
      </w:r>
    </w:p>
    <w:p w14:paraId="035C2F40" w14:textId="77777777" w:rsidR="00F4581B" w:rsidRPr="001852E7" w:rsidRDefault="00F4581B" w:rsidP="00F4581B">
      <w:pPr>
        <w:rPr>
          <w:b/>
        </w:rPr>
      </w:pPr>
    </w:p>
    <w:p w14:paraId="028D5137" w14:textId="77777777" w:rsidR="00F4581B" w:rsidRDefault="00F4581B" w:rsidP="00F4581B">
      <w:pPr>
        <w:pStyle w:val="Heading1"/>
      </w:pPr>
      <w:r>
        <w:t>3</w:t>
      </w:r>
      <w:r>
        <w:tab/>
        <w:t>Conclusion</w:t>
      </w:r>
    </w:p>
    <w:p w14:paraId="74839209" w14:textId="77777777" w:rsidR="00BC6BC2" w:rsidRPr="007E3EEA" w:rsidRDefault="00BC6BC2" w:rsidP="00BC6BC2">
      <w:pPr>
        <w:rPr>
          <w:b/>
        </w:rPr>
      </w:pPr>
      <w:r w:rsidRPr="007E3EEA">
        <w:rPr>
          <w:b/>
        </w:rPr>
        <w:t xml:space="preserve">Observation 1: UE reports </w:t>
      </w:r>
      <w:r>
        <w:rPr>
          <w:b/>
        </w:rPr>
        <w:t>the</w:t>
      </w:r>
      <w:r w:rsidRPr="007E3EEA">
        <w:rPr>
          <w:b/>
        </w:rPr>
        <w:t xml:space="preserve"> total capability whenever the capability request is provided by the NW, which includes sTTI/sPT capability. A release-15 UE using the existing procedures, has to report the sTTI/sPT capability even when the requesting eNB is not sTTI capable or even </w:t>
      </w:r>
      <w:r>
        <w:rPr>
          <w:b/>
        </w:rPr>
        <w:t xml:space="preserve">not </w:t>
      </w:r>
      <w:r w:rsidRPr="007E3EEA">
        <w:rPr>
          <w:b/>
        </w:rPr>
        <w:t xml:space="preserve">upgraded to rel-15. </w:t>
      </w:r>
    </w:p>
    <w:p w14:paraId="10414250" w14:textId="77777777" w:rsidR="00BC6BC2" w:rsidRPr="0013602B" w:rsidRDefault="00BC6BC2" w:rsidP="00BC6BC2">
      <w:pPr>
        <w:rPr>
          <w:b/>
        </w:rPr>
      </w:pPr>
      <w:r w:rsidRPr="0013602B">
        <w:rPr>
          <w:b/>
        </w:rPr>
        <w:t>Observation</w:t>
      </w:r>
      <w:r>
        <w:rPr>
          <w:b/>
        </w:rPr>
        <w:t xml:space="preserve"> </w:t>
      </w:r>
      <w:r w:rsidRPr="0013602B">
        <w:rPr>
          <w:b/>
        </w:rPr>
        <w:t>2: skipFallback feature can result in increased signalling between the UE and eNB due to differing capabilities between the higher order CA and lower order CA BCs where the chances are more of differing lower order capabilities due to sTTI/sPT feature. And this increase of capability signalling exchange between eNB and UE is not useful if the eNB does not support sTTI/sPT.</w:t>
      </w:r>
    </w:p>
    <w:p w14:paraId="4E1BCBB0" w14:textId="77777777" w:rsidR="00BC6BC2" w:rsidRPr="00145B95" w:rsidRDefault="00BC6BC2" w:rsidP="00BC6BC2">
      <w:pPr>
        <w:rPr>
          <w:b/>
        </w:rPr>
      </w:pPr>
      <w:r w:rsidRPr="00145B95">
        <w:rPr>
          <w:b/>
        </w:rPr>
        <w:t>Observation 3: With introduction of sTTI/sPT capability signalling based on the CA BCs reported, if the UE repeats the CA BCs to provide the different set of sTTI/sPT capabilities (for the same CA BC), the eNB which does not comprehend the sTTI/sPT IEs would see the BCs repeated in the UE capabilities which can lead to ambiguity.</w:t>
      </w:r>
    </w:p>
    <w:p w14:paraId="7D59AE60" w14:textId="77777777" w:rsidR="00BC6BC2" w:rsidRDefault="00BC6BC2" w:rsidP="00BC6BC2">
      <w:pPr>
        <w:rPr>
          <w:b/>
        </w:rPr>
      </w:pPr>
    </w:p>
    <w:p w14:paraId="1ADADCD7" w14:textId="77777777" w:rsidR="00BC6BC2" w:rsidRDefault="00BC6BC2" w:rsidP="00BC6BC2">
      <w:pPr>
        <w:rPr>
          <w:b/>
        </w:rPr>
      </w:pPr>
      <w:r w:rsidRPr="005A00F1">
        <w:rPr>
          <w:b/>
        </w:rPr>
        <w:t xml:space="preserve">Proposal </w:t>
      </w:r>
      <w:r>
        <w:rPr>
          <w:b/>
        </w:rPr>
        <w:t>1</w:t>
      </w:r>
      <w:r w:rsidRPr="005A00F1">
        <w:rPr>
          <w:b/>
        </w:rPr>
        <w:t xml:space="preserve">: </w:t>
      </w:r>
      <w:r>
        <w:rPr>
          <w:b/>
        </w:rPr>
        <w:t xml:space="preserve">RAN2 to agree that from rel-15, the eNBs shall explicitly request for capability of certain rel-15 optional features and the UE reports the full set of capabilities for these features only when the eNB </w:t>
      </w:r>
      <w:r w:rsidRPr="005A00F1">
        <w:rPr>
          <w:b/>
        </w:rPr>
        <w:t>explicitly request</w:t>
      </w:r>
      <w:r>
        <w:rPr>
          <w:b/>
        </w:rPr>
        <w:t>s</w:t>
      </w:r>
      <w:r w:rsidRPr="005A00F1">
        <w:rPr>
          <w:b/>
        </w:rPr>
        <w:t xml:space="preserve"> in t</w:t>
      </w:r>
      <w:r>
        <w:rPr>
          <w:b/>
        </w:rPr>
        <w:t>he UECapabilityEnquiry.</w:t>
      </w:r>
    </w:p>
    <w:p w14:paraId="77C0D0F2" w14:textId="77777777" w:rsidR="00BC6BC2" w:rsidRDefault="00BC6BC2" w:rsidP="00BC6BC2">
      <w:pPr>
        <w:rPr>
          <w:b/>
        </w:rPr>
      </w:pPr>
      <w:r>
        <w:rPr>
          <w:b/>
        </w:rPr>
        <w:lastRenderedPageBreak/>
        <w:t>Proposal 2: For the RAN2 identified rel-15 optional features where capabilities are to be explicitly requested by the NW, t</w:t>
      </w:r>
      <w:r w:rsidRPr="004E5BDD">
        <w:rPr>
          <w:b/>
        </w:rPr>
        <w:t xml:space="preserve">he UE </w:t>
      </w:r>
      <w:r>
        <w:rPr>
          <w:b/>
        </w:rPr>
        <w:t xml:space="preserve">always </w:t>
      </w:r>
      <w:r w:rsidRPr="004E5BDD">
        <w:rPr>
          <w:b/>
        </w:rPr>
        <w:t xml:space="preserve">reports the support of </w:t>
      </w:r>
      <w:r>
        <w:rPr>
          <w:b/>
        </w:rPr>
        <w:t>these</w:t>
      </w:r>
      <w:r w:rsidRPr="004E5BDD">
        <w:rPr>
          <w:b/>
        </w:rPr>
        <w:t xml:space="preserve"> </w:t>
      </w:r>
      <w:r>
        <w:rPr>
          <w:b/>
        </w:rPr>
        <w:t>features using a enumerated field whenever the UE has to provide the UE capabilities to the NW. These enumerated capability fields are provided by the UE in capability reporting irrespective of whether the NW has asked for the capability of these features.</w:t>
      </w:r>
    </w:p>
    <w:p w14:paraId="4A9168BE" w14:textId="77777777" w:rsidR="00BC6BC2" w:rsidRDefault="00BC6BC2" w:rsidP="00BC6BC2">
      <w:pPr>
        <w:rPr>
          <w:b/>
        </w:rPr>
      </w:pPr>
      <w:r w:rsidRPr="005A00F1">
        <w:rPr>
          <w:b/>
        </w:rPr>
        <w:t xml:space="preserve">Proposal </w:t>
      </w:r>
      <w:r>
        <w:rPr>
          <w:b/>
        </w:rPr>
        <w:t>3</w:t>
      </w:r>
      <w:r w:rsidRPr="005A00F1">
        <w:rPr>
          <w:b/>
        </w:rPr>
        <w:t xml:space="preserve">: </w:t>
      </w:r>
      <w:r>
        <w:rPr>
          <w:b/>
        </w:rPr>
        <w:t>RAN2 to agree that sTTI/sPT feature to be one of the special optional rel-15 features, where the UE reports the full capabilities of this feature only when the NW explicitly requests for it.</w:t>
      </w:r>
    </w:p>
    <w:p w14:paraId="476C1338" w14:textId="77777777" w:rsidR="00BC6BC2" w:rsidRDefault="00BC6BC2" w:rsidP="00BC6BC2">
      <w:pPr>
        <w:rPr>
          <w:b/>
        </w:rPr>
      </w:pPr>
      <w:r>
        <w:rPr>
          <w:b/>
        </w:rPr>
        <w:tab/>
        <w:t>Proposal 3a: The UE always reports the support of sTTI/sPT feature in capability message using a single enumerated field ‘</w:t>
      </w:r>
      <w:r w:rsidRPr="004E5BDD">
        <w:rPr>
          <w:b/>
        </w:rPr>
        <w:t>sTTI-sPT-supported-r15</w:t>
      </w:r>
      <w:r>
        <w:rPr>
          <w:b/>
        </w:rPr>
        <w:t>’.</w:t>
      </w:r>
    </w:p>
    <w:p w14:paraId="25AF255F" w14:textId="77777777" w:rsidR="00F4581B" w:rsidRPr="001852E7" w:rsidRDefault="00F4581B" w:rsidP="00F4581B">
      <w:pPr>
        <w:rPr>
          <w:b/>
        </w:rPr>
      </w:pPr>
    </w:p>
    <w:p w14:paraId="4B397538" w14:textId="6A9245BF" w:rsidR="00F4581B" w:rsidRDefault="00F4581B" w:rsidP="00F4581B">
      <w:pPr>
        <w:pStyle w:val="Heading1"/>
      </w:pPr>
      <w:r>
        <w:t>4</w:t>
      </w:r>
      <w:r>
        <w:tab/>
        <w:t>References</w:t>
      </w:r>
    </w:p>
    <w:p w14:paraId="5E832AFF" w14:textId="01C3F360" w:rsidR="00F4581B" w:rsidRDefault="00F4581B" w:rsidP="00F4581B">
      <w:r>
        <w:t xml:space="preserve">[1] </w:t>
      </w:r>
      <w:hyperlink r:id="rId12" w:tooltip="C:Data3GPPExtractsR2-1802805.docx" w:history="1">
        <w:r w:rsidR="00B336F6">
          <w:rPr>
            <w:rStyle w:val="Hyperlink"/>
          </w:rPr>
          <w:t>R2-1802805</w:t>
        </w:r>
      </w:hyperlink>
      <w:r w:rsidR="00B336F6">
        <w:tab/>
        <w:t>Unexpected connection releases after UE capability signalling</w:t>
      </w:r>
      <w:r w:rsidR="00B336F6">
        <w:tab/>
        <w:t>Huawei, HiSilicon</w:t>
      </w:r>
    </w:p>
    <w:p w14:paraId="685E1CD7" w14:textId="4F3E063B" w:rsidR="00DB27C9" w:rsidRDefault="00DB27C9" w:rsidP="00F4581B">
      <w:r>
        <w:t xml:space="preserve">[2] CR 36.331 – R2-1811850 </w:t>
      </w:r>
      <w:r w:rsidR="00FF2301">
        <w:rPr>
          <w:rFonts w:cs="Arial"/>
          <w:lang w:val="en-US"/>
        </w:rPr>
        <w:t>Rel-15 UE capability reporting framework</w:t>
      </w:r>
    </w:p>
    <w:p w14:paraId="62FC6180" w14:textId="1981F262" w:rsidR="00DB27C9" w:rsidRPr="00F4581B" w:rsidRDefault="00DB27C9" w:rsidP="00F4581B">
      <w:r>
        <w:t xml:space="preserve">[3] </w:t>
      </w:r>
      <w:bookmarkStart w:id="6" w:name="_GoBack"/>
      <w:bookmarkEnd w:id="6"/>
      <w:r>
        <w:t>CR 36.306 – R2-1811851</w:t>
      </w:r>
      <w:r w:rsidR="00FF2301">
        <w:t xml:space="preserve"> </w:t>
      </w:r>
      <w:r w:rsidR="00FF2301">
        <w:rPr>
          <w:rFonts w:cs="Arial"/>
          <w:lang w:val="en-US"/>
        </w:rPr>
        <w:t>Rel-15 UE capability reporting framework</w:t>
      </w:r>
    </w:p>
    <w:bookmarkEnd w:id="0"/>
    <w:bookmarkEnd w:id="1"/>
    <w:bookmarkEnd w:id="2"/>
    <w:bookmarkEnd w:id="3"/>
    <w:bookmarkEnd w:id="4"/>
    <w:bookmarkEnd w:id="5"/>
    <w:p w14:paraId="712C6272" w14:textId="77777777" w:rsidR="00F4581B" w:rsidRDefault="00F4581B" w:rsidP="00F4581B"/>
    <w:sectPr w:rsidR="00F4581B"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08A3E" w14:textId="77777777" w:rsidR="00FE0FF3" w:rsidRDefault="00FE0FF3" w:rsidP="007846FF">
      <w:pPr>
        <w:spacing w:after="0" w:line="240" w:lineRule="auto"/>
      </w:pPr>
      <w:r>
        <w:separator/>
      </w:r>
    </w:p>
  </w:endnote>
  <w:endnote w:type="continuationSeparator" w:id="0">
    <w:p w14:paraId="21BBB315" w14:textId="77777777" w:rsidR="00FE0FF3" w:rsidRDefault="00FE0FF3"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B578B" w14:textId="77777777" w:rsidR="00FE0FF3" w:rsidRDefault="00FE0FF3" w:rsidP="007846FF">
      <w:pPr>
        <w:spacing w:after="0" w:line="240" w:lineRule="auto"/>
      </w:pPr>
      <w:r>
        <w:separator/>
      </w:r>
    </w:p>
  </w:footnote>
  <w:footnote w:type="continuationSeparator" w:id="0">
    <w:p w14:paraId="198C9716" w14:textId="77777777" w:rsidR="00FE0FF3" w:rsidRDefault="00FE0FF3"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E7B76"/>
    <w:multiLevelType w:val="hybridMultilevel"/>
    <w:tmpl w:val="00562D36"/>
    <w:lvl w:ilvl="0" w:tplc="786E8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8"/>
  </w:num>
  <w:num w:numId="4">
    <w:abstractNumId w:val="3"/>
  </w:num>
  <w:num w:numId="5">
    <w:abstractNumId w:val="7"/>
  </w:num>
  <w:num w:numId="6">
    <w:abstractNumId w:val="13"/>
  </w:num>
  <w:num w:numId="7">
    <w:abstractNumId w:val="2"/>
  </w:num>
  <w:num w:numId="8">
    <w:abstractNumId w:val="1"/>
  </w:num>
  <w:num w:numId="9">
    <w:abstractNumId w:val="0"/>
  </w:num>
  <w:num w:numId="10">
    <w:abstractNumId w:val="5"/>
  </w:num>
  <w:num w:numId="11">
    <w:abstractNumId w:val="8"/>
  </w:num>
  <w:num w:numId="12">
    <w:abstractNumId w:val="11"/>
  </w:num>
  <w:num w:numId="13">
    <w:abstractNumId w:val="11"/>
  </w:num>
  <w:num w:numId="14">
    <w:abstractNumId w:val="12"/>
  </w:num>
  <w:num w:numId="15">
    <w:abstractNumId w:val="6"/>
  </w:num>
  <w:num w:numId="16">
    <w:abstractNumId w:val="17"/>
  </w:num>
  <w:num w:numId="17">
    <w:abstractNumId w:val="12"/>
  </w:num>
  <w:num w:numId="18">
    <w:abstractNumId w:val="19"/>
  </w:num>
  <w:num w:numId="19">
    <w:abstractNumId w:val="20"/>
  </w:num>
  <w:num w:numId="20">
    <w:abstractNumId w:val="4"/>
  </w:num>
  <w:num w:numId="21">
    <w:abstractNumId w:val="14"/>
  </w:num>
  <w:num w:numId="22">
    <w:abstractNumId w:val="1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680"/>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1F36"/>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334"/>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4DBB"/>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504F"/>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16B"/>
    <w:rsid w:val="000E0A21"/>
    <w:rsid w:val="000E0E18"/>
    <w:rsid w:val="000E12C3"/>
    <w:rsid w:val="000E1F40"/>
    <w:rsid w:val="000E2573"/>
    <w:rsid w:val="000E2BBF"/>
    <w:rsid w:val="000E378A"/>
    <w:rsid w:val="000E3C77"/>
    <w:rsid w:val="000E3EF3"/>
    <w:rsid w:val="000E4C11"/>
    <w:rsid w:val="000F2AB8"/>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02B"/>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5B95"/>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1A02"/>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409"/>
    <w:rsid w:val="001B7936"/>
    <w:rsid w:val="001B7E77"/>
    <w:rsid w:val="001C0012"/>
    <w:rsid w:val="001C0E06"/>
    <w:rsid w:val="001C106A"/>
    <w:rsid w:val="001C1125"/>
    <w:rsid w:val="001C1200"/>
    <w:rsid w:val="001C1591"/>
    <w:rsid w:val="001C19FA"/>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0E1F"/>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76D"/>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2F"/>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0E15"/>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CD"/>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A6CE7"/>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BF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56E5"/>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545A"/>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0789"/>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BB8"/>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5BDD"/>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28DA"/>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0F1"/>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699"/>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186"/>
    <w:rsid w:val="005F47D3"/>
    <w:rsid w:val="005F5300"/>
    <w:rsid w:val="005F5643"/>
    <w:rsid w:val="005F600A"/>
    <w:rsid w:val="005F6531"/>
    <w:rsid w:val="005F6601"/>
    <w:rsid w:val="005F687D"/>
    <w:rsid w:val="005F7FB4"/>
    <w:rsid w:val="0060001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BB3"/>
    <w:rsid w:val="00614FDF"/>
    <w:rsid w:val="0061593B"/>
    <w:rsid w:val="00615F71"/>
    <w:rsid w:val="00616831"/>
    <w:rsid w:val="00616B6C"/>
    <w:rsid w:val="00617242"/>
    <w:rsid w:val="006173FD"/>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2B4"/>
    <w:rsid w:val="007777FA"/>
    <w:rsid w:val="007779AF"/>
    <w:rsid w:val="007779C0"/>
    <w:rsid w:val="00777D65"/>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682C"/>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3EEA"/>
    <w:rsid w:val="007E5197"/>
    <w:rsid w:val="007E5A68"/>
    <w:rsid w:val="007E630A"/>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174E0"/>
    <w:rsid w:val="0082081F"/>
    <w:rsid w:val="00820D6A"/>
    <w:rsid w:val="00820EC0"/>
    <w:rsid w:val="00821442"/>
    <w:rsid w:val="008215CA"/>
    <w:rsid w:val="00822971"/>
    <w:rsid w:val="00823B4E"/>
    <w:rsid w:val="00824482"/>
    <w:rsid w:val="00824528"/>
    <w:rsid w:val="00825119"/>
    <w:rsid w:val="00827B3F"/>
    <w:rsid w:val="0083075A"/>
    <w:rsid w:val="00830849"/>
    <w:rsid w:val="00831DAC"/>
    <w:rsid w:val="008320DD"/>
    <w:rsid w:val="0083231B"/>
    <w:rsid w:val="008325C2"/>
    <w:rsid w:val="008332AE"/>
    <w:rsid w:val="0083386C"/>
    <w:rsid w:val="00833A34"/>
    <w:rsid w:val="008360F8"/>
    <w:rsid w:val="008362C4"/>
    <w:rsid w:val="00836535"/>
    <w:rsid w:val="008417D6"/>
    <w:rsid w:val="00841B16"/>
    <w:rsid w:val="00841BCD"/>
    <w:rsid w:val="00843537"/>
    <w:rsid w:val="00843656"/>
    <w:rsid w:val="00844F25"/>
    <w:rsid w:val="008464A3"/>
    <w:rsid w:val="00846AB8"/>
    <w:rsid w:val="00846EB4"/>
    <w:rsid w:val="00846F0C"/>
    <w:rsid w:val="0084713B"/>
    <w:rsid w:val="00847376"/>
    <w:rsid w:val="00850600"/>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16F"/>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46F"/>
    <w:rsid w:val="008C5B51"/>
    <w:rsid w:val="008C5D1F"/>
    <w:rsid w:val="008C66F7"/>
    <w:rsid w:val="008C709C"/>
    <w:rsid w:val="008D0DF4"/>
    <w:rsid w:val="008D1BC6"/>
    <w:rsid w:val="008D1F9A"/>
    <w:rsid w:val="008D3801"/>
    <w:rsid w:val="008D5280"/>
    <w:rsid w:val="008D61AD"/>
    <w:rsid w:val="008D627D"/>
    <w:rsid w:val="008D62E9"/>
    <w:rsid w:val="008D7057"/>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82F"/>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5A6"/>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3BF7"/>
    <w:rsid w:val="00974BE5"/>
    <w:rsid w:val="00977850"/>
    <w:rsid w:val="00977C31"/>
    <w:rsid w:val="00977D61"/>
    <w:rsid w:val="009806C7"/>
    <w:rsid w:val="00980AE1"/>
    <w:rsid w:val="0098101A"/>
    <w:rsid w:val="00981962"/>
    <w:rsid w:val="00982366"/>
    <w:rsid w:val="00983320"/>
    <w:rsid w:val="00984AF3"/>
    <w:rsid w:val="00984C02"/>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0E4"/>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5A48"/>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18A"/>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2F81"/>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7E4"/>
    <w:rsid w:val="00A96B5F"/>
    <w:rsid w:val="00A97094"/>
    <w:rsid w:val="00A977A3"/>
    <w:rsid w:val="00AA03BB"/>
    <w:rsid w:val="00AA12D3"/>
    <w:rsid w:val="00AA1518"/>
    <w:rsid w:val="00AA179C"/>
    <w:rsid w:val="00AA20AF"/>
    <w:rsid w:val="00AA3C01"/>
    <w:rsid w:val="00AA3EFD"/>
    <w:rsid w:val="00AA4EF2"/>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34CC"/>
    <w:rsid w:val="00B14E3D"/>
    <w:rsid w:val="00B15449"/>
    <w:rsid w:val="00B1563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6F6"/>
    <w:rsid w:val="00B33815"/>
    <w:rsid w:val="00B33D62"/>
    <w:rsid w:val="00B353FE"/>
    <w:rsid w:val="00B368D6"/>
    <w:rsid w:val="00B3731A"/>
    <w:rsid w:val="00B4028A"/>
    <w:rsid w:val="00B406DA"/>
    <w:rsid w:val="00B40F26"/>
    <w:rsid w:val="00B41FCD"/>
    <w:rsid w:val="00B425D1"/>
    <w:rsid w:val="00B42C52"/>
    <w:rsid w:val="00B43D79"/>
    <w:rsid w:val="00B45084"/>
    <w:rsid w:val="00B4592A"/>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6BC2"/>
    <w:rsid w:val="00BC7192"/>
    <w:rsid w:val="00BD0695"/>
    <w:rsid w:val="00BD0859"/>
    <w:rsid w:val="00BD108E"/>
    <w:rsid w:val="00BD10DE"/>
    <w:rsid w:val="00BD124B"/>
    <w:rsid w:val="00BD2411"/>
    <w:rsid w:val="00BD3BE5"/>
    <w:rsid w:val="00BD3DA4"/>
    <w:rsid w:val="00BD5478"/>
    <w:rsid w:val="00BD5A63"/>
    <w:rsid w:val="00BD5B84"/>
    <w:rsid w:val="00BD65AA"/>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613"/>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2FB"/>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72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BB7"/>
    <w:rsid w:val="00D96CDC"/>
    <w:rsid w:val="00D974A3"/>
    <w:rsid w:val="00DA06B2"/>
    <w:rsid w:val="00DA18AA"/>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27C9"/>
    <w:rsid w:val="00DB38DA"/>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096"/>
    <w:rsid w:val="00DF76BA"/>
    <w:rsid w:val="00E00934"/>
    <w:rsid w:val="00E00990"/>
    <w:rsid w:val="00E011CE"/>
    <w:rsid w:val="00E0172F"/>
    <w:rsid w:val="00E028D9"/>
    <w:rsid w:val="00E029EA"/>
    <w:rsid w:val="00E03198"/>
    <w:rsid w:val="00E031E6"/>
    <w:rsid w:val="00E03275"/>
    <w:rsid w:val="00E03B62"/>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321"/>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4F83"/>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200"/>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B95"/>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37C3F"/>
    <w:rsid w:val="00F40177"/>
    <w:rsid w:val="00F40BA6"/>
    <w:rsid w:val="00F40E90"/>
    <w:rsid w:val="00F410FE"/>
    <w:rsid w:val="00F4150F"/>
    <w:rsid w:val="00F420F1"/>
    <w:rsid w:val="00F4500D"/>
    <w:rsid w:val="00F453AD"/>
    <w:rsid w:val="00F4581B"/>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3FE9"/>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CB7"/>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A7F5A"/>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376"/>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0FF3"/>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301"/>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179DD"/>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 w:type="character" w:customStyle="1" w:styleId="Doc-titleChar">
    <w:name w:val="Doc-title Char"/>
    <w:basedOn w:val="DefaultParagraphFont"/>
    <w:link w:val="Doc-title"/>
    <w:locked/>
    <w:rsid w:val="00D66726"/>
    <w:rPr>
      <w:rFonts w:ascii="Arial" w:hAnsi="Arial" w:cs="Arial"/>
    </w:rPr>
  </w:style>
  <w:style w:type="paragraph" w:customStyle="1" w:styleId="Doc-title">
    <w:name w:val="Doc-title"/>
    <w:basedOn w:val="Normal"/>
    <w:link w:val="Doc-titleChar"/>
    <w:rsid w:val="00D66726"/>
    <w:pPr>
      <w:spacing w:before="60" w:after="0" w:line="240" w:lineRule="auto"/>
      <w:ind w:left="1259" w:hanging="1259"/>
    </w:pPr>
    <w:rPr>
      <w:rFonts w:ascii="Arial" w:eastAsia="Batang" w:hAnsi="Arial" w:cs="Arial"/>
      <w:lang w:eastAsia="en-GB"/>
    </w:rPr>
  </w:style>
  <w:style w:type="paragraph" w:styleId="HTMLPreformatted">
    <w:name w:val="HTML Preformatted"/>
    <w:basedOn w:val="Normal"/>
    <w:link w:val="HTMLPreformattedChar"/>
    <w:uiPriority w:val="99"/>
    <w:semiHidden/>
    <w:unhideWhenUsed/>
    <w:rsid w:val="001C1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1C19FA"/>
    <w:rPr>
      <w:rFonts w:ascii="Courier New" w:eastAsia="Times New Roman" w:hAnsi="Courier New" w:cs="Courier New"/>
      <w:lang w:val="en-US" w:eastAsia="en-US"/>
    </w:rPr>
  </w:style>
  <w:style w:type="paragraph" w:customStyle="1" w:styleId="Default">
    <w:name w:val="Default"/>
    <w:rsid w:val="00600014"/>
    <w:pPr>
      <w:autoSpaceDE w:val="0"/>
      <w:autoSpaceDN w:val="0"/>
      <w:adjustRightInd w:val="0"/>
      <w:spacing w:after="0" w:line="240" w:lineRule="auto"/>
    </w:pPr>
    <w:rPr>
      <w:rFonts w:ascii="Intel Clear" w:hAnsi="Intel Clear" w:cs="Intel Clear"/>
      <w:color w:val="000000"/>
      <w:sz w:val="24"/>
      <w:szCs w:val="24"/>
      <w:lang w:val="en-US"/>
    </w:rPr>
  </w:style>
  <w:style w:type="character" w:customStyle="1" w:styleId="type">
    <w:name w:val="type"/>
    <w:basedOn w:val="DefaultParagraphFont"/>
    <w:rsid w:val="005328DA"/>
  </w:style>
  <w:style w:type="character" w:customStyle="1" w:styleId="opt">
    <w:name w:val="opt"/>
    <w:basedOn w:val="DefaultParagraphFont"/>
    <w:rsid w:val="005328DA"/>
  </w:style>
  <w:style w:type="character" w:customStyle="1" w:styleId="termtype">
    <w:name w:val="termtype"/>
    <w:basedOn w:val="DefaultParagraphFont"/>
    <w:rsid w:val="005328DA"/>
  </w:style>
  <w:style w:type="character" w:customStyle="1" w:styleId="optional">
    <w:name w:val="optional"/>
    <w:basedOn w:val="DefaultParagraphFont"/>
    <w:rsid w:val="005328DA"/>
  </w:style>
  <w:style w:type="character" w:customStyle="1" w:styleId="typeaux">
    <w:name w:val="type_aux"/>
    <w:basedOn w:val="DefaultParagraphFont"/>
    <w:rsid w:val="005328DA"/>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D56E5"/>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02603">
      <w:bodyDiv w:val="1"/>
      <w:marLeft w:val="0"/>
      <w:marRight w:val="0"/>
      <w:marTop w:val="0"/>
      <w:marBottom w:val="0"/>
      <w:divBdr>
        <w:top w:val="none" w:sz="0" w:space="0" w:color="auto"/>
        <w:left w:val="none" w:sz="0" w:space="0" w:color="auto"/>
        <w:bottom w:val="none" w:sz="0" w:space="0" w:color="auto"/>
        <w:right w:val="none" w:sz="0" w:space="0" w:color="auto"/>
      </w:divBdr>
    </w:div>
    <w:div w:id="201401440">
      <w:bodyDiv w:val="1"/>
      <w:marLeft w:val="0"/>
      <w:marRight w:val="0"/>
      <w:marTop w:val="0"/>
      <w:marBottom w:val="0"/>
      <w:divBdr>
        <w:top w:val="none" w:sz="0" w:space="0" w:color="auto"/>
        <w:left w:val="none" w:sz="0" w:space="0" w:color="auto"/>
        <w:bottom w:val="none" w:sz="0" w:space="0" w:color="auto"/>
        <w:right w:val="none" w:sz="0" w:space="0" w:color="auto"/>
      </w:divBdr>
    </w:div>
    <w:div w:id="238250348">
      <w:bodyDiv w:val="1"/>
      <w:marLeft w:val="0"/>
      <w:marRight w:val="0"/>
      <w:marTop w:val="0"/>
      <w:marBottom w:val="0"/>
      <w:divBdr>
        <w:top w:val="none" w:sz="0" w:space="0" w:color="auto"/>
        <w:left w:val="none" w:sz="0" w:space="0" w:color="auto"/>
        <w:bottom w:val="none" w:sz="0" w:space="0" w:color="auto"/>
        <w:right w:val="none" w:sz="0" w:space="0" w:color="auto"/>
      </w:divBdr>
    </w:div>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286666698">
      <w:bodyDiv w:val="1"/>
      <w:marLeft w:val="0"/>
      <w:marRight w:val="0"/>
      <w:marTop w:val="0"/>
      <w:marBottom w:val="0"/>
      <w:divBdr>
        <w:top w:val="none" w:sz="0" w:space="0" w:color="auto"/>
        <w:left w:val="none" w:sz="0" w:space="0" w:color="auto"/>
        <w:bottom w:val="none" w:sz="0" w:space="0" w:color="auto"/>
        <w:right w:val="none" w:sz="0" w:space="0" w:color="auto"/>
      </w:divBdr>
    </w:div>
    <w:div w:id="468744413">
      <w:bodyDiv w:val="1"/>
      <w:marLeft w:val="0"/>
      <w:marRight w:val="0"/>
      <w:marTop w:val="0"/>
      <w:marBottom w:val="0"/>
      <w:divBdr>
        <w:top w:val="none" w:sz="0" w:space="0" w:color="auto"/>
        <w:left w:val="none" w:sz="0" w:space="0" w:color="auto"/>
        <w:bottom w:val="none" w:sz="0" w:space="0" w:color="auto"/>
        <w:right w:val="none" w:sz="0" w:space="0" w:color="auto"/>
      </w:divBdr>
    </w:div>
    <w:div w:id="651371044">
      <w:bodyDiv w:val="1"/>
      <w:marLeft w:val="0"/>
      <w:marRight w:val="0"/>
      <w:marTop w:val="0"/>
      <w:marBottom w:val="0"/>
      <w:divBdr>
        <w:top w:val="none" w:sz="0" w:space="0" w:color="auto"/>
        <w:left w:val="none" w:sz="0" w:space="0" w:color="auto"/>
        <w:bottom w:val="none" w:sz="0" w:space="0" w:color="auto"/>
        <w:right w:val="none" w:sz="0" w:space="0" w:color="auto"/>
      </w:divBdr>
    </w:div>
    <w:div w:id="733502983">
      <w:bodyDiv w:val="1"/>
      <w:marLeft w:val="0"/>
      <w:marRight w:val="0"/>
      <w:marTop w:val="0"/>
      <w:marBottom w:val="0"/>
      <w:divBdr>
        <w:top w:val="none" w:sz="0" w:space="0" w:color="auto"/>
        <w:left w:val="none" w:sz="0" w:space="0" w:color="auto"/>
        <w:bottom w:val="none" w:sz="0" w:space="0" w:color="auto"/>
        <w:right w:val="none" w:sz="0" w:space="0" w:color="auto"/>
      </w:divBdr>
    </w:div>
    <w:div w:id="783811540">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472746764">
      <w:bodyDiv w:val="1"/>
      <w:marLeft w:val="0"/>
      <w:marRight w:val="0"/>
      <w:marTop w:val="0"/>
      <w:marBottom w:val="0"/>
      <w:divBdr>
        <w:top w:val="none" w:sz="0" w:space="0" w:color="auto"/>
        <w:left w:val="none" w:sz="0" w:space="0" w:color="auto"/>
        <w:bottom w:val="none" w:sz="0" w:space="0" w:color="auto"/>
        <w:right w:val="none" w:sz="0" w:space="0" w:color="auto"/>
      </w:divBdr>
    </w:div>
    <w:div w:id="1506288998">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739476303">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 w:id="2087650557">
      <w:bodyDiv w:val="1"/>
      <w:marLeft w:val="0"/>
      <w:marRight w:val="0"/>
      <w:marTop w:val="0"/>
      <w:marBottom w:val="0"/>
      <w:divBdr>
        <w:top w:val="none" w:sz="0" w:space="0" w:color="auto"/>
        <w:left w:val="none" w:sz="0" w:space="0" w:color="auto"/>
        <w:bottom w:val="none" w:sz="0" w:space="0" w:color="auto"/>
        <w:right w:val="none" w:sz="0" w:space="0" w:color="auto"/>
      </w:divBdr>
    </w:div>
    <w:div w:id="2144998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1802805.docx" TargetMode="Externa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C1817-364F-492D-84E6-B0725B6D0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AC46ED8-4A13-4A7F-AC43-777832F2EF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0D17A2-D298-4D51-8E89-68940C7B2077}">
  <ds:schemaRefs>
    <ds:schemaRef ds:uri="http://schemas.microsoft.com/sharepoint/v3/contenttype/forms"/>
  </ds:schemaRefs>
</ds:datastoreItem>
</file>

<file path=customXml/itemProps5.xml><?xml version="1.0" encoding="utf-8"?>
<ds:datastoreItem xmlns:ds="http://schemas.openxmlformats.org/officeDocument/2006/customXml" ds:itemID="{24CE6072-61FA-4214-B07F-D97A2BEA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1369</Words>
  <Characters>7041</Characters>
  <Application>Microsoft Office Word</Application>
  <DocSecurity>0</DocSecurity>
  <Lines>99</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13</cp:revision>
  <cp:lastPrinted>2017-05-08T11:55:00Z</cp:lastPrinted>
  <dcterms:created xsi:type="dcterms:W3CDTF">2018-08-09T03:32:00Z</dcterms:created>
  <dcterms:modified xsi:type="dcterms:W3CDTF">2018-08-09T13:37:00Z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b19ed70d-5c19-4c22-9f17-e4043a879a45</vt:lpwstr>
  </property>
  <property fmtid="{D5CDD505-2E9C-101B-9397-08002B2CF9AE}" pid="5" name="CTP_TimeStamp">
    <vt:lpwstr>2018-08-09 13:37:44Z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