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61654" w14:textId="5576AA6F" w:rsidR="00EE6198" w:rsidRPr="00EE6198" w:rsidRDefault="00EE6198" w:rsidP="00EE6198">
      <w:pPr>
        <w:pStyle w:val="Header"/>
        <w:tabs>
          <w:tab w:val="right" w:pos="9639"/>
        </w:tabs>
        <w:rPr>
          <w:sz w:val="24"/>
          <w:lang w:val="en-GB" w:eastAsia="zh-CN"/>
        </w:rPr>
      </w:pPr>
      <w:r w:rsidRPr="00EE6198">
        <w:rPr>
          <w:sz w:val="24"/>
          <w:lang w:val="en-GB" w:eastAsia="zh-CN"/>
        </w:rPr>
        <w:t xml:space="preserve">3GPP TSG-RAN WG2 </w:t>
      </w:r>
      <w:r w:rsidR="00504FD0">
        <w:rPr>
          <w:sz w:val="24"/>
          <w:lang w:val="en-GB" w:eastAsia="zh-CN"/>
        </w:rPr>
        <w:t xml:space="preserve">Meeting </w:t>
      </w:r>
      <w:r w:rsidR="004B03A0">
        <w:rPr>
          <w:sz w:val="24"/>
          <w:lang w:val="en-GB" w:eastAsia="zh-CN"/>
        </w:rPr>
        <w:t>102</w:t>
      </w:r>
      <w:r w:rsidRPr="00EE6198">
        <w:rPr>
          <w:sz w:val="24"/>
          <w:lang w:val="en-GB" w:eastAsia="zh-CN"/>
        </w:rPr>
        <w:tab/>
      </w:r>
      <w:r w:rsidR="009B5F98">
        <w:rPr>
          <w:sz w:val="24"/>
          <w:lang w:val="en-GB" w:eastAsia="zh-CN"/>
        </w:rPr>
        <w:t>R2-1807341</w:t>
      </w:r>
    </w:p>
    <w:p w14:paraId="17A797EC" w14:textId="05758896" w:rsidR="003E77B6" w:rsidRPr="00550983" w:rsidRDefault="00550983" w:rsidP="00EE6198">
      <w:pPr>
        <w:pStyle w:val="Header"/>
        <w:tabs>
          <w:tab w:val="right" w:pos="9639"/>
        </w:tabs>
        <w:rPr>
          <w:sz w:val="24"/>
          <w:lang w:val="en-GB" w:eastAsia="zh-CN"/>
        </w:rPr>
      </w:pPr>
      <w:r w:rsidRPr="00550983">
        <w:rPr>
          <w:sz w:val="24"/>
          <w:lang w:val="en-GB" w:eastAsia="zh-CN"/>
        </w:rPr>
        <w:t xml:space="preserve">Busan, Korea, 21st – 25th May 2018                 </w:t>
      </w:r>
    </w:p>
    <w:p w14:paraId="60EF47B0" w14:textId="137C035E" w:rsidR="001C137C" w:rsidRPr="00EE6198" w:rsidRDefault="001C137C" w:rsidP="00EE6198">
      <w:pPr>
        <w:pStyle w:val="Header"/>
        <w:tabs>
          <w:tab w:val="right" w:pos="9639"/>
        </w:tabs>
        <w:rPr>
          <w:bCs/>
          <w:i/>
          <w:noProof w:val="0"/>
          <w:sz w:val="24"/>
        </w:rPr>
      </w:pPr>
      <w:r w:rsidRPr="009D56B1">
        <w:rPr>
          <w:noProof w:val="0"/>
          <w:sz w:val="24"/>
          <w:lang w:eastAsia="zh-CN"/>
        </w:rPr>
        <w:tab/>
      </w:r>
    </w:p>
    <w:p w14:paraId="60EF47B1" w14:textId="45EA8934"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F66D8" w:rsidRPr="00550983">
        <w:rPr>
          <w:rFonts w:cs="Arial"/>
          <w:b/>
          <w:bCs/>
          <w:sz w:val="24"/>
          <w:lang w:val="en-US"/>
        </w:rPr>
        <w:t>10.</w:t>
      </w:r>
      <w:r w:rsidR="00550983" w:rsidRPr="00550983">
        <w:rPr>
          <w:rFonts w:cs="Arial"/>
          <w:b/>
          <w:bCs/>
          <w:sz w:val="24"/>
          <w:lang w:val="en-US"/>
        </w:rPr>
        <w:t>3.1.4.2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19779096"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A003A8">
        <w:rPr>
          <w:rFonts w:ascii="Arial" w:hAnsi="Arial" w:cs="Arial"/>
          <w:b/>
          <w:bCs/>
          <w:sz w:val="24"/>
        </w:rPr>
        <w:t>On remaining aspects of beam failure recovery</w:t>
      </w:r>
    </w:p>
    <w:p w14:paraId="60EF47B4" w14:textId="09330EE0"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E1252E">
        <w:rPr>
          <w:rFonts w:ascii="Arial" w:hAnsi="Arial" w:cs="Arial"/>
          <w:b/>
          <w:bCs/>
          <w:sz w:val="24"/>
        </w:rPr>
        <w:t>,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4A0C1DC8" w14:textId="36C811A6" w:rsidR="004B03A0" w:rsidRPr="006024EA" w:rsidRDefault="00A003A8" w:rsidP="006024EA">
      <w:pPr>
        <w:overflowPunct w:val="0"/>
        <w:autoSpaceDE w:val="0"/>
        <w:autoSpaceDN w:val="0"/>
        <w:adjustRightInd w:val="0"/>
        <w:spacing w:after="180" w:line="240" w:lineRule="auto"/>
        <w:textAlignment w:val="baseline"/>
        <w:rPr>
          <w:iCs/>
        </w:rPr>
      </w:pPr>
      <w:r>
        <w:rPr>
          <w:rFonts w:ascii="Times New Roman" w:hAnsi="Times New Roman"/>
          <w:sz w:val="20"/>
          <w:szCs w:val="20"/>
          <w:lang w:eastAsia="zh-CN"/>
        </w:rPr>
        <w:t xml:space="preserve">A contentious issue that has necessitated lengthy </w:t>
      </w:r>
      <w:r w:rsidR="00550983">
        <w:rPr>
          <w:rFonts w:ascii="Times New Roman" w:hAnsi="Times New Roman"/>
          <w:sz w:val="20"/>
          <w:szCs w:val="20"/>
          <w:lang w:eastAsia="zh-CN"/>
        </w:rPr>
        <w:t>discussions</w:t>
      </w:r>
      <w:r>
        <w:rPr>
          <w:rFonts w:ascii="Times New Roman" w:hAnsi="Times New Roman"/>
          <w:sz w:val="20"/>
          <w:szCs w:val="20"/>
          <w:lang w:eastAsia="zh-CN"/>
        </w:rPr>
        <w:t xml:space="preserve"> in both RAN1 and RAN2 is the issue of using a beam failure recovery timer in the case of contention free RA triggered in the case of beam failure. In this regard, RAN1 sent an LS to RAN2 which goes over the motivation of using such a</w:t>
      </w:r>
      <w:r w:rsidR="00550983">
        <w:rPr>
          <w:rFonts w:ascii="Times New Roman" w:hAnsi="Times New Roman"/>
          <w:sz w:val="20"/>
          <w:szCs w:val="20"/>
          <w:lang w:eastAsia="zh-CN"/>
        </w:rPr>
        <w:t xml:space="preserve"> timer and some details </w:t>
      </w:r>
      <w:sdt>
        <w:sdtPr>
          <w:rPr>
            <w:rFonts w:ascii="Times New Roman" w:hAnsi="Times New Roman"/>
            <w:sz w:val="20"/>
            <w:szCs w:val="20"/>
            <w:lang w:eastAsia="zh-CN"/>
          </w:rPr>
          <w:id w:val="-458259820"/>
          <w:citation/>
        </w:sdtPr>
        <w:sdtEndPr/>
        <w:sdtContent>
          <w:r w:rsidR="00550983">
            <w:rPr>
              <w:rFonts w:ascii="Times New Roman" w:hAnsi="Times New Roman"/>
              <w:sz w:val="20"/>
              <w:szCs w:val="20"/>
              <w:lang w:eastAsia="zh-CN"/>
            </w:rPr>
            <w:fldChar w:fldCharType="begin"/>
          </w:r>
          <w:r w:rsidR="00550983">
            <w:rPr>
              <w:rFonts w:ascii="Times New Roman" w:hAnsi="Times New Roman"/>
              <w:sz w:val="20"/>
              <w:szCs w:val="20"/>
              <w:lang w:eastAsia="zh-CN"/>
            </w:rPr>
            <w:instrText xml:space="preserve"> CITATION RAN1LSBFRTimer \l 1033 </w:instrText>
          </w:r>
          <w:r w:rsidR="00550983">
            <w:rPr>
              <w:rFonts w:ascii="Times New Roman" w:hAnsi="Times New Roman"/>
              <w:sz w:val="20"/>
              <w:szCs w:val="20"/>
              <w:lang w:eastAsia="zh-CN"/>
            </w:rPr>
            <w:fldChar w:fldCharType="separate"/>
          </w:r>
          <w:r w:rsidR="002A4320" w:rsidRPr="002A4320">
            <w:rPr>
              <w:rFonts w:ascii="Times New Roman" w:hAnsi="Times New Roman"/>
              <w:noProof/>
              <w:sz w:val="20"/>
              <w:szCs w:val="20"/>
              <w:lang w:eastAsia="zh-CN"/>
            </w:rPr>
            <w:t>[1]</w:t>
          </w:r>
          <w:r w:rsidR="00550983">
            <w:rPr>
              <w:rFonts w:ascii="Times New Roman" w:hAnsi="Times New Roman"/>
              <w:sz w:val="20"/>
              <w:szCs w:val="20"/>
              <w:lang w:eastAsia="zh-CN"/>
            </w:rPr>
            <w:fldChar w:fldCharType="end"/>
          </w:r>
        </w:sdtContent>
      </w:sdt>
      <w:r>
        <w:rPr>
          <w:rFonts w:ascii="Times New Roman" w:hAnsi="Times New Roman"/>
          <w:sz w:val="20"/>
          <w:szCs w:val="20"/>
          <w:lang w:eastAsia="zh-CN"/>
        </w:rPr>
        <w:t>. So, from RAN2 point of view, we need to align interpretations and implement it in the MAC. The contents of the LS are reproduced below:</w:t>
      </w:r>
    </w:p>
    <w:tbl>
      <w:tblPr>
        <w:tblStyle w:val="TableGrid"/>
        <w:tblW w:w="0" w:type="auto"/>
        <w:tblLook w:val="04A0" w:firstRow="1" w:lastRow="0" w:firstColumn="1" w:lastColumn="0" w:noHBand="0" w:noVBand="1"/>
      </w:tblPr>
      <w:tblGrid>
        <w:gridCol w:w="9629"/>
      </w:tblGrid>
      <w:tr w:rsidR="006024EA" w14:paraId="451C0B4D" w14:textId="77777777" w:rsidTr="00A003A8">
        <w:tc>
          <w:tcPr>
            <w:tcW w:w="9629" w:type="dxa"/>
          </w:tcPr>
          <w:p w14:paraId="5DECC9B2" w14:textId="77777777" w:rsidR="00A003A8" w:rsidRPr="00A003A8" w:rsidRDefault="00A003A8" w:rsidP="00A003A8">
            <w:pPr>
              <w:spacing w:after="120" w:line="240" w:lineRule="auto"/>
              <w:rPr>
                <w:rFonts w:ascii="Arial" w:eastAsia="Times New Roman" w:hAnsi="Arial" w:cs="Arial"/>
                <w:color w:val="000000"/>
                <w:sz w:val="20"/>
                <w:szCs w:val="20"/>
                <w:lang w:val="en-GB"/>
              </w:rPr>
            </w:pPr>
            <w:r w:rsidRPr="00A003A8">
              <w:rPr>
                <w:rFonts w:ascii="Arial" w:eastAsia="Times New Roman" w:hAnsi="Arial" w:cs="Arial"/>
                <w:color w:val="000000"/>
                <w:sz w:val="20"/>
                <w:szCs w:val="20"/>
                <w:lang w:val="en-GB"/>
              </w:rPr>
              <w:t>RAN1 has discussed the use case of the beamFailureRecoveryTimer in the context of CBRA and reached following agreements:</w:t>
            </w:r>
          </w:p>
          <w:p w14:paraId="60029491" w14:textId="77777777" w:rsidR="00A003A8" w:rsidRPr="00A003A8" w:rsidRDefault="00A003A8" w:rsidP="00A003A8">
            <w:pPr>
              <w:numPr>
                <w:ilvl w:val="0"/>
                <w:numId w:val="28"/>
              </w:numPr>
              <w:spacing w:after="120" w:line="240" w:lineRule="auto"/>
              <w:ind w:left="540"/>
              <w:textAlignment w:val="center"/>
              <w:rPr>
                <w:rFonts w:eastAsia="Times New Roman" w:cs="Calibri"/>
                <w:color w:val="000000"/>
              </w:rPr>
            </w:pPr>
            <w:r w:rsidRPr="00A003A8">
              <w:rPr>
                <w:rFonts w:ascii="Arial" w:eastAsia="Times New Roman" w:hAnsi="Arial" w:cs="Arial"/>
                <w:color w:val="000000"/>
                <w:sz w:val="20"/>
                <w:szCs w:val="20"/>
              </w:rPr>
              <w:t>RAN1 confirms the need for beamFailureRecoveryTimer and keep its uses as current RAN1 agreement</w:t>
            </w:r>
          </w:p>
          <w:p w14:paraId="5E0A75E3" w14:textId="77777777" w:rsidR="00A003A8" w:rsidRPr="00A003A8" w:rsidRDefault="00A003A8" w:rsidP="00A003A8">
            <w:pPr>
              <w:numPr>
                <w:ilvl w:val="1"/>
                <w:numId w:val="28"/>
              </w:numPr>
              <w:spacing w:after="120" w:line="240" w:lineRule="auto"/>
              <w:ind w:left="1080"/>
              <w:textAlignment w:val="center"/>
              <w:rPr>
                <w:rFonts w:eastAsia="Times New Roman" w:cs="Calibri"/>
                <w:color w:val="000000"/>
              </w:rPr>
            </w:pPr>
            <w:r w:rsidRPr="00A003A8">
              <w:rPr>
                <w:rFonts w:ascii="Arial" w:eastAsia="Times New Roman" w:hAnsi="Arial" w:cs="Arial"/>
                <w:color w:val="000000"/>
                <w:sz w:val="20"/>
                <w:szCs w:val="20"/>
              </w:rPr>
              <w:t>Note: unsuccessful CFRA based BFR upon expiry of beamFailureRecoveryTimer means that UE shall not use CFRA for BFR after beamFailureRecoveryTimer expired and no indication to higher layer is required</w:t>
            </w:r>
          </w:p>
          <w:p w14:paraId="52595EEE" w14:textId="77777777" w:rsidR="00A003A8" w:rsidRPr="00A003A8" w:rsidRDefault="00A003A8" w:rsidP="00A003A8">
            <w:pPr>
              <w:numPr>
                <w:ilvl w:val="0"/>
                <w:numId w:val="28"/>
              </w:numPr>
              <w:spacing w:after="120" w:line="240" w:lineRule="auto"/>
              <w:ind w:left="540"/>
              <w:textAlignment w:val="center"/>
              <w:rPr>
                <w:rFonts w:eastAsia="Times New Roman" w:cs="Calibri"/>
                <w:color w:val="000000"/>
              </w:rPr>
            </w:pPr>
            <w:r w:rsidRPr="00A003A8">
              <w:rPr>
                <w:rFonts w:ascii="Arial" w:eastAsia="Times New Roman" w:hAnsi="Arial" w:cs="Arial"/>
                <w:color w:val="000000"/>
                <w:sz w:val="20"/>
                <w:szCs w:val="20"/>
              </w:rPr>
              <w:t>RAN1 confirms the following as a valid use case for beamFailureRecoveryTimer</w:t>
            </w:r>
          </w:p>
          <w:p w14:paraId="499BA5A7" w14:textId="77777777" w:rsidR="00A003A8" w:rsidRPr="00A003A8" w:rsidRDefault="00A003A8" w:rsidP="00A003A8">
            <w:pPr>
              <w:numPr>
                <w:ilvl w:val="1"/>
                <w:numId w:val="28"/>
              </w:numPr>
              <w:spacing w:after="120" w:line="240" w:lineRule="auto"/>
              <w:ind w:left="1080"/>
              <w:textAlignment w:val="center"/>
              <w:rPr>
                <w:rFonts w:eastAsia="Times New Roman" w:cs="Calibri"/>
                <w:color w:val="000000"/>
              </w:rPr>
            </w:pPr>
            <w:r w:rsidRPr="00A003A8">
              <w:rPr>
                <w:rFonts w:ascii="Arial" w:eastAsia="Times New Roman" w:hAnsi="Arial" w:cs="Arial"/>
                <w:color w:val="000000"/>
                <w:sz w:val="20"/>
                <w:szCs w:val="20"/>
              </w:rPr>
              <w:t>Candidate beam selection for contention-free PRACH-based BFR is based on L1-RSRP. For qualified candidate beam but poor SINR, the timer enables UE to try contention-based PRACH resources after timer expires</w:t>
            </w:r>
          </w:p>
          <w:p w14:paraId="732EE5A9" w14:textId="77777777" w:rsidR="00A003A8" w:rsidRPr="00A003A8" w:rsidRDefault="00A003A8" w:rsidP="00A003A8">
            <w:pPr>
              <w:numPr>
                <w:ilvl w:val="0"/>
                <w:numId w:val="28"/>
              </w:numPr>
              <w:spacing w:after="120" w:line="240" w:lineRule="auto"/>
              <w:ind w:left="540"/>
              <w:textAlignment w:val="center"/>
              <w:rPr>
                <w:rFonts w:eastAsia="Times New Roman" w:cs="Calibri"/>
                <w:color w:val="000000"/>
              </w:rPr>
            </w:pPr>
            <w:r w:rsidRPr="00A003A8">
              <w:rPr>
                <w:rFonts w:ascii="Arial" w:eastAsia="Times New Roman" w:hAnsi="Arial" w:cs="Arial"/>
                <w:color w:val="000000"/>
                <w:sz w:val="20"/>
                <w:szCs w:val="20"/>
              </w:rPr>
              <w:t>Note: CBRA resource can be used when there is no candidate beam identified from candidate-beam-RS-list, as described by TS 38.321 section 5.1.2.</w:t>
            </w:r>
          </w:p>
          <w:p w14:paraId="3242BB66" w14:textId="7A4D724A" w:rsidR="006024EA" w:rsidRPr="00A003A8" w:rsidRDefault="00A003A8" w:rsidP="00A003A8">
            <w:pPr>
              <w:numPr>
                <w:ilvl w:val="1"/>
                <w:numId w:val="28"/>
              </w:numPr>
              <w:spacing w:after="120" w:line="240" w:lineRule="auto"/>
              <w:ind w:left="1080"/>
              <w:textAlignment w:val="center"/>
              <w:rPr>
                <w:rFonts w:eastAsia="Times New Roman" w:cs="Calibri"/>
                <w:color w:val="000000"/>
              </w:rPr>
            </w:pPr>
            <w:r w:rsidRPr="00A003A8">
              <w:rPr>
                <w:rFonts w:ascii="Arial" w:eastAsia="Times New Roman" w:hAnsi="Arial" w:cs="Arial"/>
                <w:color w:val="000000"/>
                <w:sz w:val="20"/>
                <w:szCs w:val="20"/>
              </w:rPr>
              <w:t>beamFailureRecoveryTimer does not apply to the use of CBRA resources</w:t>
            </w:r>
          </w:p>
        </w:tc>
      </w:tr>
    </w:tbl>
    <w:p w14:paraId="4DDBF294" w14:textId="77777777" w:rsidR="000355BB" w:rsidRDefault="000355BB" w:rsidP="000355BB">
      <w:pPr>
        <w:overflowPunct w:val="0"/>
        <w:autoSpaceDE w:val="0"/>
        <w:autoSpaceDN w:val="0"/>
        <w:adjustRightInd w:val="0"/>
        <w:spacing w:after="180" w:line="240" w:lineRule="auto"/>
        <w:textAlignment w:val="baseline"/>
        <w:rPr>
          <w:rFonts w:ascii="Times New Roman" w:hAnsi="Times New Roman"/>
          <w:sz w:val="20"/>
          <w:szCs w:val="20"/>
          <w:lang w:eastAsia="zh-CN"/>
        </w:rPr>
      </w:pPr>
    </w:p>
    <w:p w14:paraId="0E60F651" w14:textId="57161E51" w:rsidR="004B03A0" w:rsidRDefault="004B03A0" w:rsidP="001C137C">
      <w:pPr>
        <w:overflowPunct w:val="0"/>
        <w:autoSpaceDE w:val="0"/>
        <w:autoSpaceDN w:val="0"/>
        <w:adjustRightInd w:val="0"/>
        <w:spacing w:after="180" w:line="240" w:lineRule="auto"/>
        <w:textAlignment w:val="baseline"/>
        <w:rPr>
          <w:rFonts w:ascii="Times New Roman" w:hAnsi="Times New Roman"/>
          <w:sz w:val="20"/>
          <w:szCs w:val="20"/>
          <w:lang w:eastAsia="zh-CN"/>
        </w:rPr>
      </w:pPr>
      <w:r>
        <w:rPr>
          <w:rFonts w:ascii="Times New Roman" w:hAnsi="Times New Roman"/>
          <w:sz w:val="20"/>
          <w:szCs w:val="20"/>
          <w:lang w:eastAsia="zh-CN"/>
        </w:rPr>
        <w:t xml:space="preserve">In this </w:t>
      </w:r>
      <w:r w:rsidR="00A003A8">
        <w:rPr>
          <w:rFonts w:ascii="Times New Roman" w:hAnsi="Times New Roman"/>
          <w:sz w:val="20"/>
          <w:szCs w:val="20"/>
          <w:lang w:eastAsia="zh-CN"/>
        </w:rPr>
        <w:t>contribution, we look at some ways of interpreting and implementing this timer</w:t>
      </w:r>
      <w:r>
        <w:rPr>
          <w:rFonts w:ascii="Times New Roman" w:hAnsi="Times New Roman"/>
          <w:sz w:val="20"/>
          <w:szCs w:val="20"/>
          <w:lang w:eastAsia="zh-CN"/>
        </w:rPr>
        <w:t>.</w:t>
      </w:r>
      <w:r w:rsidR="00A003A8">
        <w:rPr>
          <w:rFonts w:ascii="Times New Roman" w:hAnsi="Times New Roman"/>
          <w:sz w:val="20"/>
          <w:szCs w:val="20"/>
          <w:lang w:eastAsia="zh-CN"/>
        </w:rPr>
        <w:t xml:space="preserve"> We also present our view on the aspect of supporting BFR related enhancements for SCell.</w:t>
      </w:r>
    </w:p>
    <w:p w14:paraId="4BA9D9A5" w14:textId="073BF353" w:rsidR="00690ED8" w:rsidRDefault="006242D5" w:rsidP="00690ED8">
      <w:pPr>
        <w:pStyle w:val="Tdoc"/>
        <w:ind w:left="0" w:firstLine="0"/>
      </w:pPr>
      <w:r>
        <w:t>Discussion</w:t>
      </w:r>
    </w:p>
    <w:p w14:paraId="4E4E3CC8" w14:textId="677AC868" w:rsidR="00957A1E" w:rsidRPr="00F9599A" w:rsidRDefault="00957A1E" w:rsidP="00957A1E">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sidR="00A003A8">
        <w:rPr>
          <w:rFonts w:ascii="Arial" w:eastAsia="MS Mincho" w:hAnsi="Arial" w:cs="Arial"/>
          <w:bCs/>
          <w:sz w:val="26"/>
          <w:szCs w:val="26"/>
          <w:lang w:val="en-GB" w:eastAsia="en-GB"/>
        </w:rPr>
        <w:t>Beam Failure Recovery Timer</w:t>
      </w:r>
    </w:p>
    <w:p w14:paraId="295CAB33" w14:textId="089D8EB2" w:rsidR="004B03A0" w:rsidRDefault="00A003A8" w:rsidP="006632EC">
      <w:pPr>
        <w:rPr>
          <w:rFonts w:ascii="Times New Roman" w:hAnsi="Times New Roman"/>
          <w:sz w:val="20"/>
          <w:szCs w:val="20"/>
        </w:rPr>
      </w:pPr>
      <w:r>
        <w:rPr>
          <w:rFonts w:ascii="Times New Roman" w:hAnsi="Times New Roman"/>
          <w:sz w:val="20"/>
          <w:szCs w:val="20"/>
        </w:rPr>
        <w:t>The main issue related to the need for such a timer was discussed in RAN2#101</w:t>
      </w:r>
      <w:r w:rsidR="006632EC">
        <w:rPr>
          <w:rFonts w:ascii="Times New Roman" w:hAnsi="Times New Roman"/>
          <w:sz w:val="20"/>
          <w:szCs w:val="20"/>
        </w:rPr>
        <w:t xml:space="preserve"> and it was determined that it is not needed since the maximum number of preamble transmissions beyond which UE declares random access problem can served the same purpose</w:t>
      </w:r>
      <w:sdt>
        <w:sdtPr>
          <w:rPr>
            <w:rFonts w:ascii="Times New Roman" w:hAnsi="Times New Roman"/>
            <w:sz w:val="20"/>
            <w:szCs w:val="20"/>
          </w:rPr>
          <w:id w:val="-1836439753"/>
          <w:citation/>
        </w:sdtPr>
        <w:sdtEndPr/>
        <w:sdtContent>
          <w:r w:rsidR="00550983">
            <w:rPr>
              <w:rFonts w:ascii="Times New Roman" w:hAnsi="Times New Roman"/>
              <w:sz w:val="20"/>
              <w:szCs w:val="20"/>
            </w:rPr>
            <w:fldChar w:fldCharType="begin"/>
          </w:r>
          <w:r w:rsidR="00550983">
            <w:rPr>
              <w:rFonts w:ascii="Times New Roman" w:hAnsi="Times New Roman"/>
              <w:sz w:val="20"/>
              <w:szCs w:val="20"/>
            </w:rPr>
            <w:instrText xml:space="preserve"> CITATION RAN2101CN \l 1033 </w:instrText>
          </w:r>
          <w:r w:rsidR="00550983">
            <w:rPr>
              <w:rFonts w:ascii="Times New Roman" w:hAnsi="Times New Roman"/>
              <w:sz w:val="20"/>
              <w:szCs w:val="20"/>
            </w:rPr>
            <w:fldChar w:fldCharType="separate"/>
          </w:r>
          <w:r w:rsidR="002A4320">
            <w:rPr>
              <w:rFonts w:ascii="Times New Roman" w:hAnsi="Times New Roman"/>
              <w:noProof/>
              <w:sz w:val="20"/>
              <w:szCs w:val="20"/>
            </w:rPr>
            <w:t xml:space="preserve"> </w:t>
          </w:r>
          <w:r w:rsidR="002A4320" w:rsidRPr="002A4320">
            <w:rPr>
              <w:rFonts w:ascii="Times New Roman" w:hAnsi="Times New Roman"/>
              <w:noProof/>
              <w:sz w:val="20"/>
              <w:szCs w:val="20"/>
            </w:rPr>
            <w:t>[2]</w:t>
          </w:r>
          <w:r w:rsidR="00550983">
            <w:rPr>
              <w:rFonts w:ascii="Times New Roman" w:hAnsi="Times New Roman"/>
              <w:sz w:val="20"/>
              <w:szCs w:val="20"/>
            </w:rPr>
            <w:fldChar w:fldCharType="end"/>
          </w:r>
        </w:sdtContent>
      </w:sdt>
      <w:r w:rsidR="006632EC">
        <w:rPr>
          <w:rFonts w:ascii="Times New Roman" w:hAnsi="Times New Roman"/>
          <w:sz w:val="20"/>
          <w:szCs w:val="20"/>
        </w:rPr>
        <w:t xml:space="preserve">. However, from the subsequent discussion and clarification in RAN1, the use case for such a timer is clarified to be somewhat different. In particular, the timer seeks to address the case of CFRA for BFR in the case when the UE cannot find a suitable candidate beam for PRACH resource/preamble selection for transmission. So, from RAN2 point of view, since the beam failure detection and recover procedure is specified in the MAC specification, the proper interpretation and implementation of this timer needs to be discussed. In our view, there are at least two ways the timer can be </w:t>
      </w:r>
      <w:r w:rsidR="000C67B4">
        <w:rPr>
          <w:rFonts w:ascii="Times New Roman" w:hAnsi="Times New Roman"/>
          <w:sz w:val="20"/>
          <w:szCs w:val="20"/>
        </w:rPr>
        <w:t>realized</w:t>
      </w:r>
      <w:r w:rsidR="006632EC">
        <w:rPr>
          <w:rFonts w:ascii="Times New Roman" w:hAnsi="Times New Roman"/>
          <w:sz w:val="20"/>
          <w:szCs w:val="20"/>
        </w:rPr>
        <w:t>:</w:t>
      </w:r>
    </w:p>
    <w:p w14:paraId="21BB360F" w14:textId="36536125" w:rsidR="006632EC" w:rsidRDefault="006632EC" w:rsidP="00251A95">
      <w:pPr>
        <w:pStyle w:val="ListParagraph"/>
        <w:numPr>
          <w:ilvl w:val="0"/>
          <w:numId w:val="29"/>
        </w:numPr>
        <w:rPr>
          <w:rFonts w:ascii="Times New Roman" w:hAnsi="Times New Roman"/>
          <w:sz w:val="20"/>
          <w:szCs w:val="20"/>
        </w:rPr>
      </w:pPr>
      <w:r>
        <w:rPr>
          <w:rFonts w:ascii="Times New Roman" w:hAnsi="Times New Roman"/>
          <w:sz w:val="20"/>
          <w:szCs w:val="20"/>
        </w:rPr>
        <w:t xml:space="preserve">One interpretation is that the timer is initiated once the beam failure is detected and </w:t>
      </w:r>
      <w:r w:rsidR="00894130">
        <w:rPr>
          <w:rFonts w:ascii="Times New Roman" w:hAnsi="Times New Roman"/>
          <w:sz w:val="20"/>
          <w:szCs w:val="20"/>
        </w:rPr>
        <w:t xml:space="preserve">BFR is triggered for using CFRA. The timer keeps running while the UE attempts RACH and at any point during this procedure, if the timer expires, the UE declares the CFRA unsuccessful. This implies that the timer is independent of the </w:t>
      </w:r>
      <w:r w:rsidR="00251A95" w:rsidRPr="00251A95">
        <w:rPr>
          <w:rFonts w:ascii="Times New Roman" w:hAnsi="Times New Roman"/>
          <w:i/>
          <w:sz w:val="20"/>
          <w:szCs w:val="20"/>
        </w:rPr>
        <w:t>preambleTransMax</w:t>
      </w:r>
      <w:r w:rsidR="00251A95">
        <w:rPr>
          <w:rFonts w:ascii="Times New Roman" w:hAnsi="Times New Roman"/>
          <w:i/>
          <w:sz w:val="20"/>
          <w:szCs w:val="20"/>
        </w:rPr>
        <w:t xml:space="preserve"> </w:t>
      </w:r>
      <w:r w:rsidR="002F5E68">
        <w:rPr>
          <w:rFonts w:ascii="Times New Roman" w:hAnsi="Times New Roman"/>
          <w:sz w:val="20"/>
          <w:szCs w:val="20"/>
        </w:rPr>
        <w:t xml:space="preserve">and the </w:t>
      </w:r>
      <w:r w:rsidR="002F5E68">
        <w:rPr>
          <w:rFonts w:ascii="Times New Roman" w:hAnsi="Times New Roman"/>
          <w:i/>
          <w:sz w:val="20"/>
          <w:szCs w:val="20"/>
        </w:rPr>
        <w:t xml:space="preserve">ra-ResponseWindow, </w:t>
      </w:r>
      <w:r w:rsidR="00251A95">
        <w:rPr>
          <w:rFonts w:ascii="Times New Roman" w:hAnsi="Times New Roman"/>
          <w:sz w:val="20"/>
          <w:szCs w:val="20"/>
        </w:rPr>
        <w:t xml:space="preserve">which seeks to control the duration of the CFRA procedure </w:t>
      </w:r>
      <w:r w:rsidR="00251A95">
        <w:rPr>
          <w:rFonts w:ascii="Times New Roman" w:hAnsi="Times New Roman"/>
          <w:sz w:val="20"/>
          <w:szCs w:val="20"/>
        </w:rPr>
        <w:lastRenderedPageBreak/>
        <w:t>from the preamble (re)transmission point of view. Subsequently, the UE has to fall back to performing CBRA for BFR</w:t>
      </w:r>
      <w:r w:rsidR="002F5E68">
        <w:rPr>
          <w:rFonts w:ascii="Times New Roman" w:hAnsi="Times New Roman"/>
          <w:sz w:val="20"/>
          <w:szCs w:val="20"/>
        </w:rPr>
        <w:t xml:space="preserve"> once this timer expires</w:t>
      </w:r>
      <w:r w:rsidR="00251A95">
        <w:rPr>
          <w:rFonts w:ascii="Times New Roman" w:hAnsi="Times New Roman"/>
          <w:sz w:val="20"/>
          <w:szCs w:val="20"/>
        </w:rPr>
        <w:t>.</w:t>
      </w:r>
    </w:p>
    <w:p w14:paraId="6DB79286" w14:textId="79ACEC56" w:rsidR="00251A95" w:rsidRDefault="00251A95" w:rsidP="00251A95">
      <w:pPr>
        <w:pStyle w:val="ListParagraph"/>
        <w:numPr>
          <w:ilvl w:val="0"/>
          <w:numId w:val="29"/>
        </w:numPr>
        <w:rPr>
          <w:rFonts w:ascii="Times New Roman" w:hAnsi="Times New Roman"/>
          <w:sz w:val="20"/>
          <w:szCs w:val="20"/>
        </w:rPr>
      </w:pPr>
      <w:r>
        <w:rPr>
          <w:rFonts w:ascii="Times New Roman" w:hAnsi="Times New Roman"/>
          <w:sz w:val="20"/>
          <w:szCs w:val="20"/>
        </w:rPr>
        <w:t>Once the BFR procedure is triggered, if there are CFRA resources configured but the UE cannot find a SSB satisfying the RSRP threshold, the timer is started. Subsequently, if the UE finds a suitable beam to use for CFRA, the timer is stopped and the UE proceeds with the CFRA BFR. In case of timer expiry, the UE abandons the CFRA and resorts to using CBRA. In this case, the timer is simply keeping track of the duration the UE spends searching for a suitable SSB to perform CFRA BFR (and has no relationship to overall CFRA procedure/duration).</w:t>
      </w:r>
    </w:p>
    <w:p w14:paraId="01C18F8E" w14:textId="006A6C17" w:rsidR="00251A95" w:rsidRPr="00F56801" w:rsidRDefault="00251A95" w:rsidP="00251A95">
      <w:pPr>
        <w:rPr>
          <w:rFonts w:ascii="Times New Roman" w:hAnsi="Times New Roman"/>
          <w:sz w:val="20"/>
          <w:szCs w:val="20"/>
        </w:rPr>
      </w:pPr>
      <w:r>
        <w:rPr>
          <w:rFonts w:ascii="Times New Roman" w:hAnsi="Times New Roman"/>
          <w:sz w:val="20"/>
          <w:szCs w:val="20"/>
        </w:rPr>
        <w:t xml:space="preserve">In our view, the initial discussion in RAN2 </w:t>
      </w:r>
      <w:r w:rsidR="002A4320">
        <w:rPr>
          <w:rFonts w:ascii="Times New Roman" w:hAnsi="Times New Roman"/>
          <w:sz w:val="20"/>
          <w:szCs w:val="20"/>
        </w:rPr>
        <w:t xml:space="preserve">and the wording of RAN1 LS </w:t>
      </w:r>
      <w:r>
        <w:rPr>
          <w:rFonts w:ascii="Times New Roman" w:hAnsi="Times New Roman"/>
          <w:sz w:val="20"/>
          <w:szCs w:val="20"/>
        </w:rPr>
        <w:t>inherent</w:t>
      </w:r>
      <w:r w:rsidR="002A4320">
        <w:rPr>
          <w:rFonts w:ascii="Times New Roman" w:hAnsi="Times New Roman"/>
          <w:sz w:val="20"/>
          <w:szCs w:val="20"/>
        </w:rPr>
        <w:t>ly</w:t>
      </w:r>
      <w:r>
        <w:rPr>
          <w:rFonts w:ascii="Times New Roman" w:hAnsi="Times New Roman"/>
          <w:sz w:val="20"/>
          <w:szCs w:val="20"/>
        </w:rPr>
        <w:t xml:space="preserve"> </w:t>
      </w:r>
      <w:r w:rsidR="002A4320">
        <w:rPr>
          <w:rFonts w:ascii="Times New Roman" w:hAnsi="Times New Roman"/>
          <w:sz w:val="20"/>
          <w:szCs w:val="20"/>
        </w:rPr>
        <w:t xml:space="preserve">implies </w:t>
      </w:r>
      <w:r>
        <w:rPr>
          <w:rFonts w:ascii="Times New Roman" w:hAnsi="Times New Roman"/>
          <w:sz w:val="20"/>
          <w:szCs w:val="20"/>
        </w:rPr>
        <w:t xml:space="preserve">that 1) is the correct interpretation, i.e. the </w:t>
      </w:r>
      <w:r w:rsidR="00550983">
        <w:rPr>
          <w:rFonts w:ascii="Times New Roman" w:hAnsi="Times New Roman"/>
          <w:sz w:val="20"/>
          <w:szCs w:val="20"/>
        </w:rPr>
        <w:t xml:space="preserve">timer is relevant to the </w:t>
      </w:r>
      <w:r>
        <w:rPr>
          <w:rFonts w:ascii="Times New Roman" w:hAnsi="Times New Roman"/>
          <w:sz w:val="20"/>
          <w:szCs w:val="20"/>
        </w:rPr>
        <w:t>overall duratio</w:t>
      </w:r>
      <w:r w:rsidR="002A4320">
        <w:rPr>
          <w:rFonts w:ascii="Times New Roman" w:hAnsi="Times New Roman"/>
          <w:sz w:val="20"/>
          <w:szCs w:val="20"/>
        </w:rPr>
        <w:t>n of the CFRA procedure for BFR</w:t>
      </w:r>
      <w:r>
        <w:rPr>
          <w:rFonts w:ascii="Times New Roman" w:hAnsi="Times New Roman"/>
          <w:sz w:val="20"/>
          <w:szCs w:val="20"/>
        </w:rPr>
        <w:t xml:space="preserve">. </w:t>
      </w:r>
      <w:r w:rsidR="002A4320">
        <w:rPr>
          <w:rFonts w:ascii="Times New Roman" w:hAnsi="Times New Roman"/>
          <w:sz w:val="20"/>
          <w:szCs w:val="20"/>
        </w:rPr>
        <w:t>Essentially</w:t>
      </w:r>
      <w:r>
        <w:rPr>
          <w:rFonts w:ascii="Times New Roman" w:hAnsi="Times New Roman"/>
          <w:sz w:val="20"/>
          <w:szCs w:val="20"/>
        </w:rPr>
        <w:t>, th</w:t>
      </w:r>
      <w:r w:rsidR="00F56801">
        <w:rPr>
          <w:rFonts w:ascii="Times New Roman" w:hAnsi="Times New Roman"/>
          <w:sz w:val="20"/>
          <w:szCs w:val="20"/>
        </w:rPr>
        <w:t xml:space="preserve">e timer seeks to complement rather than provide the same functionality as the </w:t>
      </w:r>
      <w:r w:rsidR="00F56801" w:rsidRPr="00251A95">
        <w:rPr>
          <w:rFonts w:ascii="Times New Roman" w:hAnsi="Times New Roman"/>
          <w:i/>
          <w:sz w:val="20"/>
          <w:szCs w:val="20"/>
        </w:rPr>
        <w:t>preambleTransMax</w:t>
      </w:r>
      <w:r w:rsidR="00187985">
        <w:rPr>
          <w:rFonts w:ascii="Times New Roman" w:hAnsi="Times New Roman"/>
          <w:i/>
          <w:sz w:val="20"/>
          <w:szCs w:val="20"/>
        </w:rPr>
        <w:t xml:space="preserve"> </w:t>
      </w:r>
      <w:r w:rsidR="00187985">
        <w:rPr>
          <w:rFonts w:ascii="Times New Roman" w:hAnsi="Times New Roman"/>
          <w:sz w:val="20"/>
          <w:szCs w:val="20"/>
        </w:rPr>
        <w:t xml:space="preserve">and the </w:t>
      </w:r>
      <w:r w:rsidR="00187985">
        <w:rPr>
          <w:rFonts w:ascii="Times New Roman" w:hAnsi="Times New Roman"/>
          <w:i/>
          <w:sz w:val="20"/>
          <w:szCs w:val="20"/>
        </w:rPr>
        <w:t>ra-ResponseWindow</w:t>
      </w:r>
      <w:r w:rsidR="00F56801">
        <w:rPr>
          <w:rFonts w:ascii="Times New Roman" w:hAnsi="Times New Roman"/>
          <w:i/>
          <w:sz w:val="20"/>
          <w:szCs w:val="20"/>
        </w:rPr>
        <w:t xml:space="preserve"> </w:t>
      </w:r>
      <w:r w:rsidR="002A4320">
        <w:rPr>
          <w:rFonts w:ascii="Times New Roman" w:hAnsi="Times New Roman"/>
          <w:sz w:val="20"/>
          <w:szCs w:val="20"/>
        </w:rPr>
        <w:t>for BFR</w:t>
      </w:r>
      <w:r w:rsidR="008D3F7D">
        <w:rPr>
          <w:rFonts w:ascii="Times New Roman" w:hAnsi="Times New Roman"/>
          <w:sz w:val="20"/>
          <w:szCs w:val="20"/>
        </w:rPr>
        <w:t>. So, we propose to discuss and align und</w:t>
      </w:r>
      <w:bookmarkStart w:id="0" w:name="_GoBack"/>
      <w:bookmarkEnd w:id="0"/>
      <w:r w:rsidR="008D3F7D">
        <w:rPr>
          <w:rFonts w:ascii="Times New Roman" w:hAnsi="Times New Roman"/>
          <w:sz w:val="20"/>
          <w:szCs w:val="20"/>
        </w:rPr>
        <w:t>erstanding in RAN2 as to how the BFR timer is implemented.</w:t>
      </w:r>
    </w:p>
    <w:p w14:paraId="0A694935" w14:textId="16A4399D" w:rsidR="008D3F7D" w:rsidRDefault="004B03A0" w:rsidP="004B03A0">
      <w:pPr>
        <w:ind w:left="1170" w:hanging="1170"/>
        <w:rPr>
          <w:rFonts w:ascii="Times New Roman" w:eastAsia="Times New Roman" w:hAnsi="Times New Roman"/>
          <w:bCs/>
          <w:i/>
          <w:sz w:val="20"/>
          <w:szCs w:val="20"/>
          <w:lang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8D3F7D">
        <w:rPr>
          <w:rFonts w:ascii="Times New Roman" w:eastAsia="Times New Roman" w:hAnsi="Times New Roman"/>
          <w:bCs/>
          <w:i/>
          <w:sz w:val="20"/>
          <w:szCs w:val="20"/>
          <w:lang w:eastAsia="zh-CN"/>
        </w:rPr>
        <w:t>RAN2 to discuss and confirm</w:t>
      </w:r>
      <w:r w:rsidR="002A4320">
        <w:rPr>
          <w:rFonts w:ascii="Times New Roman" w:eastAsia="Times New Roman" w:hAnsi="Times New Roman"/>
          <w:bCs/>
          <w:i/>
          <w:sz w:val="20"/>
          <w:szCs w:val="20"/>
          <w:lang w:eastAsia="zh-CN"/>
        </w:rPr>
        <w:t xml:space="preserve"> </w:t>
      </w:r>
      <w:r w:rsidR="008D3F7D">
        <w:rPr>
          <w:rFonts w:ascii="Times New Roman" w:eastAsia="Times New Roman" w:hAnsi="Times New Roman"/>
          <w:bCs/>
          <w:i/>
          <w:sz w:val="20"/>
          <w:szCs w:val="20"/>
          <w:lang w:eastAsia="zh-CN"/>
        </w:rPr>
        <w:t xml:space="preserve">that the beam failure recovery timer </w:t>
      </w:r>
      <w:r w:rsidR="00187985">
        <w:rPr>
          <w:rFonts w:ascii="Times New Roman" w:eastAsia="Times New Roman" w:hAnsi="Times New Roman"/>
          <w:bCs/>
          <w:i/>
          <w:sz w:val="20"/>
          <w:szCs w:val="20"/>
          <w:lang w:eastAsia="zh-CN"/>
        </w:rPr>
        <w:t>(</w:t>
      </w:r>
      <w:r w:rsidR="00550983">
        <w:rPr>
          <w:rFonts w:ascii="Times New Roman" w:eastAsia="Times New Roman" w:hAnsi="Times New Roman"/>
          <w:bCs/>
          <w:i/>
          <w:sz w:val="20"/>
          <w:szCs w:val="20"/>
          <w:lang w:eastAsia="zh-CN"/>
        </w:rPr>
        <w:t>as defined in RAN1</w:t>
      </w:r>
      <w:r w:rsidR="00187985">
        <w:rPr>
          <w:rFonts w:ascii="Times New Roman" w:eastAsia="Times New Roman" w:hAnsi="Times New Roman"/>
          <w:bCs/>
          <w:i/>
          <w:sz w:val="20"/>
          <w:szCs w:val="20"/>
          <w:lang w:eastAsia="zh-CN"/>
        </w:rPr>
        <w:t>)</w:t>
      </w:r>
      <w:r w:rsidR="00550983">
        <w:rPr>
          <w:rFonts w:ascii="Times New Roman" w:eastAsia="Times New Roman" w:hAnsi="Times New Roman"/>
          <w:bCs/>
          <w:i/>
          <w:sz w:val="20"/>
          <w:szCs w:val="20"/>
          <w:lang w:eastAsia="zh-CN"/>
        </w:rPr>
        <w:t xml:space="preserve"> should</w:t>
      </w:r>
      <w:r w:rsidR="008D3F7D">
        <w:rPr>
          <w:rFonts w:ascii="Times New Roman" w:eastAsia="Times New Roman" w:hAnsi="Times New Roman"/>
          <w:bCs/>
          <w:i/>
          <w:sz w:val="20"/>
          <w:szCs w:val="20"/>
          <w:lang w:eastAsia="zh-CN"/>
        </w:rPr>
        <w:t xml:space="preserve"> </w:t>
      </w:r>
      <w:r w:rsidR="002A4320">
        <w:rPr>
          <w:rFonts w:ascii="Times New Roman" w:eastAsia="Times New Roman" w:hAnsi="Times New Roman"/>
          <w:bCs/>
          <w:i/>
          <w:sz w:val="20"/>
          <w:szCs w:val="20"/>
          <w:lang w:eastAsia="zh-CN"/>
        </w:rPr>
        <w:t>be adopted to limit the overall duration of</w:t>
      </w:r>
      <w:r w:rsidR="008D3F7D">
        <w:rPr>
          <w:rFonts w:ascii="Times New Roman" w:eastAsia="Times New Roman" w:hAnsi="Times New Roman"/>
          <w:bCs/>
          <w:i/>
          <w:sz w:val="20"/>
          <w:szCs w:val="20"/>
          <w:lang w:eastAsia="zh-CN"/>
        </w:rPr>
        <w:t xml:space="preserve"> CFRA</w:t>
      </w:r>
      <w:r w:rsidR="002A4320">
        <w:rPr>
          <w:rFonts w:ascii="Times New Roman" w:eastAsia="Times New Roman" w:hAnsi="Times New Roman"/>
          <w:bCs/>
          <w:i/>
          <w:sz w:val="20"/>
          <w:szCs w:val="20"/>
          <w:lang w:eastAsia="zh-CN"/>
        </w:rPr>
        <w:t xml:space="preserve"> for BFR</w:t>
      </w:r>
      <w:r w:rsidR="008D3F7D">
        <w:rPr>
          <w:rFonts w:ascii="Times New Roman" w:eastAsia="Times New Roman" w:hAnsi="Times New Roman"/>
          <w:bCs/>
          <w:i/>
          <w:sz w:val="20"/>
          <w:szCs w:val="20"/>
          <w:lang w:eastAsia="zh-CN"/>
        </w:rPr>
        <w:t>.</w:t>
      </w:r>
    </w:p>
    <w:p w14:paraId="5B46BA18" w14:textId="11747DF9" w:rsidR="008D3F7D" w:rsidRDefault="008D3F7D" w:rsidP="008D3F7D">
      <w:pPr>
        <w:ind w:left="1170" w:hanging="1170"/>
        <w:rPr>
          <w:rFonts w:ascii="Times New Roman" w:eastAsia="Times New Roman" w:hAnsi="Times New Roman"/>
          <w:bCs/>
          <w:i/>
          <w:sz w:val="20"/>
          <w:szCs w:val="20"/>
          <w:lang w:eastAsia="zh-CN"/>
        </w:rPr>
      </w:pPr>
      <w:r>
        <w:rPr>
          <w:rFonts w:ascii="Times New Roman" w:eastAsia="Times New Roman" w:hAnsi="Times New Roman"/>
          <w:bCs/>
          <w:i/>
          <w:sz w:val="20"/>
          <w:szCs w:val="20"/>
          <w:lang w:eastAsia="zh-CN"/>
        </w:rPr>
        <w:t xml:space="preserve"> </w:t>
      </w: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114493">
        <w:rPr>
          <w:rFonts w:ascii="Times New Roman" w:eastAsia="Times New Roman" w:hAnsi="Times New Roman"/>
          <w:bCs/>
          <w:i/>
          <w:sz w:val="20"/>
          <w:szCs w:val="20"/>
          <w:lang w:eastAsia="zh-CN"/>
        </w:rPr>
        <w:t>I</w:t>
      </w:r>
      <w:r>
        <w:rPr>
          <w:rFonts w:ascii="Times New Roman" w:eastAsia="Times New Roman" w:hAnsi="Times New Roman"/>
          <w:bCs/>
          <w:i/>
          <w:sz w:val="20"/>
          <w:szCs w:val="20"/>
          <w:lang w:eastAsia="zh-CN"/>
        </w:rPr>
        <w:t xml:space="preserve">f agreeable, </w:t>
      </w:r>
      <w:r w:rsidR="00114493">
        <w:rPr>
          <w:rFonts w:ascii="Times New Roman" w:eastAsia="Times New Roman" w:hAnsi="Times New Roman"/>
          <w:bCs/>
          <w:i/>
          <w:sz w:val="20"/>
          <w:szCs w:val="20"/>
          <w:lang w:eastAsia="zh-CN"/>
        </w:rPr>
        <w:t>RAN2 to agree the corresponding CR in</w:t>
      </w:r>
      <w:sdt>
        <w:sdtPr>
          <w:rPr>
            <w:rFonts w:ascii="Times New Roman" w:eastAsia="Times New Roman" w:hAnsi="Times New Roman"/>
            <w:bCs/>
            <w:i/>
            <w:sz w:val="20"/>
            <w:szCs w:val="20"/>
            <w:lang w:eastAsia="zh-CN"/>
          </w:rPr>
          <w:id w:val="2065837536"/>
          <w:citation/>
        </w:sdtPr>
        <w:sdtEndPr/>
        <w:sdtContent>
          <w:r w:rsidR="002A4320">
            <w:rPr>
              <w:rFonts w:ascii="Times New Roman" w:eastAsia="Times New Roman" w:hAnsi="Times New Roman"/>
              <w:bCs/>
              <w:i/>
              <w:sz w:val="20"/>
              <w:szCs w:val="20"/>
              <w:lang w:eastAsia="zh-CN"/>
            </w:rPr>
            <w:fldChar w:fldCharType="begin"/>
          </w:r>
          <w:r w:rsidR="009B5F98">
            <w:rPr>
              <w:rFonts w:ascii="Times New Roman" w:eastAsia="Times New Roman" w:hAnsi="Times New Roman"/>
              <w:bCs/>
              <w:i/>
              <w:sz w:val="20"/>
              <w:szCs w:val="20"/>
              <w:lang w:eastAsia="zh-CN"/>
            </w:rPr>
            <w:instrText xml:space="preserve">CITATION CRBFR \l 1033 </w:instrText>
          </w:r>
          <w:r w:rsidR="002A4320">
            <w:rPr>
              <w:rFonts w:ascii="Times New Roman" w:eastAsia="Times New Roman" w:hAnsi="Times New Roman"/>
              <w:bCs/>
              <w:i/>
              <w:sz w:val="20"/>
              <w:szCs w:val="20"/>
              <w:lang w:eastAsia="zh-CN"/>
            </w:rPr>
            <w:fldChar w:fldCharType="separate"/>
          </w:r>
          <w:r w:rsidR="009B5F98">
            <w:rPr>
              <w:rFonts w:ascii="Times New Roman" w:eastAsia="Times New Roman" w:hAnsi="Times New Roman"/>
              <w:bCs/>
              <w:i/>
              <w:noProof/>
              <w:sz w:val="20"/>
              <w:szCs w:val="20"/>
              <w:lang w:eastAsia="zh-CN"/>
            </w:rPr>
            <w:t xml:space="preserve"> </w:t>
          </w:r>
          <w:r w:rsidR="009B5F98" w:rsidRPr="00845784">
            <w:rPr>
              <w:rFonts w:ascii="Times New Roman" w:eastAsia="Times New Roman" w:hAnsi="Times New Roman"/>
              <w:noProof/>
              <w:sz w:val="20"/>
              <w:szCs w:val="20"/>
              <w:lang w:eastAsia="zh-CN"/>
            </w:rPr>
            <w:t>[3]</w:t>
          </w:r>
          <w:r w:rsidR="002A4320">
            <w:rPr>
              <w:rFonts w:ascii="Times New Roman" w:eastAsia="Times New Roman" w:hAnsi="Times New Roman"/>
              <w:bCs/>
              <w:i/>
              <w:sz w:val="20"/>
              <w:szCs w:val="20"/>
              <w:lang w:eastAsia="zh-CN"/>
            </w:rPr>
            <w:fldChar w:fldCharType="end"/>
          </w:r>
        </w:sdtContent>
      </w:sdt>
      <w:r>
        <w:rPr>
          <w:rFonts w:ascii="Times New Roman" w:eastAsia="Times New Roman" w:hAnsi="Times New Roman"/>
          <w:bCs/>
          <w:i/>
          <w:sz w:val="20"/>
          <w:szCs w:val="20"/>
          <w:lang w:eastAsia="zh-CN"/>
        </w:rPr>
        <w:t>.</w:t>
      </w:r>
    </w:p>
    <w:p w14:paraId="67301AAC" w14:textId="77777777" w:rsidR="00114493" w:rsidRPr="00BC3B63" w:rsidRDefault="00114493" w:rsidP="00114493">
      <w:pPr>
        <w:pStyle w:val="ListParagraph"/>
        <w:widowControl w:val="0"/>
        <w:numPr>
          <w:ilvl w:val="1"/>
          <w:numId w:val="26"/>
        </w:numPr>
        <w:spacing w:before="240" w:after="60" w:line="240" w:lineRule="auto"/>
        <w:ind w:left="900"/>
        <w:outlineLvl w:val="2"/>
        <w:rPr>
          <w:rFonts w:ascii="Arial" w:eastAsia="MS Mincho" w:hAnsi="Arial" w:cs="Arial"/>
          <w:bCs/>
          <w:sz w:val="26"/>
          <w:szCs w:val="26"/>
          <w:lang w:val="en-GB" w:eastAsia="en-GB"/>
        </w:rPr>
      </w:pPr>
      <w:r w:rsidRPr="00BC3B63">
        <w:rPr>
          <w:rFonts w:ascii="Arial" w:eastAsia="MS Mincho" w:hAnsi="Arial" w:cs="Arial"/>
          <w:bCs/>
          <w:sz w:val="26"/>
          <w:szCs w:val="26"/>
          <w:lang w:val="en-GB" w:eastAsia="en-GB"/>
        </w:rPr>
        <w:t>Contention Free random access for BFR on SCell</w:t>
      </w:r>
    </w:p>
    <w:p w14:paraId="3B7C141F" w14:textId="722EE2D3" w:rsidR="00114493" w:rsidRPr="00BC3B63" w:rsidRDefault="00114493" w:rsidP="00114493">
      <w:pPr>
        <w:spacing w:before="240"/>
        <w:rPr>
          <w:rFonts w:ascii="Times New Roman" w:hAnsi="Times New Roman"/>
          <w:sz w:val="20"/>
        </w:rPr>
      </w:pPr>
      <w:r>
        <w:rPr>
          <w:rFonts w:ascii="Times New Roman" w:hAnsi="Times New Roman"/>
          <w:sz w:val="20"/>
        </w:rPr>
        <w:t xml:space="preserve">Following the reception of a response LS from RAN1 </w:t>
      </w:r>
      <w:sdt>
        <w:sdtPr>
          <w:rPr>
            <w:rFonts w:ascii="Times New Roman" w:hAnsi="Times New Roman"/>
            <w:sz w:val="20"/>
          </w:rPr>
          <w:id w:val="-628085956"/>
          <w:citation/>
        </w:sdtPr>
        <w:sdtEndPr/>
        <w:sdtContent>
          <w:r>
            <w:rPr>
              <w:rFonts w:ascii="Times New Roman" w:hAnsi="Times New Roman"/>
              <w:sz w:val="20"/>
            </w:rPr>
            <w:fldChar w:fldCharType="begin"/>
          </w:r>
          <w:r>
            <w:rPr>
              <w:rFonts w:ascii="Times New Roman" w:hAnsi="Times New Roman"/>
              <w:sz w:val="20"/>
            </w:rPr>
            <w:instrText xml:space="preserve"> CITATION RAN1responseLS \l 1033 </w:instrText>
          </w:r>
          <w:r>
            <w:rPr>
              <w:rFonts w:ascii="Times New Roman" w:hAnsi="Times New Roman"/>
              <w:sz w:val="20"/>
            </w:rPr>
            <w:fldChar w:fldCharType="separate"/>
          </w:r>
          <w:r w:rsidR="002A4320" w:rsidRPr="002A4320">
            <w:rPr>
              <w:rFonts w:ascii="Times New Roman" w:hAnsi="Times New Roman"/>
              <w:noProof/>
              <w:sz w:val="20"/>
            </w:rPr>
            <w:t>[4]</w:t>
          </w:r>
          <w:r>
            <w:rPr>
              <w:rFonts w:ascii="Times New Roman" w:hAnsi="Times New Roman"/>
              <w:sz w:val="20"/>
            </w:rPr>
            <w:fldChar w:fldCharType="end"/>
          </w:r>
        </w:sdtContent>
      </w:sdt>
      <w:r>
        <w:rPr>
          <w:rFonts w:ascii="Times New Roman" w:hAnsi="Times New Roman"/>
          <w:sz w:val="20"/>
        </w:rPr>
        <w:t xml:space="preserve"> on BFR issues, the issue of supporting both contention based and contention free RA for the purpose of BFR on SCell was discussed</w:t>
      </w:r>
      <w:r w:rsidRPr="00BC3B63">
        <w:rPr>
          <w:rFonts w:ascii="Times New Roman" w:hAnsi="Times New Roman"/>
          <w:sz w:val="20"/>
        </w:rPr>
        <w:t>.</w:t>
      </w:r>
      <w:r>
        <w:rPr>
          <w:rFonts w:ascii="Times New Roman" w:hAnsi="Times New Roman"/>
          <w:sz w:val="20"/>
        </w:rPr>
        <w:t xml:space="preserve"> A sort of working assumption was made in the last meeting that at least contention free RACH should be supported for SCell. While it is still FFS whether any ASN.1 changes are required to support that, we can discuss the need for any other potential enhancements. Specifically, it was proposed in </w:t>
      </w:r>
      <w:sdt>
        <w:sdtPr>
          <w:rPr>
            <w:rFonts w:ascii="Times New Roman" w:hAnsi="Times New Roman"/>
            <w:sz w:val="20"/>
          </w:rPr>
          <w:id w:val="-2145883577"/>
          <w:citation/>
        </w:sdtPr>
        <w:sdtEndPr/>
        <w:sdtContent>
          <w:r>
            <w:rPr>
              <w:rFonts w:ascii="Times New Roman" w:hAnsi="Times New Roman"/>
              <w:sz w:val="20"/>
            </w:rPr>
            <w:fldChar w:fldCharType="begin"/>
          </w:r>
          <w:r>
            <w:rPr>
              <w:rFonts w:ascii="Times New Roman" w:hAnsi="Times New Roman"/>
              <w:sz w:val="20"/>
            </w:rPr>
            <w:instrText xml:space="preserve"> CITATION HWBFRMACCE \l 1033 </w:instrText>
          </w:r>
          <w:r>
            <w:rPr>
              <w:rFonts w:ascii="Times New Roman" w:hAnsi="Times New Roman"/>
              <w:sz w:val="20"/>
            </w:rPr>
            <w:fldChar w:fldCharType="separate"/>
          </w:r>
          <w:r w:rsidR="002A4320" w:rsidRPr="002A4320">
            <w:rPr>
              <w:rFonts w:ascii="Times New Roman" w:hAnsi="Times New Roman"/>
              <w:noProof/>
              <w:sz w:val="20"/>
            </w:rPr>
            <w:t>[5]</w:t>
          </w:r>
          <w:r>
            <w:rPr>
              <w:rFonts w:ascii="Times New Roman" w:hAnsi="Times New Roman"/>
              <w:sz w:val="20"/>
            </w:rPr>
            <w:fldChar w:fldCharType="end"/>
          </w:r>
        </w:sdtContent>
      </w:sdt>
      <w:r>
        <w:rPr>
          <w:rFonts w:ascii="Times New Roman" w:hAnsi="Times New Roman"/>
          <w:sz w:val="20"/>
        </w:rPr>
        <w:t xml:space="preserve"> that if beam failure is detected on a serving cell and there are available UL-SCH resources available on another serving cell, the UE can send a MAC CE to indicate beam failure and candidate beam via this UL-SCH resource. However, from RAN1 LS, it seems that a single SCell is to be supported from RAN1 perspective. Therefore, the provision of contention free RACH resources on SCell for BFR renders the need of such enhancements limited. Furthermore, as captured in the last meeting’s chairman notes, the scenarios and requirements for SCell BFR remain unclear</w:t>
      </w:r>
      <w:r w:rsidR="00416196">
        <w:rPr>
          <w:rFonts w:ascii="Times New Roman" w:hAnsi="Times New Roman"/>
          <w:sz w:val="20"/>
        </w:rPr>
        <w:t xml:space="preserve"> </w:t>
      </w:r>
      <w:sdt>
        <w:sdtPr>
          <w:rPr>
            <w:rFonts w:ascii="Times New Roman" w:hAnsi="Times New Roman"/>
            <w:sz w:val="20"/>
          </w:rPr>
          <w:id w:val="-154224308"/>
          <w:citation/>
        </w:sdtPr>
        <w:sdtEndPr/>
        <w:sdtContent>
          <w:r w:rsidR="00416196">
            <w:rPr>
              <w:rFonts w:ascii="Times New Roman" w:hAnsi="Times New Roman"/>
              <w:sz w:val="20"/>
            </w:rPr>
            <w:fldChar w:fldCharType="begin"/>
          </w:r>
          <w:r w:rsidR="00416196">
            <w:rPr>
              <w:rFonts w:ascii="Times New Roman" w:hAnsi="Times New Roman"/>
              <w:sz w:val="20"/>
            </w:rPr>
            <w:instrText xml:space="preserve"> CITATION RAN2101bisCN \l 1033 </w:instrText>
          </w:r>
          <w:r w:rsidR="00416196">
            <w:rPr>
              <w:rFonts w:ascii="Times New Roman" w:hAnsi="Times New Roman"/>
              <w:sz w:val="20"/>
            </w:rPr>
            <w:fldChar w:fldCharType="separate"/>
          </w:r>
          <w:r w:rsidR="002A4320" w:rsidRPr="002A4320">
            <w:rPr>
              <w:rFonts w:ascii="Times New Roman" w:hAnsi="Times New Roman"/>
              <w:noProof/>
              <w:sz w:val="20"/>
            </w:rPr>
            <w:t>[6]</w:t>
          </w:r>
          <w:r w:rsidR="00416196">
            <w:rPr>
              <w:rFonts w:ascii="Times New Roman" w:hAnsi="Times New Roman"/>
              <w:sz w:val="20"/>
            </w:rPr>
            <w:fldChar w:fldCharType="end"/>
          </w:r>
        </w:sdtContent>
      </w:sdt>
      <w:r>
        <w:rPr>
          <w:rFonts w:ascii="Times New Roman" w:hAnsi="Times New Roman"/>
          <w:sz w:val="20"/>
        </w:rPr>
        <w:t>. So, we propose to not consider further enhancements beyond the configuration of CF resources on SCell for BFR. The simplest mechanism currently supported is for BFR on SCell is CFRA BFR on SCell UL and SCell DL. The beam failure recovery can then follow the behavior we have defined so far in RAN2. The case of BFR on DL only SCell can then be addressed in future releases.</w:t>
      </w:r>
    </w:p>
    <w:p w14:paraId="168017EB" w14:textId="73A903B1" w:rsidR="004B03A0" w:rsidRPr="00114493" w:rsidRDefault="00114493" w:rsidP="0011449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No enhancements such as defining new MAC CE to indicate candidate beam(s) should be considered for BFR on SCell(s) in Rel-15.</w:t>
      </w:r>
    </w:p>
    <w:p w14:paraId="60EF47DF" w14:textId="0E3B805E" w:rsidR="008669B1" w:rsidRDefault="008669B1" w:rsidP="004A4A78">
      <w:pPr>
        <w:pStyle w:val="Tdoc"/>
        <w:ind w:left="-90" w:firstLine="0"/>
      </w:pPr>
      <w:r w:rsidRPr="00E0063E">
        <w:t>Conclusion</w:t>
      </w:r>
    </w:p>
    <w:p w14:paraId="250D672A" w14:textId="197DCDEA" w:rsidR="006D136D" w:rsidRDefault="00043F8C" w:rsidP="006D136D">
      <w:pPr>
        <w:rPr>
          <w:rFonts w:ascii="Times New Roman" w:hAnsi="Times New Roman"/>
          <w:sz w:val="20"/>
        </w:rPr>
      </w:pPr>
      <w:r>
        <w:rPr>
          <w:rFonts w:ascii="Times New Roman" w:hAnsi="Times New Roman"/>
          <w:sz w:val="20"/>
        </w:rPr>
        <w:t xml:space="preserve">This contribution discusses </w:t>
      </w:r>
      <w:r w:rsidR="005C19D1">
        <w:rPr>
          <w:rFonts w:ascii="Times New Roman" w:hAnsi="Times New Roman"/>
          <w:sz w:val="20"/>
        </w:rPr>
        <w:t xml:space="preserve">some </w:t>
      </w:r>
      <w:r w:rsidR="00123103">
        <w:rPr>
          <w:rFonts w:ascii="Times New Roman" w:hAnsi="Times New Roman"/>
          <w:sz w:val="20"/>
        </w:rPr>
        <w:t xml:space="preserve">unresolved aspects on </w:t>
      </w:r>
      <w:r w:rsidR="00550983">
        <w:rPr>
          <w:rFonts w:ascii="Times New Roman" w:hAnsi="Times New Roman"/>
          <w:sz w:val="20"/>
        </w:rPr>
        <w:t>BFR</w:t>
      </w:r>
      <w:r w:rsidR="005C19D1">
        <w:rPr>
          <w:rFonts w:ascii="Times New Roman" w:hAnsi="Times New Roman"/>
          <w:sz w:val="20"/>
        </w:rPr>
        <w:t xml:space="preserve"> and makes the following observations and proposals</w:t>
      </w:r>
      <w:r>
        <w:rPr>
          <w:rFonts w:ascii="Times New Roman" w:hAnsi="Times New Roman"/>
          <w:sz w:val="20"/>
        </w:rPr>
        <w:t xml:space="preserve">: </w:t>
      </w:r>
    </w:p>
    <w:p w14:paraId="16B881E3" w14:textId="77777777" w:rsidR="008F124A" w:rsidRDefault="008F124A" w:rsidP="008F124A">
      <w:pPr>
        <w:ind w:left="1170" w:hanging="1170"/>
        <w:rPr>
          <w:rFonts w:ascii="Times New Roman" w:eastAsia="Times New Roman" w:hAnsi="Times New Roman"/>
          <w:bCs/>
          <w:i/>
          <w:sz w:val="20"/>
          <w:szCs w:val="20"/>
          <w:lang w:eastAsia="zh-CN"/>
        </w:rPr>
      </w:pPr>
      <w:bookmarkStart w:id="1" w:name="_Ref458739888"/>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RAN2 to discuss and confirm that the beam failure recovery timer (as defined in RAN1) should be adopted to limit the overall duration of CFRA for BFR.</w:t>
      </w:r>
    </w:p>
    <w:p w14:paraId="3F5B93BE" w14:textId="0CC75E0B" w:rsidR="008F124A" w:rsidRDefault="008F124A">
      <w:pPr>
        <w:ind w:left="1170" w:hanging="1170"/>
        <w:rPr>
          <w:rFonts w:ascii="Times New Roman" w:eastAsia="Times New Roman" w:hAnsi="Times New Roman"/>
          <w:bCs/>
          <w:i/>
          <w:sz w:val="20"/>
          <w:szCs w:val="20"/>
          <w:lang w:eastAsia="zh-CN"/>
        </w:rPr>
      </w:pPr>
      <w:r>
        <w:rPr>
          <w:rFonts w:ascii="Times New Roman" w:eastAsia="Times New Roman" w:hAnsi="Times New Roman"/>
          <w:bCs/>
          <w:i/>
          <w:sz w:val="20"/>
          <w:szCs w:val="20"/>
          <w:lang w:eastAsia="zh-CN"/>
        </w:rPr>
        <w:t xml:space="preserve"> </w:t>
      </w: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eastAsia="zh-CN"/>
        </w:rPr>
        <w:t>If agreeable, RAN2 to agree the corresponding CR in</w:t>
      </w:r>
      <w:sdt>
        <w:sdtPr>
          <w:rPr>
            <w:rFonts w:ascii="Times New Roman" w:eastAsia="Times New Roman" w:hAnsi="Times New Roman"/>
            <w:bCs/>
            <w:i/>
            <w:sz w:val="20"/>
            <w:szCs w:val="20"/>
            <w:lang w:eastAsia="zh-CN"/>
          </w:rPr>
          <w:id w:val="-822746580"/>
          <w:citation/>
        </w:sdtPr>
        <w:sdtEndPr/>
        <w:sdtContent>
          <w:r>
            <w:rPr>
              <w:rFonts w:ascii="Times New Roman" w:eastAsia="Times New Roman" w:hAnsi="Times New Roman"/>
              <w:bCs/>
              <w:i/>
              <w:sz w:val="20"/>
              <w:szCs w:val="20"/>
              <w:lang w:eastAsia="zh-CN"/>
            </w:rPr>
            <w:fldChar w:fldCharType="begin"/>
          </w:r>
          <w:r w:rsidR="009B5F98">
            <w:rPr>
              <w:rFonts w:ascii="Times New Roman" w:eastAsia="Times New Roman" w:hAnsi="Times New Roman"/>
              <w:bCs/>
              <w:i/>
              <w:sz w:val="20"/>
              <w:szCs w:val="20"/>
              <w:lang w:eastAsia="zh-CN"/>
            </w:rPr>
            <w:instrText xml:space="preserve">CITATION CRBFR \l 1033 </w:instrText>
          </w:r>
          <w:r>
            <w:rPr>
              <w:rFonts w:ascii="Times New Roman" w:eastAsia="Times New Roman" w:hAnsi="Times New Roman"/>
              <w:bCs/>
              <w:i/>
              <w:sz w:val="20"/>
              <w:szCs w:val="20"/>
              <w:lang w:eastAsia="zh-CN"/>
            </w:rPr>
            <w:fldChar w:fldCharType="separate"/>
          </w:r>
          <w:r w:rsidR="009B5F98">
            <w:rPr>
              <w:rFonts w:ascii="Times New Roman" w:eastAsia="Times New Roman" w:hAnsi="Times New Roman"/>
              <w:bCs/>
              <w:i/>
              <w:noProof/>
              <w:sz w:val="20"/>
              <w:szCs w:val="20"/>
              <w:lang w:eastAsia="zh-CN"/>
            </w:rPr>
            <w:t xml:space="preserve"> </w:t>
          </w:r>
          <w:r w:rsidR="009B5F98" w:rsidRPr="00845784">
            <w:rPr>
              <w:rFonts w:ascii="Times New Roman" w:eastAsia="Times New Roman" w:hAnsi="Times New Roman"/>
              <w:noProof/>
              <w:sz w:val="20"/>
              <w:szCs w:val="20"/>
              <w:lang w:eastAsia="zh-CN"/>
            </w:rPr>
            <w:t>[3]</w:t>
          </w:r>
          <w:r>
            <w:rPr>
              <w:rFonts w:ascii="Times New Roman" w:eastAsia="Times New Roman" w:hAnsi="Times New Roman"/>
              <w:bCs/>
              <w:i/>
              <w:sz w:val="20"/>
              <w:szCs w:val="20"/>
              <w:lang w:eastAsia="zh-CN"/>
            </w:rPr>
            <w:fldChar w:fldCharType="end"/>
          </w:r>
        </w:sdtContent>
      </w:sdt>
      <w:r>
        <w:rPr>
          <w:rFonts w:ascii="Times New Roman" w:eastAsia="Times New Roman" w:hAnsi="Times New Roman"/>
          <w:bCs/>
          <w:i/>
          <w:sz w:val="20"/>
          <w:szCs w:val="20"/>
          <w:lang w:eastAsia="zh-CN"/>
        </w:rPr>
        <w:t>.</w:t>
      </w:r>
    </w:p>
    <w:p w14:paraId="2EFA290A" w14:textId="77777777" w:rsidR="00550983" w:rsidRPr="00114493" w:rsidRDefault="00550983" w:rsidP="0055098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No enhancements such as defining new MAC CE to indicate candidate beam(s) should be considered for BFR on SCell(s) in Rel-15.</w:t>
      </w:r>
    </w:p>
    <w:p w14:paraId="45E423FB" w14:textId="77777777" w:rsidR="009B5F98" w:rsidRDefault="006D136D" w:rsidP="00E73CF2">
      <w:pPr>
        <w:pStyle w:val="Tdoc"/>
        <w:numPr>
          <w:ilvl w:val="0"/>
          <w:numId w:val="0"/>
        </w:numPr>
        <w:rPr>
          <w:rFonts w:ascii="Calibri" w:eastAsia="SimSun" w:hAnsi="Calibri"/>
          <w:sz w:val="20"/>
          <w:lang w:eastAsia="en-US"/>
        </w:rPr>
      </w:pPr>
      <w:r>
        <w:t>References</w:t>
      </w:r>
      <w:bookmarkEnd w:id="1"/>
      <w:r w:rsidR="006D0EAF">
        <w:fldChar w:fldCharType="begin"/>
      </w:r>
      <w:r w:rsidR="006D0EAF">
        <w:instrText xml:space="preserve"> BIBLIOGRAPHY  \l 1033 </w:instrText>
      </w:r>
      <w:r w:rsidR="006D0EAF">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9B5F98" w14:paraId="1B0F41A4" w14:textId="77777777">
        <w:trPr>
          <w:divId w:val="587345091"/>
          <w:tblCellSpacing w:w="15" w:type="dxa"/>
        </w:trPr>
        <w:tc>
          <w:tcPr>
            <w:tcW w:w="50" w:type="pct"/>
            <w:hideMark/>
          </w:tcPr>
          <w:p w14:paraId="523DF1A3" w14:textId="77777777" w:rsidR="009B5F98" w:rsidRDefault="009B5F98">
            <w:pPr>
              <w:pStyle w:val="Bibliography"/>
              <w:rPr>
                <w:noProof/>
                <w:sz w:val="24"/>
                <w:szCs w:val="24"/>
              </w:rPr>
            </w:pPr>
            <w:r>
              <w:rPr>
                <w:noProof/>
              </w:rPr>
              <w:t xml:space="preserve">[1] </w:t>
            </w:r>
          </w:p>
        </w:tc>
        <w:tc>
          <w:tcPr>
            <w:tcW w:w="0" w:type="auto"/>
            <w:hideMark/>
          </w:tcPr>
          <w:p w14:paraId="2D6BC91E" w14:textId="77777777" w:rsidR="009B5F98" w:rsidRDefault="009B5F98">
            <w:pPr>
              <w:pStyle w:val="Bibliography"/>
              <w:rPr>
                <w:noProof/>
              </w:rPr>
            </w:pPr>
            <w:r>
              <w:rPr>
                <w:noProof/>
              </w:rPr>
              <w:t xml:space="preserve">"R1-1805622, "LS on beamFailureRecoveryTimer", RAN1". </w:t>
            </w:r>
          </w:p>
        </w:tc>
      </w:tr>
      <w:tr w:rsidR="009B5F98" w14:paraId="28B33C42" w14:textId="77777777">
        <w:trPr>
          <w:divId w:val="587345091"/>
          <w:tblCellSpacing w:w="15" w:type="dxa"/>
        </w:trPr>
        <w:tc>
          <w:tcPr>
            <w:tcW w:w="50" w:type="pct"/>
            <w:hideMark/>
          </w:tcPr>
          <w:p w14:paraId="3355FDD5" w14:textId="77777777" w:rsidR="009B5F98" w:rsidRDefault="009B5F98">
            <w:pPr>
              <w:pStyle w:val="Bibliography"/>
              <w:rPr>
                <w:noProof/>
              </w:rPr>
            </w:pPr>
            <w:r>
              <w:rPr>
                <w:noProof/>
              </w:rPr>
              <w:t xml:space="preserve">[2] </w:t>
            </w:r>
          </w:p>
        </w:tc>
        <w:tc>
          <w:tcPr>
            <w:tcW w:w="0" w:type="auto"/>
            <w:hideMark/>
          </w:tcPr>
          <w:p w14:paraId="04F79246" w14:textId="77777777" w:rsidR="009B5F98" w:rsidRDefault="009B5F98">
            <w:pPr>
              <w:pStyle w:val="Bibliography"/>
              <w:rPr>
                <w:noProof/>
              </w:rPr>
            </w:pPr>
            <w:r>
              <w:rPr>
                <w:noProof/>
              </w:rPr>
              <w:t xml:space="preserve">"RAN2#101, Chairman Notes". </w:t>
            </w:r>
          </w:p>
        </w:tc>
      </w:tr>
      <w:tr w:rsidR="009B5F98" w14:paraId="504845DB" w14:textId="77777777">
        <w:trPr>
          <w:divId w:val="587345091"/>
          <w:tblCellSpacing w:w="15" w:type="dxa"/>
        </w:trPr>
        <w:tc>
          <w:tcPr>
            <w:tcW w:w="50" w:type="pct"/>
            <w:hideMark/>
          </w:tcPr>
          <w:p w14:paraId="7F1B659F" w14:textId="77777777" w:rsidR="009B5F98" w:rsidRDefault="009B5F98">
            <w:pPr>
              <w:pStyle w:val="Bibliography"/>
              <w:rPr>
                <w:noProof/>
              </w:rPr>
            </w:pPr>
            <w:r>
              <w:rPr>
                <w:noProof/>
              </w:rPr>
              <w:t xml:space="preserve">[3] </w:t>
            </w:r>
          </w:p>
        </w:tc>
        <w:tc>
          <w:tcPr>
            <w:tcW w:w="0" w:type="auto"/>
            <w:hideMark/>
          </w:tcPr>
          <w:p w14:paraId="59168710" w14:textId="77777777" w:rsidR="009B5F98" w:rsidRDefault="009B5F98">
            <w:pPr>
              <w:pStyle w:val="Bibliography"/>
              <w:rPr>
                <w:noProof/>
              </w:rPr>
            </w:pPr>
            <w:r>
              <w:rPr>
                <w:noProof/>
              </w:rPr>
              <w:t xml:space="preserve">"R2-1807373, "CR on Beam Failure Recovery Timer", Intel Corporation". </w:t>
            </w:r>
          </w:p>
        </w:tc>
      </w:tr>
      <w:tr w:rsidR="009B5F98" w14:paraId="6A7A1BF5" w14:textId="77777777">
        <w:trPr>
          <w:divId w:val="587345091"/>
          <w:tblCellSpacing w:w="15" w:type="dxa"/>
        </w:trPr>
        <w:tc>
          <w:tcPr>
            <w:tcW w:w="50" w:type="pct"/>
            <w:hideMark/>
          </w:tcPr>
          <w:p w14:paraId="7FACC29D" w14:textId="77777777" w:rsidR="009B5F98" w:rsidRDefault="009B5F98">
            <w:pPr>
              <w:pStyle w:val="Bibliography"/>
              <w:rPr>
                <w:noProof/>
              </w:rPr>
            </w:pPr>
            <w:r>
              <w:rPr>
                <w:noProof/>
              </w:rPr>
              <w:lastRenderedPageBreak/>
              <w:t xml:space="preserve">[4] </w:t>
            </w:r>
          </w:p>
        </w:tc>
        <w:tc>
          <w:tcPr>
            <w:tcW w:w="0" w:type="auto"/>
            <w:hideMark/>
          </w:tcPr>
          <w:p w14:paraId="21B2FBFF" w14:textId="77777777" w:rsidR="009B5F98" w:rsidRDefault="009B5F98">
            <w:pPr>
              <w:pStyle w:val="Bibliography"/>
              <w:rPr>
                <w:noProof/>
              </w:rPr>
            </w:pPr>
            <w:r>
              <w:rPr>
                <w:noProof/>
              </w:rPr>
              <w:t xml:space="preserve">"R2-1803981, "LS reply on beam failure recovery RAN1"". </w:t>
            </w:r>
          </w:p>
        </w:tc>
      </w:tr>
      <w:tr w:rsidR="009B5F98" w14:paraId="5A6948DF" w14:textId="77777777">
        <w:trPr>
          <w:divId w:val="587345091"/>
          <w:tblCellSpacing w:w="15" w:type="dxa"/>
        </w:trPr>
        <w:tc>
          <w:tcPr>
            <w:tcW w:w="50" w:type="pct"/>
            <w:hideMark/>
          </w:tcPr>
          <w:p w14:paraId="698F7A4A" w14:textId="77777777" w:rsidR="009B5F98" w:rsidRDefault="009B5F98">
            <w:pPr>
              <w:pStyle w:val="Bibliography"/>
              <w:rPr>
                <w:noProof/>
              </w:rPr>
            </w:pPr>
            <w:r>
              <w:rPr>
                <w:noProof/>
              </w:rPr>
              <w:t xml:space="preserve">[5] </w:t>
            </w:r>
          </w:p>
        </w:tc>
        <w:tc>
          <w:tcPr>
            <w:tcW w:w="0" w:type="auto"/>
            <w:hideMark/>
          </w:tcPr>
          <w:p w14:paraId="4053657D" w14:textId="77777777" w:rsidR="009B5F98" w:rsidRDefault="009B5F98">
            <w:pPr>
              <w:pStyle w:val="Bibliography"/>
              <w:rPr>
                <w:noProof/>
              </w:rPr>
            </w:pPr>
            <w:r>
              <w:rPr>
                <w:noProof/>
              </w:rPr>
              <w:t xml:space="preserve">"R2-1801009, "General considerations on the RA procedure for beam failure recovery", Huawei, HiSilicon". </w:t>
            </w:r>
          </w:p>
        </w:tc>
      </w:tr>
      <w:tr w:rsidR="009B5F98" w14:paraId="334C91F3" w14:textId="77777777">
        <w:trPr>
          <w:divId w:val="587345091"/>
          <w:tblCellSpacing w:w="15" w:type="dxa"/>
        </w:trPr>
        <w:tc>
          <w:tcPr>
            <w:tcW w:w="50" w:type="pct"/>
            <w:hideMark/>
          </w:tcPr>
          <w:p w14:paraId="141D7266" w14:textId="77777777" w:rsidR="009B5F98" w:rsidRDefault="009B5F98">
            <w:pPr>
              <w:pStyle w:val="Bibliography"/>
              <w:rPr>
                <w:noProof/>
              </w:rPr>
            </w:pPr>
            <w:r>
              <w:rPr>
                <w:noProof/>
              </w:rPr>
              <w:t xml:space="preserve">[6] </w:t>
            </w:r>
          </w:p>
        </w:tc>
        <w:tc>
          <w:tcPr>
            <w:tcW w:w="0" w:type="auto"/>
            <w:hideMark/>
          </w:tcPr>
          <w:p w14:paraId="48BA6F4C" w14:textId="77777777" w:rsidR="009B5F98" w:rsidRDefault="009B5F98">
            <w:pPr>
              <w:pStyle w:val="Bibliography"/>
              <w:rPr>
                <w:noProof/>
              </w:rPr>
            </w:pPr>
            <w:r>
              <w:rPr>
                <w:noProof/>
              </w:rPr>
              <w:t xml:space="preserve">"R2-1806201, "RAN2#101bis: Report NR UP breakout session"". </w:t>
            </w:r>
          </w:p>
        </w:tc>
      </w:tr>
    </w:tbl>
    <w:p w14:paraId="1B87DADD" w14:textId="77777777" w:rsidR="009B5F98" w:rsidRDefault="009B5F98">
      <w:pPr>
        <w:divId w:val="587345091"/>
        <w:rPr>
          <w:rFonts w:eastAsia="Times New Roman"/>
          <w:noProof/>
        </w:rPr>
      </w:pPr>
    </w:p>
    <w:p w14:paraId="5F1FFD3C" w14:textId="51030E65" w:rsidR="0047293B" w:rsidRPr="00D46932" w:rsidRDefault="006D0EAF" w:rsidP="00E73CF2">
      <w:pPr>
        <w:pStyle w:val="Tdoc"/>
        <w:numPr>
          <w:ilvl w:val="0"/>
          <w:numId w:val="0"/>
        </w:numPr>
        <w:rPr>
          <w:rFonts w:ascii="Times New Roman" w:hAnsi="Times New Roman"/>
          <w:sz w:val="20"/>
        </w:rPr>
      </w:pPr>
      <w:r>
        <w:rPr>
          <w:rFonts w:ascii="Times New Roman" w:eastAsia="SimSun" w:hAnsi="Times New Roman"/>
          <w:noProof w:val="0"/>
          <w:sz w:val="20"/>
        </w:rPr>
        <w:fldChar w:fldCharType="end"/>
      </w:r>
    </w:p>
    <w:p w14:paraId="60EF47F6" w14:textId="77777777" w:rsidR="00E0063E" w:rsidRPr="008669B1" w:rsidRDefault="00E0063E" w:rsidP="008669B1"/>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7177E6" w:rsidRDefault="007177E6">
      <w:pPr>
        <w:spacing w:after="0" w:line="240" w:lineRule="auto"/>
      </w:pPr>
      <w:r>
        <w:separator/>
      </w:r>
    </w:p>
  </w:endnote>
  <w:endnote w:type="continuationSeparator" w:id="0">
    <w:p w14:paraId="60EF47FA" w14:textId="77777777" w:rsidR="007177E6" w:rsidRDefault="007177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45784">
      <w:rPr>
        <w:rFonts w:ascii="Arial" w:hAnsi="Arial" w:cs="Arial"/>
        <w:b/>
        <w:noProof/>
        <w:sz w:val="18"/>
        <w:szCs w:val="18"/>
      </w:rPr>
      <w:t>3</w:t>
    </w:r>
    <w:r>
      <w:rPr>
        <w:rFonts w:ascii="Arial" w:hAnsi="Arial" w:cs="Arial"/>
        <w:b/>
        <w:sz w:val="18"/>
        <w:szCs w:val="18"/>
      </w:rPr>
      <w:fldChar w:fldCharType="end"/>
    </w:r>
  </w:p>
  <w:p w14:paraId="60EF47FC" w14:textId="77777777" w:rsidR="007177E6" w:rsidRDefault="007177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7177E6" w:rsidRDefault="007177E6">
      <w:pPr>
        <w:spacing w:after="0" w:line="240" w:lineRule="auto"/>
      </w:pPr>
      <w:r>
        <w:separator/>
      </w:r>
    </w:p>
  </w:footnote>
  <w:footnote w:type="continuationSeparator" w:id="0">
    <w:p w14:paraId="60EF47F8" w14:textId="77777777" w:rsidR="007177E6" w:rsidRDefault="007177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F2F04"/>
    <w:multiLevelType w:val="hybridMultilevel"/>
    <w:tmpl w:val="E1D0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DF6244"/>
    <w:multiLevelType w:val="hybridMultilevel"/>
    <w:tmpl w:val="137E13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532C"/>
    <w:multiLevelType w:val="hybridMultilevel"/>
    <w:tmpl w:val="478E6C62"/>
    <w:lvl w:ilvl="0" w:tplc="DAC65B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4461109B"/>
    <w:multiLevelType w:val="hybridMultilevel"/>
    <w:tmpl w:val="6D164AB4"/>
    <w:lvl w:ilvl="0" w:tplc="5FFE1272">
      <w:start w:val="1"/>
      <w:numFmt w:val="decimal"/>
      <w:lvlText w:val="%1"/>
      <w:lvlJc w:val="left"/>
      <w:pPr>
        <w:ind w:left="1619" w:hanging="360"/>
      </w:pPr>
    </w:lvl>
    <w:lvl w:ilvl="1" w:tplc="04090003">
      <w:start w:val="1"/>
      <w:numFmt w:val="lowerLetter"/>
      <w:lvlText w:val="%2."/>
      <w:lvlJc w:val="left"/>
      <w:pPr>
        <w:ind w:left="2339" w:hanging="360"/>
      </w:pPr>
    </w:lvl>
    <w:lvl w:ilvl="2" w:tplc="04090005">
      <w:start w:val="1"/>
      <w:numFmt w:val="lowerRoman"/>
      <w:lvlText w:val="%3."/>
      <w:lvlJc w:val="right"/>
      <w:pPr>
        <w:ind w:left="3059" w:hanging="180"/>
      </w:pPr>
    </w:lvl>
    <w:lvl w:ilvl="3" w:tplc="04090001">
      <w:start w:val="1"/>
      <w:numFmt w:val="decimal"/>
      <w:lvlText w:val="%4."/>
      <w:lvlJc w:val="left"/>
      <w:pPr>
        <w:ind w:left="3779" w:hanging="360"/>
      </w:pPr>
    </w:lvl>
    <w:lvl w:ilvl="4" w:tplc="04090003">
      <w:start w:val="1"/>
      <w:numFmt w:val="lowerLetter"/>
      <w:lvlText w:val="%5."/>
      <w:lvlJc w:val="left"/>
      <w:pPr>
        <w:ind w:left="4499" w:hanging="360"/>
      </w:pPr>
    </w:lvl>
    <w:lvl w:ilvl="5" w:tplc="04090005">
      <w:start w:val="1"/>
      <w:numFmt w:val="lowerRoman"/>
      <w:lvlText w:val="%6."/>
      <w:lvlJc w:val="right"/>
      <w:pPr>
        <w:ind w:left="5219" w:hanging="180"/>
      </w:pPr>
    </w:lvl>
    <w:lvl w:ilvl="6" w:tplc="04090001">
      <w:start w:val="1"/>
      <w:numFmt w:val="decimal"/>
      <w:lvlText w:val="%7."/>
      <w:lvlJc w:val="left"/>
      <w:pPr>
        <w:ind w:left="5939" w:hanging="360"/>
      </w:pPr>
    </w:lvl>
    <w:lvl w:ilvl="7" w:tplc="04090003">
      <w:start w:val="1"/>
      <w:numFmt w:val="lowerLetter"/>
      <w:lvlText w:val="%8."/>
      <w:lvlJc w:val="left"/>
      <w:pPr>
        <w:ind w:left="6659" w:hanging="360"/>
      </w:pPr>
    </w:lvl>
    <w:lvl w:ilvl="8" w:tplc="04090005">
      <w:start w:val="1"/>
      <w:numFmt w:val="lowerRoman"/>
      <w:lvlText w:val="%9."/>
      <w:lvlJc w:val="right"/>
      <w:pPr>
        <w:ind w:left="7379" w:hanging="180"/>
      </w:pPr>
    </w:lvl>
  </w:abstractNum>
  <w:abstractNum w:abstractNumId="10" w15:restartNumberingAfterBreak="0">
    <w:nsid w:val="4C047BB6"/>
    <w:multiLevelType w:val="hybridMultilevel"/>
    <w:tmpl w:val="AA3EB706"/>
    <w:lvl w:ilvl="0" w:tplc="07FA82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08805B7"/>
    <w:multiLevelType w:val="hybridMultilevel"/>
    <w:tmpl w:val="9ED4DC9A"/>
    <w:lvl w:ilvl="0" w:tplc="567C24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961C9C"/>
    <w:multiLevelType w:val="hybridMultilevel"/>
    <w:tmpl w:val="DB585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882E39"/>
    <w:multiLevelType w:val="hybridMultilevel"/>
    <w:tmpl w:val="CBD65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AD6032"/>
    <w:multiLevelType w:val="hybridMultilevel"/>
    <w:tmpl w:val="76C83F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AB4D64"/>
    <w:multiLevelType w:val="multilevel"/>
    <w:tmpl w:val="58147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4"/>
  </w:num>
  <w:num w:numId="2">
    <w:abstractNumId w:val="16"/>
  </w:num>
  <w:num w:numId="3">
    <w:abstractNumId w:val="7"/>
  </w:num>
  <w:num w:numId="4">
    <w:abstractNumId w:val="6"/>
  </w:num>
  <w:num w:numId="5">
    <w:abstractNumId w:val="1"/>
    <w:lvlOverride w:ilvl="0">
      <w:startOverride w:val="1"/>
    </w:lvlOverride>
  </w:num>
  <w:num w:numId="6">
    <w:abstractNumId w:val="3"/>
    <w:lvlOverride w:ilvl="0">
      <w:startOverride w:val="2"/>
    </w:lvlOverride>
  </w:num>
  <w:num w:numId="7">
    <w:abstractNumId w:val="20"/>
  </w:num>
  <w:num w:numId="8">
    <w:abstractNumId w:val="15"/>
  </w:num>
  <w:num w:numId="9">
    <w:abstractNumId w:val="8"/>
  </w:num>
  <w:num w:numId="10">
    <w:abstractNumId w:val="12"/>
  </w:num>
  <w:num w:numId="11">
    <w:abstractNumId w:val="21"/>
  </w:num>
  <w:num w:numId="12">
    <w:abstractNumId w:val="11"/>
  </w:num>
  <w:num w:numId="13">
    <w:abstractNumId w:val="10"/>
  </w:num>
  <w:num w:numId="14">
    <w:abstractNumId w:val="5"/>
  </w:num>
  <w:num w:numId="15">
    <w:abstractNumId w:val="19"/>
  </w:num>
  <w:num w:numId="16">
    <w:abstractNumId w:val="2"/>
  </w:num>
  <w:num w:numId="17">
    <w:abstractNumId w:val="14"/>
  </w:num>
  <w:num w:numId="18">
    <w:abstractNumId w:val="13"/>
  </w:num>
  <w:num w:numId="19">
    <w:abstractNumId w:val="25"/>
  </w:num>
  <w:num w:numId="20">
    <w:abstractNumId w:val="0"/>
  </w:num>
  <w:num w:numId="21">
    <w:abstractNumId w:val="17"/>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6"/>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2"/>
    </w:lvlOverride>
    <w:lvlOverride w:ilvl="1">
      <w:startOverride w:val="2"/>
    </w:lvlOverride>
  </w:num>
  <w:num w:numId="27">
    <w:abstractNumId w:val="23"/>
  </w:num>
  <w:num w:numId="28">
    <w:abstractNumId w:val="27"/>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20BB3"/>
    <w:rsid w:val="000232B5"/>
    <w:rsid w:val="00023DEF"/>
    <w:rsid w:val="000270B0"/>
    <w:rsid w:val="000279FA"/>
    <w:rsid w:val="00031A47"/>
    <w:rsid w:val="00031C0E"/>
    <w:rsid w:val="0003285F"/>
    <w:rsid w:val="000355BB"/>
    <w:rsid w:val="00043799"/>
    <w:rsid w:val="00043F8C"/>
    <w:rsid w:val="00066057"/>
    <w:rsid w:val="0007355E"/>
    <w:rsid w:val="00095525"/>
    <w:rsid w:val="0009610B"/>
    <w:rsid w:val="0009624B"/>
    <w:rsid w:val="00096596"/>
    <w:rsid w:val="000A1656"/>
    <w:rsid w:val="000B4F03"/>
    <w:rsid w:val="000C67B4"/>
    <w:rsid w:val="000C75FF"/>
    <w:rsid w:val="000F5A71"/>
    <w:rsid w:val="00100001"/>
    <w:rsid w:val="00114493"/>
    <w:rsid w:val="00123103"/>
    <w:rsid w:val="00123F09"/>
    <w:rsid w:val="001266F8"/>
    <w:rsid w:val="00133829"/>
    <w:rsid w:val="00136F78"/>
    <w:rsid w:val="00142882"/>
    <w:rsid w:val="00154E29"/>
    <w:rsid w:val="001650BF"/>
    <w:rsid w:val="001672FC"/>
    <w:rsid w:val="00171855"/>
    <w:rsid w:val="00174865"/>
    <w:rsid w:val="00175FAB"/>
    <w:rsid w:val="00187985"/>
    <w:rsid w:val="00190D67"/>
    <w:rsid w:val="0019188A"/>
    <w:rsid w:val="00195430"/>
    <w:rsid w:val="001A6F5A"/>
    <w:rsid w:val="001B7E53"/>
    <w:rsid w:val="001C072B"/>
    <w:rsid w:val="001C137C"/>
    <w:rsid w:val="001C13E7"/>
    <w:rsid w:val="001D20B4"/>
    <w:rsid w:val="001E221E"/>
    <w:rsid w:val="001E5CA5"/>
    <w:rsid w:val="001E5E85"/>
    <w:rsid w:val="001F5F0A"/>
    <w:rsid w:val="002049D9"/>
    <w:rsid w:val="0020567B"/>
    <w:rsid w:val="002111A4"/>
    <w:rsid w:val="0022299C"/>
    <w:rsid w:val="00223D32"/>
    <w:rsid w:val="00225C81"/>
    <w:rsid w:val="00242773"/>
    <w:rsid w:val="002441E9"/>
    <w:rsid w:val="00247EAA"/>
    <w:rsid w:val="00251A95"/>
    <w:rsid w:val="00257333"/>
    <w:rsid w:val="00260222"/>
    <w:rsid w:val="00260F24"/>
    <w:rsid w:val="00261015"/>
    <w:rsid w:val="00275D7B"/>
    <w:rsid w:val="00276574"/>
    <w:rsid w:val="00283702"/>
    <w:rsid w:val="00284186"/>
    <w:rsid w:val="00285D82"/>
    <w:rsid w:val="00291433"/>
    <w:rsid w:val="00293EC9"/>
    <w:rsid w:val="00295334"/>
    <w:rsid w:val="002A34DB"/>
    <w:rsid w:val="002A4320"/>
    <w:rsid w:val="002B51AD"/>
    <w:rsid w:val="002B60E2"/>
    <w:rsid w:val="002B6E19"/>
    <w:rsid w:val="002D108B"/>
    <w:rsid w:val="002F04F8"/>
    <w:rsid w:val="002F153B"/>
    <w:rsid w:val="002F1706"/>
    <w:rsid w:val="002F432E"/>
    <w:rsid w:val="002F575F"/>
    <w:rsid w:val="002F5E68"/>
    <w:rsid w:val="002F65A6"/>
    <w:rsid w:val="00323003"/>
    <w:rsid w:val="00331CB2"/>
    <w:rsid w:val="00335BFB"/>
    <w:rsid w:val="00336D1D"/>
    <w:rsid w:val="00344D3D"/>
    <w:rsid w:val="003649A8"/>
    <w:rsid w:val="003654BF"/>
    <w:rsid w:val="003830B8"/>
    <w:rsid w:val="00392D6E"/>
    <w:rsid w:val="003A3C78"/>
    <w:rsid w:val="003A766F"/>
    <w:rsid w:val="003B2460"/>
    <w:rsid w:val="003B6208"/>
    <w:rsid w:val="003C6BF7"/>
    <w:rsid w:val="003D0298"/>
    <w:rsid w:val="003D76A8"/>
    <w:rsid w:val="003D7AF6"/>
    <w:rsid w:val="003E77B6"/>
    <w:rsid w:val="003F13B0"/>
    <w:rsid w:val="00401BF6"/>
    <w:rsid w:val="00415F96"/>
    <w:rsid w:val="00416196"/>
    <w:rsid w:val="00423EEA"/>
    <w:rsid w:val="00433DA4"/>
    <w:rsid w:val="00434955"/>
    <w:rsid w:val="00437AB1"/>
    <w:rsid w:val="00440283"/>
    <w:rsid w:val="00445B7E"/>
    <w:rsid w:val="004504B4"/>
    <w:rsid w:val="00453DB6"/>
    <w:rsid w:val="00456991"/>
    <w:rsid w:val="00456DE3"/>
    <w:rsid w:val="00460EBA"/>
    <w:rsid w:val="00466D39"/>
    <w:rsid w:val="00471314"/>
    <w:rsid w:val="0047293B"/>
    <w:rsid w:val="004736A8"/>
    <w:rsid w:val="0047461E"/>
    <w:rsid w:val="004761A2"/>
    <w:rsid w:val="004761DB"/>
    <w:rsid w:val="00486F08"/>
    <w:rsid w:val="00487FF0"/>
    <w:rsid w:val="0049247B"/>
    <w:rsid w:val="00494DFE"/>
    <w:rsid w:val="004A40AE"/>
    <w:rsid w:val="004A46DD"/>
    <w:rsid w:val="004A4A78"/>
    <w:rsid w:val="004A5914"/>
    <w:rsid w:val="004B03A0"/>
    <w:rsid w:val="004B2F1A"/>
    <w:rsid w:val="004B64C4"/>
    <w:rsid w:val="004B708E"/>
    <w:rsid w:val="004E0FA3"/>
    <w:rsid w:val="004F316F"/>
    <w:rsid w:val="00504AB4"/>
    <w:rsid w:val="00504FD0"/>
    <w:rsid w:val="005067A7"/>
    <w:rsid w:val="005107D4"/>
    <w:rsid w:val="005117DA"/>
    <w:rsid w:val="00516777"/>
    <w:rsid w:val="00520330"/>
    <w:rsid w:val="00523205"/>
    <w:rsid w:val="0053209F"/>
    <w:rsid w:val="00533422"/>
    <w:rsid w:val="00536EF3"/>
    <w:rsid w:val="00542BF0"/>
    <w:rsid w:val="00550983"/>
    <w:rsid w:val="0055706A"/>
    <w:rsid w:val="00557EDD"/>
    <w:rsid w:val="0056303E"/>
    <w:rsid w:val="005643D1"/>
    <w:rsid w:val="005679F0"/>
    <w:rsid w:val="00593190"/>
    <w:rsid w:val="005A4656"/>
    <w:rsid w:val="005A7EC0"/>
    <w:rsid w:val="005C19D1"/>
    <w:rsid w:val="005D362E"/>
    <w:rsid w:val="005D58A9"/>
    <w:rsid w:val="005D622A"/>
    <w:rsid w:val="005E4641"/>
    <w:rsid w:val="005F262D"/>
    <w:rsid w:val="006024EA"/>
    <w:rsid w:val="00621C29"/>
    <w:rsid w:val="006242D5"/>
    <w:rsid w:val="006319C2"/>
    <w:rsid w:val="006476F9"/>
    <w:rsid w:val="006632EC"/>
    <w:rsid w:val="00663F21"/>
    <w:rsid w:val="00667231"/>
    <w:rsid w:val="00683A4C"/>
    <w:rsid w:val="00687129"/>
    <w:rsid w:val="00690A9F"/>
    <w:rsid w:val="00690ED8"/>
    <w:rsid w:val="00692413"/>
    <w:rsid w:val="006A27E5"/>
    <w:rsid w:val="006B21C6"/>
    <w:rsid w:val="006C15FA"/>
    <w:rsid w:val="006C222D"/>
    <w:rsid w:val="006C551C"/>
    <w:rsid w:val="006D0058"/>
    <w:rsid w:val="006D0EAF"/>
    <w:rsid w:val="006D136D"/>
    <w:rsid w:val="006E2EDB"/>
    <w:rsid w:val="006F2CDA"/>
    <w:rsid w:val="006F53D1"/>
    <w:rsid w:val="0071408B"/>
    <w:rsid w:val="007177E6"/>
    <w:rsid w:val="0072015F"/>
    <w:rsid w:val="0073103A"/>
    <w:rsid w:val="00732A41"/>
    <w:rsid w:val="0074564B"/>
    <w:rsid w:val="0074639E"/>
    <w:rsid w:val="0076597C"/>
    <w:rsid w:val="0076605A"/>
    <w:rsid w:val="00770295"/>
    <w:rsid w:val="00772A1C"/>
    <w:rsid w:val="00780325"/>
    <w:rsid w:val="00783A80"/>
    <w:rsid w:val="00783F29"/>
    <w:rsid w:val="007877EE"/>
    <w:rsid w:val="00792327"/>
    <w:rsid w:val="00797358"/>
    <w:rsid w:val="007A49CD"/>
    <w:rsid w:val="007A4B83"/>
    <w:rsid w:val="007B0D7C"/>
    <w:rsid w:val="007B3DDD"/>
    <w:rsid w:val="007C6E5A"/>
    <w:rsid w:val="007D5D78"/>
    <w:rsid w:val="007E41A4"/>
    <w:rsid w:val="007F7B6E"/>
    <w:rsid w:val="00807A1A"/>
    <w:rsid w:val="00826C94"/>
    <w:rsid w:val="00827742"/>
    <w:rsid w:val="0083198E"/>
    <w:rsid w:val="00835411"/>
    <w:rsid w:val="00845784"/>
    <w:rsid w:val="0084749C"/>
    <w:rsid w:val="008669B1"/>
    <w:rsid w:val="00874674"/>
    <w:rsid w:val="008775ED"/>
    <w:rsid w:val="0088495B"/>
    <w:rsid w:val="00894130"/>
    <w:rsid w:val="008A041E"/>
    <w:rsid w:val="008A3B9F"/>
    <w:rsid w:val="008A43A0"/>
    <w:rsid w:val="008B1CE1"/>
    <w:rsid w:val="008B2C70"/>
    <w:rsid w:val="008C0338"/>
    <w:rsid w:val="008C0C20"/>
    <w:rsid w:val="008C48A5"/>
    <w:rsid w:val="008C7B03"/>
    <w:rsid w:val="008D3F7D"/>
    <w:rsid w:val="008D6190"/>
    <w:rsid w:val="008F124A"/>
    <w:rsid w:val="00901C24"/>
    <w:rsid w:val="00910B7A"/>
    <w:rsid w:val="00912C36"/>
    <w:rsid w:val="00914241"/>
    <w:rsid w:val="0092329B"/>
    <w:rsid w:val="00923D5F"/>
    <w:rsid w:val="00925869"/>
    <w:rsid w:val="00930C49"/>
    <w:rsid w:val="009340C0"/>
    <w:rsid w:val="00952743"/>
    <w:rsid w:val="00955E01"/>
    <w:rsid w:val="00955F6D"/>
    <w:rsid w:val="009573C2"/>
    <w:rsid w:val="00957A1E"/>
    <w:rsid w:val="0097023E"/>
    <w:rsid w:val="00972C8E"/>
    <w:rsid w:val="0098432E"/>
    <w:rsid w:val="00990376"/>
    <w:rsid w:val="009950C6"/>
    <w:rsid w:val="009A1C03"/>
    <w:rsid w:val="009B1181"/>
    <w:rsid w:val="009B5F98"/>
    <w:rsid w:val="009C2C7B"/>
    <w:rsid w:val="009C4D8E"/>
    <w:rsid w:val="009D6F7D"/>
    <w:rsid w:val="009E3B6E"/>
    <w:rsid w:val="009E7171"/>
    <w:rsid w:val="009F758B"/>
    <w:rsid w:val="00A003A8"/>
    <w:rsid w:val="00A05BE7"/>
    <w:rsid w:val="00A06418"/>
    <w:rsid w:val="00A0649F"/>
    <w:rsid w:val="00A1125D"/>
    <w:rsid w:val="00A1246A"/>
    <w:rsid w:val="00A44954"/>
    <w:rsid w:val="00A5035B"/>
    <w:rsid w:val="00A517B1"/>
    <w:rsid w:val="00A56670"/>
    <w:rsid w:val="00A56C72"/>
    <w:rsid w:val="00A615EA"/>
    <w:rsid w:val="00A62968"/>
    <w:rsid w:val="00A63B12"/>
    <w:rsid w:val="00A67587"/>
    <w:rsid w:val="00A74AC9"/>
    <w:rsid w:val="00A824AF"/>
    <w:rsid w:val="00A86A88"/>
    <w:rsid w:val="00A86D91"/>
    <w:rsid w:val="00A87DD9"/>
    <w:rsid w:val="00A90EBD"/>
    <w:rsid w:val="00AA5001"/>
    <w:rsid w:val="00AB045C"/>
    <w:rsid w:val="00AC4F72"/>
    <w:rsid w:val="00AD76E3"/>
    <w:rsid w:val="00AF256D"/>
    <w:rsid w:val="00AF66D8"/>
    <w:rsid w:val="00B2562D"/>
    <w:rsid w:val="00B45EDF"/>
    <w:rsid w:val="00B61280"/>
    <w:rsid w:val="00B65189"/>
    <w:rsid w:val="00B70D0A"/>
    <w:rsid w:val="00B74D9C"/>
    <w:rsid w:val="00B76EA2"/>
    <w:rsid w:val="00B8326D"/>
    <w:rsid w:val="00B94D52"/>
    <w:rsid w:val="00BB246E"/>
    <w:rsid w:val="00BB4A45"/>
    <w:rsid w:val="00BC3B63"/>
    <w:rsid w:val="00BD47AD"/>
    <w:rsid w:val="00BF1A22"/>
    <w:rsid w:val="00C0320F"/>
    <w:rsid w:val="00C0460F"/>
    <w:rsid w:val="00C06CFA"/>
    <w:rsid w:val="00C12D8A"/>
    <w:rsid w:val="00C16FDF"/>
    <w:rsid w:val="00C471C2"/>
    <w:rsid w:val="00C52641"/>
    <w:rsid w:val="00C53590"/>
    <w:rsid w:val="00C655BB"/>
    <w:rsid w:val="00C67B49"/>
    <w:rsid w:val="00C7137F"/>
    <w:rsid w:val="00C839B7"/>
    <w:rsid w:val="00C85BF2"/>
    <w:rsid w:val="00C87617"/>
    <w:rsid w:val="00C90D45"/>
    <w:rsid w:val="00C96E5D"/>
    <w:rsid w:val="00CA5AC6"/>
    <w:rsid w:val="00CB6AB5"/>
    <w:rsid w:val="00CC41A2"/>
    <w:rsid w:val="00CC6A8C"/>
    <w:rsid w:val="00CC760A"/>
    <w:rsid w:val="00CD3B95"/>
    <w:rsid w:val="00CE30AE"/>
    <w:rsid w:val="00CE70AB"/>
    <w:rsid w:val="00D20B50"/>
    <w:rsid w:val="00D21902"/>
    <w:rsid w:val="00D24C46"/>
    <w:rsid w:val="00D24E9C"/>
    <w:rsid w:val="00D30D35"/>
    <w:rsid w:val="00D46932"/>
    <w:rsid w:val="00D46F95"/>
    <w:rsid w:val="00D54884"/>
    <w:rsid w:val="00D65AAE"/>
    <w:rsid w:val="00D74365"/>
    <w:rsid w:val="00D75EC2"/>
    <w:rsid w:val="00D8472B"/>
    <w:rsid w:val="00DA3465"/>
    <w:rsid w:val="00DA50E7"/>
    <w:rsid w:val="00DC299B"/>
    <w:rsid w:val="00DD7E44"/>
    <w:rsid w:val="00DE5114"/>
    <w:rsid w:val="00DE6702"/>
    <w:rsid w:val="00DF07FB"/>
    <w:rsid w:val="00DF51FD"/>
    <w:rsid w:val="00E0063E"/>
    <w:rsid w:val="00E1252E"/>
    <w:rsid w:val="00E172AB"/>
    <w:rsid w:val="00E31A42"/>
    <w:rsid w:val="00E31E41"/>
    <w:rsid w:val="00E349A0"/>
    <w:rsid w:val="00E4258F"/>
    <w:rsid w:val="00E42BBE"/>
    <w:rsid w:val="00E53137"/>
    <w:rsid w:val="00E60548"/>
    <w:rsid w:val="00E60B81"/>
    <w:rsid w:val="00E627B1"/>
    <w:rsid w:val="00E66747"/>
    <w:rsid w:val="00E70758"/>
    <w:rsid w:val="00E73CF2"/>
    <w:rsid w:val="00E936F6"/>
    <w:rsid w:val="00EA69D8"/>
    <w:rsid w:val="00EC1779"/>
    <w:rsid w:val="00ED00AF"/>
    <w:rsid w:val="00ED4244"/>
    <w:rsid w:val="00EE6198"/>
    <w:rsid w:val="00EF07B1"/>
    <w:rsid w:val="00EF693B"/>
    <w:rsid w:val="00EF7688"/>
    <w:rsid w:val="00F061CF"/>
    <w:rsid w:val="00F117A5"/>
    <w:rsid w:val="00F14223"/>
    <w:rsid w:val="00F14233"/>
    <w:rsid w:val="00F16840"/>
    <w:rsid w:val="00F23D2F"/>
    <w:rsid w:val="00F27106"/>
    <w:rsid w:val="00F421C5"/>
    <w:rsid w:val="00F52C55"/>
    <w:rsid w:val="00F56801"/>
    <w:rsid w:val="00F63557"/>
    <w:rsid w:val="00F708A6"/>
    <w:rsid w:val="00F816DF"/>
    <w:rsid w:val="00F94B7D"/>
    <w:rsid w:val="00F9599A"/>
    <w:rsid w:val="00FA12E6"/>
    <w:rsid w:val="00FA3E42"/>
    <w:rsid w:val="00FC668E"/>
    <w:rsid w:val="00FD690B"/>
    <w:rsid w:val="00FE77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unhideWhenUsed/>
    <w:rsid w:val="00D30D35"/>
  </w:style>
  <w:style w:type="character" w:customStyle="1" w:styleId="CommentTextChar">
    <w:name w:val="Comment Text Char"/>
    <w:link w:val="CommentText"/>
    <w:uiPriority w:val="99"/>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aliases w:val="- Bullets,목록 단락,リスト段落,列出段落"/>
    <w:basedOn w:val="Normal"/>
    <w:link w:val="ListParagraphChar"/>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Normal"/>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ListParagraphChar">
    <w:name w:val="List Paragraph Char"/>
    <w:aliases w:val="- Bullets Char,목록 단락 Char,リスト段落 Char,列出段落 Char"/>
    <w:link w:val="ListParagraph"/>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List"/>
    <w:link w:val="B1Char"/>
    <w:qFormat/>
    <w:rsid w:val="0056303E"/>
    <w:pPr>
      <w:spacing w:after="180" w:line="240" w:lineRule="auto"/>
      <w:ind w:left="568" w:hanging="284"/>
      <w:contextualSpacing w:val="0"/>
    </w:pPr>
    <w:rPr>
      <w:rFonts w:ascii="Times New Roman" w:hAnsi="Times New Roman"/>
      <w:sz w:val="20"/>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List2"/>
    <w:link w:val="B2Char"/>
    <w:rsid w:val="0056303E"/>
    <w:pPr>
      <w:spacing w:after="180" w:line="240" w:lineRule="auto"/>
      <w:ind w:left="851" w:hanging="284"/>
      <w:contextualSpacing w:val="0"/>
    </w:pPr>
    <w:rPr>
      <w:rFonts w:ascii="Times New Roman" w:hAnsi="Times New Roman"/>
      <w:sz w:val="20"/>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List3"/>
    <w:link w:val="B3Char"/>
    <w:rsid w:val="0056303E"/>
    <w:pPr>
      <w:spacing w:after="180" w:line="240" w:lineRule="auto"/>
      <w:ind w:left="1135"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56303E"/>
    <w:pPr>
      <w:ind w:left="360" w:hanging="360"/>
      <w:contextualSpacing/>
    </w:pPr>
  </w:style>
  <w:style w:type="paragraph" w:styleId="List2">
    <w:name w:val="List 2"/>
    <w:basedOn w:val="Normal"/>
    <w:uiPriority w:val="99"/>
    <w:semiHidden/>
    <w:unhideWhenUsed/>
    <w:rsid w:val="0056303E"/>
    <w:pPr>
      <w:ind w:left="720" w:hanging="360"/>
      <w:contextualSpacing/>
    </w:pPr>
  </w:style>
  <w:style w:type="paragraph" w:styleId="List3">
    <w:name w:val="List 3"/>
    <w:basedOn w:val="Normal"/>
    <w:uiPriority w:val="99"/>
    <w:semiHidden/>
    <w:unhideWhenUsed/>
    <w:rsid w:val="0056303E"/>
    <w:pPr>
      <w:ind w:left="1080" w:hanging="360"/>
      <w:contextualSpacing/>
    </w:pPr>
  </w:style>
  <w:style w:type="paragraph" w:customStyle="1" w:styleId="Agreement">
    <w:name w:val="Agreement"/>
    <w:basedOn w:val="Normal"/>
    <w:next w:val="Doc-text2"/>
    <w:rsid w:val="004B03A0"/>
    <w:pPr>
      <w:numPr>
        <w:numId w:val="27"/>
      </w:numPr>
      <w:spacing w:before="60" w:after="0" w:line="240"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RAN2101CN</b:Tag>
    <b:SourceType>ConferenceProceedings</b:SourceType>
    <b:Guid>{4F8C3C6A-E368-4536-8CBB-0DF5DE44D926}</b:Guid>
    <b:Title>RAN2#101, Chairman Notes</b:Title>
    <b:RefOrder>2</b:RefOrder>
  </b:Source>
  <b:Source>
    <b:Tag>RAN1responseLS</b:Tag>
    <b:SourceType>ConferenceProceedings</b:SourceType>
    <b:Guid>{48C3478C-6BEE-49EF-A160-5F1408D17EC2}</b:Guid>
    <b:Title>R2-1803981, "LS reply on beam failure recovery RAN1"</b:Title>
    <b:RefOrder>4</b:RefOrder>
  </b:Source>
  <b:Source>
    <b:Tag>HWBFRMACCE</b:Tag>
    <b:SourceType>ConferenceProceedings</b:SourceType>
    <b:Guid>{D55F70A9-87A9-4C04-AE01-5E00636DE921}</b:Guid>
    <b:Title>R2-1801009, "General considerations on the RA procedure for beam failure recovery", Huawei, HiSilicon</b:Title>
    <b:RefOrder>5</b:RefOrder>
  </b:Source>
  <b:Source>
    <b:Tag>RAN1LSBFRTimer</b:Tag>
    <b:SourceType>ConferenceProceedings</b:SourceType>
    <b:Guid>{43AE6D55-6B35-4885-BB93-82D92FFBB8D8}</b:Guid>
    <b:Title>R1-1805622, "LS on beamFailureRecoveryTimer", RAN1</b:Title>
    <b:RefOrder>1</b:RefOrder>
  </b:Source>
  <b:Source>
    <b:Tag>RAN2101bisCN</b:Tag>
    <b:SourceType>ConferenceProceedings</b:SourceType>
    <b:Guid>{E3D988CD-0DDB-4D6B-B616-CE8C2138123C}</b:Guid>
    <b:Title>R2-1806201, "RAN2#101bis: Report NR UP breakout session"</b:Title>
    <b:RefOrder>6</b:RefOrder>
  </b:Source>
  <b:Source>
    <b:Tag>CRBFR</b:Tag>
    <b:SourceType>ConferenceProceedings</b:SourceType>
    <b:Guid>{5D914CFD-2995-4ACF-876E-F42ADCAB6690}</b:Guid>
    <b:Title>R2-1807373, "CR on Beam Failure Recovery Timer", Intel Corporation</b:Title>
    <b:RefOrder>3</b:RefOrder>
  </b:Source>
</b:Sources>
</file>

<file path=customXml/itemProps1.xml><?xml version="1.0" encoding="utf-8"?>
<ds:datastoreItem xmlns:ds="http://schemas.openxmlformats.org/officeDocument/2006/customXml" ds:itemID="{97CF9B5B-CEE0-4B9A-AF13-D0C734C1CE5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B904B150-A436-4D7B-B9D2-0ECE4DA5F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3788</TotalTime>
  <Pages>3</Pages>
  <Words>1151</Words>
  <Characters>5852</Characters>
  <Application>Microsoft Office Word</Application>
  <DocSecurity>0</DocSecurity>
  <Lines>97</Lines>
  <Paragraphs>45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192</cp:revision>
  <dcterms:created xsi:type="dcterms:W3CDTF">2017-08-10T20:32:00Z</dcterms:created>
  <dcterms:modified xsi:type="dcterms:W3CDTF">2018-05-11T03:23:00Z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26d53df8-0f83-4ebe-a13d-89908183de27</vt:lpwstr>
  </property>
  <property fmtid="{D5CDD505-2E9C-101B-9397-08002B2CF9AE}" pid="4" name="CTP_BU">
    <vt:lpwstr>NA</vt:lpwstr>
  </property>
  <property fmtid="{D5CDD505-2E9C-101B-9397-08002B2CF9AE}" pid="5" name="CTP_TimeStamp">
    <vt:lpwstr>2018-05-11 03:23:09Z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