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0053B" w14:textId="5D7129DC" w:rsidR="0082225A" w:rsidRDefault="0082225A" w:rsidP="0082225A">
      <w:pPr>
        <w:pStyle w:val="CRCoverPage"/>
        <w:outlineLvl w:val="0"/>
        <w:rPr>
          <w:b/>
          <w:sz w:val="24"/>
          <w:szCs w:val="24"/>
          <w:lang w:eastAsia="zh-CN"/>
        </w:rPr>
      </w:pPr>
      <w:r>
        <w:rPr>
          <w:rFonts w:cs="Arial"/>
          <w:b/>
          <w:sz w:val="24"/>
        </w:rPr>
        <w:t xml:space="preserve">3GPP TSG RAN WG2 Meeting #102         </w:t>
      </w:r>
      <w:r>
        <w:rPr>
          <w:rFonts w:cs="Arial"/>
          <w:b/>
          <w:sz w:val="24"/>
        </w:rPr>
        <w:tab/>
      </w:r>
      <w:r>
        <w:rPr>
          <w:rFonts w:cs="Arial"/>
          <w:b/>
          <w:sz w:val="24"/>
        </w:rPr>
        <w:tab/>
      </w:r>
      <w:r>
        <w:rPr>
          <w:rFonts w:cs="Arial"/>
          <w:b/>
          <w:sz w:val="24"/>
        </w:rPr>
        <w:tab/>
        <w:t xml:space="preserve">             </w:t>
      </w:r>
      <w:r>
        <w:rPr>
          <w:rFonts w:cs="Arial"/>
          <w:b/>
          <w:sz w:val="24"/>
        </w:rPr>
        <w:tab/>
        <w:t xml:space="preserve"> </w:t>
      </w:r>
      <w:bookmarkStart w:id="0" w:name="_GoBack"/>
      <w:r>
        <w:rPr>
          <w:rFonts w:cs="Arial"/>
          <w:b/>
          <w:sz w:val="24"/>
        </w:rPr>
        <w:t>R2-1806679</w:t>
      </w:r>
      <w:bookmarkEnd w:id="0"/>
      <w:r>
        <w:rPr>
          <w:rFonts w:cs="Arial"/>
          <w:b/>
          <w:sz w:val="24"/>
        </w:rPr>
        <w:br/>
      </w:r>
      <w:r>
        <w:rPr>
          <w:b/>
          <w:sz w:val="24"/>
          <w:szCs w:val="24"/>
          <w:lang w:eastAsia="zh-CN"/>
        </w:rPr>
        <w:t>Busan, Korea, 21</w:t>
      </w:r>
      <w:r w:rsidRPr="005A11DE">
        <w:rPr>
          <w:b/>
          <w:sz w:val="24"/>
          <w:szCs w:val="24"/>
          <w:vertAlign w:val="superscript"/>
          <w:lang w:eastAsia="zh-CN"/>
        </w:rPr>
        <w:t>st</w:t>
      </w:r>
      <w:r>
        <w:rPr>
          <w:b/>
          <w:sz w:val="24"/>
          <w:szCs w:val="24"/>
          <w:lang w:eastAsia="zh-CN"/>
        </w:rPr>
        <w:t xml:space="preserve"> - 25</w:t>
      </w:r>
      <w:r>
        <w:rPr>
          <w:b/>
          <w:sz w:val="24"/>
          <w:szCs w:val="24"/>
          <w:vertAlign w:val="superscript"/>
          <w:lang w:eastAsia="zh-CN"/>
        </w:rPr>
        <w:t>th</w:t>
      </w:r>
      <w:r>
        <w:rPr>
          <w:b/>
          <w:sz w:val="24"/>
          <w:szCs w:val="24"/>
          <w:lang w:eastAsia="zh-CN"/>
        </w:rPr>
        <w:t xml:space="preserve"> May 2018</w:t>
      </w:r>
    </w:p>
    <w:p w14:paraId="4724D458" w14:textId="1447158C" w:rsidR="00900EC5" w:rsidRPr="007730BD" w:rsidRDefault="00900EC5" w:rsidP="00900EC5">
      <w:pPr>
        <w:pStyle w:val="3GPPHeader"/>
        <w:rPr>
          <w:sz w:val="22"/>
          <w:szCs w:val="22"/>
          <w:lang w:val="sv-SE"/>
        </w:rPr>
      </w:pPr>
      <w:r w:rsidRPr="007730BD">
        <w:rPr>
          <w:sz w:val="22"/>
          <w:szCs w:val="22"/>
          <w:lang w:val="sv-SE"/>
        </w:rPr>
        <w:t>Agenda Item:</w:t>
      </w:r>
      <w:r w:rsidRPr="007730BD">
        <w:rPr>
          <w:sz w:val="22"/>
          <w:szCs w:val="22"/>
          <w:lang w:val="sv-SE"/>
        </w:rPr>
        <w:tab/>
      </w:r>
      <w:r w:rsidR="00881001" w:rsidRPr="00881001">
        <w:rPr>
          <w:sz w:val="22"/>
          <w:szCs w:val="22"/>
          <w:lang w:val="sv-SE"/>
        </w:rPr>
        <w:t>10.4.2.3 Corrections to other EN-DC aspects</w:t>
      </w:r>
    </w:p>
    <w:p w14:paraId="6AF30FE7" w14:textId="00DEC8D6" w:rsidR="00900EC5" w:rsidRPr="00CE0424" w:rsidRDefault="00900EC5" w:rsidP="00900EC5">
      <w:pPr>
        <w:pStyle w:val="3GPPHeader"/>
        <w:rPr>
          <w:sz w:val="22"/>
          <w:szCs w:val="22"/>
        </w:rPr>
      </w:pPr>
      <w:r>
        <w:rPr>
          <w:sz w:val="22"/>
          <w:szCs w:val="22"/>
        </w:rPr>
        <w:t>Source:</w:t>
      </w:r>
      <w:r w:rsidRPr="00CE0424">
        <w:rPr>
          <w:sz w:val="22"/>
          <w:szCs w:val="22"/>
        </w:rPr>
        <w:tab/>
      </w:r>
      <w:r w:rsidR="00873BAD">
        <w:rPr>
          <w:noProof/>
        </w:rPr>
        <w:t>Qualcomm Incorporated</w:t>
      </w:r>
    </w:p>
    <w:p w14:paraId="09B60C41" w14:textId="7760C385" w:rsidR="00900EC5" w:rsidRPr="00CE0424" w:rsidRDefault="00900EC5" w:rsidP="00900EC5">
      <w:pPr>
        <w:pStyle w:val="3GPPHeader"/>
        <w:rPr>
          <w:sz w:val="22"/>
          <w:szCs w:val="22"/>
        </w:rPr>
      </w:pPr>
      <w:r>
        <w:rPr>
          <w:sz w:val="22"/>
          <w:szCs w:val="22"/>
        </w:rPr>
        <w:t>Title:</w:t>
      </w:r>
      <w:r w:rsidRPr="00CE0424">
        <w:rPr>
          <w:sz w:val="22"/>
          <w:szCs w:val="22"/>
        </w:rPr>
        <w:tab/>
      </w:r>
      <w:r w:rsidR="00881001">
        <w:rPr>
          <w:sz w:val="22"/>
          <w:szCs w:val="22"/>
        </w:rPr>
        <w:t>Clarification on</w:t>
      </w:r>
      <w:r w:rsidR="001554FC">
        <w:rPr>
          <w:sz w:val="22"/>
          <w:szCs w:val="22"/>
        </w:rPr>
        <w:t xml:space="preserve"> LTE Overheating mechanism </w:t>
      </w:r>
      <w:r w:rsidR="00881001">
        <w:rPr>
          <w:sz w:val="22"/>
          <w:szCs w:val="22"/>
        </w:rPr>
        <w:t>in EN-DC</w:t>
      </w:r>
    </w:p>
    <w:p w14:paraId="2800CC7E" w14:textId="77777777" w:rsidR="00900EC5" w:rsidRPr="00CE0424" w:rsidRDefault="00900EC5" w:rsidP="00900EC5">
      <w:pPr>
        <w:pStyle w:val="3GPPHeader"/>
      </w:pPr>
      <w:r w:rsidRPr="00CE0424">
        <w:rPr>
          <w:sz w:val="22"/>
          <w:szCs w:val="22"/>
        </w:rPr>
        <w:t>Document for:</w:t>
      </w:r>
      <w:r w:rsidRPr="00CE0424">
        <w:rPr>
          <w:sz w:val="22"/>
          <w:szCs w:val="22"/>
        </w:rPr>
        <w:tab/>
      </w:r>
      <w:r w:rsidRPr="001B5E8E">
        <w:rPr>
          <w:sz w:val="22"/>
          <w:szCs w:val="22"/>
        </w:rPr>
        <w:t>Discussion, Decision</w:t>
      </w:r>
    </w:p>
    <w:p w14:paraId="41B1BE10" w14:textId="24D6FA97" w:rsidR="00900EC5" w:rsidRDefault="00900EC5" w:rsidP="00900EC5">
      <w:pPr>
        <w:pStyle w:val="Heading1"/>
      </w:pPr>
      <w:r w:rsidRPr="00CE0424">
        <w:t>Introduction</w:t>
      </w:r>
    </w:p>
    <w:p w14:paraId="6055CA72" w14:textId="797B7F45" w:rsidR="00BE30B2" w:rsidRPr="00D44310" w:rsidRDefault="00BE30B2" w:rsidP="00BE30B2">
      <w:pPr>
        <w:rPr>
          <w:rFonts w:ascii="Calibri" w:eastAsia="MS Mincho" w:hAnsi="Calibri" w:cs="Calibri"/>
          <w:szCs w:val="24"/>
          <w:lang w:val="en-GB" w:eastAsia="en-GB"/>
        </w:rPr>
      </w:pPr>
      <w:r w:rsidRPr="00D44310">
        <w:rPr>
          <w:rFonts w:ascii="Calibri" w:eastAsia="MS Mincho" w:hAnsi="Calibri" w:cs="Calibri"/>
          <w:szCs w:val="24"/>
          <w:lang w:val="en-GB" w:eastAsia="en-GB"/>
        </w:rPr>
        <w:t>At RAN2-</w:t>
      </w:r>
      <w:r w:rsidR="00D619FD" w:rsidRPr="00D44310">
        <w:rPr>
          <w:rFonts w:ascii="Calibri" w:eastAsia="MS Mincho" w:hAnsi="Calibri" w:cs="Calibri"/>
          <w:szCs w:val="24"/>
          <w:lang w:val="en-GB" w:eastAsia="en-GB"/>
        </w:rPr>
        <w:t>101</w:t>
      </w:r>
      <w:r w:rsidRPr="00D44310">
        <w:rPr>
          <w:rFonts w:ascii="Calibri" w:eastAsia="MS Mincho" w:hAnsi="Calibri" w:cs="Calibri"/>
          <w:szCs w:val="24"/>
          <w:lang w:val="en-GB" w:eastAsia="en-GB"/>
        </w:rPr>
        <w:t xml:space="preserve"> the following</w:t>
      </w:r>
      <w:r w:rsidR="00D619FD" w:rsidRPr="00D44310">
        <w:rPr>
          <w:rFonts w:ascii="Calibri" w:eastAsia="MS Mincho" w:hAnsi="Calibri" w:cs="Calibri"/>
          <w:szCs w:val="24"/>
          <w:lang w:val="en-GB" w:eastAsia="en-GB"/>
        </w:rPr>
        <w:t xml:space="preserve"> observations</w:t>
      </w:r>
      <w:r w:rsidRPr="00D44310">
        <w:rPr>
          <w:rFonts w:ascii="Calibri" w:eastAsia="MS Mincho" w:hAnsi="Calibri" w:cs="Calibri"/>
          <w:szCs w:val="24"/>
          <w:lang w:val="en-GB" w:eastAsia="en-GB"/>
        </w:rPr>
        <w:t xml:space="preserve"> were made</w:t>
      </w:r>
      <w:r w:rsidR="00D619FD" w:rsidRPr="00D44310">
        <w:rPr>
          <w:rFonts w:ascii="Calibri" w:eastAsia="MS Mincho" w:hAnsi="Calibri" w:cs="Calibri"/>
          <w:szCs w:val="24"/>
          <w:lang w:val="en-GB" w:eastAsia="en-GB"/>
        </w:rPr>
        <w:t xml:space="preserve"> for overheating mechanism in EN-DC and SA. It was discussed that the existing LTE overheating mechanism can be used in EN-DC operation to indicate to Network about UE experiencing overheating and requires Network resolution to alleviate the overheating problem.</w:t>
      </w:r>
    </w:p>
    <w:tbl>
      <w:tblPr>
        <w:tblStyle w:val="TableGrid"/>
        <w:tblW w:w="0" w:type="auto"/>
        <w:tblLook w:val="05E0" w:firstRow="1" w:lastRow="1" w:firstColumn="1" w:lastColumn="1" w:noHBand="0" w:noVBand="1"/>
      </w:tblPr>
      <w:tblGrid>
        <w:gridCol w:w="9350"/>
      </w:tblGrid>
      <w:tr w:rsidR="00BE30B2" w14:paraId="522D2748" w14:textId="77777777" w:rsidTr="007E5D10">
        <w:tc>
          <w:tcPr>
            <w:tcW w:w="9629" w:type="dxa"/>
          </w:tcPr>
          <w:p w14:paraId="4AAB4AB3" w14:textId="77777777" w:rsidR="00D619FD" w:rsidRPr="00D44310" w:rsidRDefault="00D619FD" w:rsidP="00D619FD">
            <w:pPr>
              <w:pStyle w:val="Doc-text2"/>
              <w:rPr>
                <w:rFonts w:ascii="Calibri" w:hAnsi="Calibri" w:cs="Calibri"/>
                <w:sz w:val="22"/>
              </w:rPr>
            </w:pPr>
            <w:r w:rsidRPr="00D44310">
              <w:rPr>
                <w:rFonts w:ascii="Calibri body" w:hAnsi="Calibri body"/>
                <w:sz w:val="22"/>
                <w:szCs w:val="22"/>
              </w:rPr>
              <w:t>-</w:t>
            </w:r>
            <w:r w:rsidRPr="00D44310">
              <w:rPr>
                <w:rFonts w:ascii="Calibri body" w:hAnsi="Calibri body"/>
                <w:sz w:val="22"/>
                <w:szCs w:val="22"/>
              </w:rPr>
              <w:tab/>
            </w:r>
            <w:r w:rsidRPr="00D44310">
              <w:rPr>
                <w:rFonts w:ascii="Calibri" w:hAnsi="Calibri" w:cs="Calibri"/>
                <w:sz w:val="22"/>
              </w:rPr>
              <w:t xml:space="preserve">Vodafone think it is already applicable without any additional indication. There is LTE signalling and it can be </w:t>
            </w:r>
            <w:proofErr w:type="gramStart"/>
            <w:r w:rsidRPr="00D44310">
              <w:rPr>
                <w:rFonts w:ascii="Calibri" w:hAnsi="Calibri" w:cs="Calibri"/>
                <w:sz w:val="22"/>
              </w:rPr>
              <w:t>used</w:t>
            </w:r>
            <w:proofErr w:type="gramEnd"/>
            <w:r w:rsidRPr="00D44310">
              <w:rPr>
                <w:rFonts w:ascii="Calibri" w:hAnsi="Calibri" w:cs="Calibri"/>
                <w:sz w:val="22"/>
              </w:rPr>
              <w:t xml:space="preserve"> and the network can choose to </w:t>
            </w:r>
            <w:proofErr w:type="spellStart"/>
            <w:r w:rsidRPr="00D44310">
              <w:rPr>
                <w:rFonts w:ascii="Calibri" w:hAnsi="Calibri" w:cs="Calibri"/>
                <w:sz w:val="22"/>
              </w:rPr>
              <w:t>deconfigure</w:t>
            </w:r>
            <w:proofErr w:type="spellEnd"/>
            <w:r w:rsidRPr="00D44310">
              <w:rPr>
                <w:rFonts w:ascii="Calibri" w:hAnsi="Calibri" w:cs="Calibri"/>
                <w:sz w:val="22"/>
              </w:rPr>
              <w:t xml:space="preserve"> EN-DC</w:t>
            </w:r>
          </w:p>
          <w:p w14:paraId="285D87C0" w14:textId="77777777" w:rsidR="00D619FD" w:rsidRPr="00D44310" w:rsidRDefault="00D619FD" w:rsidP="00D619FD">
            <w:pPr>
              <w:pStyle w:val="Doc-text2"/>
              <w:rPr>
                <w:rFonts w:ascii="Calibri" w:hAnsi="Calibri" w:cs="Calibri"/>
                <w:sz w:val="22"/>
              </w:rPr>
            </w:pPr>
            <w:r w:rsidRPr="00D44310">
              <w:rPr>
                <w:rFonts w:ascii="Calibri" w:hAnsi="Calibri" w:cs="Calibri"/>
                <w:sz w:val="22"/>
              </w:rPr>
              <w:t>-</w:t>
            </w:r>
            <w:r w:rsidRPr="00D44310">
              <w:rPr>
                <w:rFonts w:ascii="Calibri" w:hAnsi="Calibri" w:cs="Calibri"/>
                <w:sz w:val="22"/>
              </w:rPr>
              <w:tab/>
              <w:t>LG think some of the assistance info is only applicable to UE Cat. But need to clarify of the number of CC applies to both NR and LTE carriers or only LTE. Then we would need to clarify the network behaviour. Nokia have the same understanding that we just need to clarify the number of carriers.</w:t>
            </w:r>
          </w:p>
          <w:p w14:paraId="272D989C" w14:textId="77777777" w:rsidR="00D619FD" w:rsidRPr="00D44310" w:rsidRDefault="00D619FD" w:rsidP="00D619FD">
            <w:pPr>
              <w:pStyle w:val="Doc-text2"/>
              <w:rPr>
                <w:rFonts w:ascii="Calibri" w:hAnsi="Calibri" w:cs="Calibri"/>
                <w:sz w:val="22"/>
              </w:rPr>
            </w:pPr>
            <w:r w:rsidRPr="00D44310">
              <w:rPr>
                <w:rFonts w:ascii="Calibri" w:hAnsi="Calibri" w:cs="Calibri"/>
                <w:sz w:val="22"/>
              </w:rPr>
              <w:t>-</w:t>
            </w:r>
            <w:r w:rsidRPr="00D44310">
              <w:rPr>
                <w:rFonts w:ascii="Calibri" w:hAnsi="Calibri" w:cs="Calibri"/>
                <w:sz w:val="22"/>
              </w:rPr>
              <w:tab/>
              <w:t>MediaTek prefer to consider the temporary capability restriction.</w:t>
            </w:r>
          </w:p>
          <w:p w14:paraId="20F0D521" w14:textId="5E4157E2" w:rsidR="00BE30B2" w:rsidRPr="00A4247C" w:rsidRDefault="00D619FD" w:rsidP="00D619FD">
            <w:pPr>
              <w:pStyle w:val="Doc-text2"/>
            </w:pPr>
            <w:r w:rsidRPr="00D44310">
              <w:rPr>
                <w:rFonts w:ascii="Calibri" w:hAnsi="Calibri" w:cs="Calibri"/>
                <w:sz w:val="22"/>
              </w:rPr>
              <w:t>-</w:t>
            </w:r>
            <w:r w:rsidRPr="00D44310">
              <w:rPr>
                <w:rFonts w:ascii="Calibri" w:hAnsi="Calibri" w:cs="Calibri"/>
                <w:sz w:val="22"/>
              </w:rPr>
              <w:tab/>
              <w:t>DOCOMO think there may be other factors that cause NR UEs to overheat. DT agree with DOCOMO.</w:t>
            </w:r>
          </w:p>
        </w:tc>
      </w:tr>
    </w:tbl>
    <w:p w14:paraId="2948DC42" w14:textId="0270ECB8" w:rsidR="00BE30B2" w:rsidRDefault="00BE30B2" w:rsidP="00BE30B2"/>
    <w:p w14:paraId="6A3370A8" w14:textId="4B7DE682" w:rsidR="00593A8A" w:rsidRDefault="008A4CB5" w:rsidP="00593A8A">
      <w:pPr>
        <w:rPr>
          <w:rFonts w:ascii="Calibri" w:eastAsia="MS Mincho" w:hAnsi="Calibri" w:cs="Calibri"/>
          <w:szCs w:val="24"/>
          <w:lang w:eastAsia="en-GB"/>
        </w:rPr>
      </w:pPr>
      <w:r>
        <w:rPr>
          <w:rFonts w:ascii="Calibri" w:eastAsia="MS Mincho" w:hAnsi="Calibri" w:cs="Calibri"/>
          <w:szCs w:val="24"/>
          <w:lang w:val="en-GB" w:eastAsia="en-GB"/>
        </w:rPr>
        <w:t xml:space="preserve">In this paper, we will discuss how </w:t>
      </w:r>
      <w:r w:rsidR="00D619FD">
        <w:rPr>
          <w:rFonts w:ascii="Calibri" w:eastAsia="MS Mincho" w:hAnsi="Calibri" w:cs="Calibri"/>
          <w:szCs w:val="24"/>
          <w:lang w:val="en-GB" w:eastAsia="en-GB"/>
        </w:rPr>
        <w:t>to use</w:t>
      </w:r>
      <w:r>
        <w:rPr>
          <w:rFonts w:ascii="Calibri" w:eastAsia="MS Mincho" w:hAnsi="Calibri" w:cs="Calibri"/>
          <w:szCs w:val="24"/>
          <w:lang w:val="en-GB" w:eastAsia="en-GB"/>
        </w:rPr>
        <w:t xml:space="preserve"> the LTE overheating procedure to alleviate UE’s overheating in </w:t>
      </w:r>
      <w:r w:rsidR="00D619FD">
        <w:rPr>
          <w:rFonts w:ascii="Calibri" w:eastAsia="MS Mincho" w:hAnsi="Calibri" w:cs="Calibri"/>
          <w:szCs w:val="24"/>
          <w:lang w:val="en-GB" w:eastAsia="en-GB"/>
        </w:rPr>
        <w:t>EN-DC operation and discuss possible Network resolution to alleviate UE’s overheating condition.</w:t>
      </w:r>
    </w:p>
    <w:p w14:paraId="18FA95D6" w14:textId="77777777" w:rsidR="0037277D" w:rsidRPr="00CE0424" w:rsidRDefault="0037277D" w:rsidP="0037277D">
      <w:pPr>
        <w:pStyle w:val="Heading1"/>
      </w:pPr>
      <w:bookmarkStart w:id="1" w:name="_Ref178064866"/>
      <w:r w:rsidRPr="00CE0424">
        <w:t>Discussion</w:t>
      </w:r>
      <w:bookmarkEnd w:id="1"/>
    </w:p>
    <w:p w14:paraId="08C13DD0" w14:textId="7B5AAA5B" w:rsidR="001D7C8F" w:rsidRPr="00D44310" w:rsidRDefault="00667133" w:rsidP="00FB228E">
      <w:pPr>
        <w:jc w:val="both"/>
        <w:rPr>
          <w:rFonts w:ascii="Calibri" w:eastAsia="MS Mincho" w:hAnsi="Calibri" w:cs="Calibri"/>
          <w:szCs w:val="24"/>
          <w:lang w:val="en-GB" w:eastAsia="en-GB"/>
        </w:rPr>
      </w:pPr>
      <w:r w:rsidRPr="00D44310">
        <w:rPr>
          <w:rFonts w:ascii="Calibri" w:eastAsia="MS Mincho" w:hAnsi="Calibri" w:cs="Calibri"/>
          <w:szCs w:val="24"/>
          <w:lang w:val="en-GB" w:eastAsia="en-GB"/>
        </w:rPr>
        <w:t xml:space="preserve">RAN2 has </w:t>
      </w:r>
      <w:r w:rsidR="00B7077E" w:rsidRPr="00D44310">
        <w:rPr>
          <w:rFonts w:ascii="Calibri" w:eastAsia="MS Mincho" w:hAnsi="Calibri" w:cs="Calibri"/>
          <w:szCs w:val="24"/>
          <w:lang w:val="en-GB" w:eastAsia="en-GB"/>
        </w:rPr>
        <w:t>discussed</w:t>
      </w:r>
      <w:r w:rsidR="009F7A48" w:rsidRPr="00D44310">
        <w:rPr>
          <w:rFonts w:ascii="Calibri" w:eastAsia="MS Mincho" w:hAnsi="Calibri" w:cs="Calibri"/>
          <w:szCs w:val="24"/>
          <w:lang w:val="en-GB" w:eastAsia="en-GB"/>
        </w:rPr>
        <w:t xml:space="preserve"> overheating problem</w:t>
      </w:r>
      <w:r w:rsidRPr="00D44310">
        <w:rPr>
          <w:rFonts w:ascii="Calibri" w:eastAsia="MS Mincho" w:hAnsi="Calibri" w:cs="Calibri"/>
          <w:szCs w:val="24"/>
          <w:lang w:val="en-GB" w:eastAsia="en-GB"/>
        </w:rPr>
        <w:t xml:space="preserve"> in higher capability LTE UEs and technical enhancements </w:t>
      </w:r>
      <w:r w:rsidR="007775B2" w:rsidRPr="00D44310">
        <w:rPr>
          <w:rFonts w:ascii="Calibri" w:eastAsia="MS Mincho" w:hAnsi="Calibri" w:cs="Calibri"/>
          <w:szCs w:val="24"/>
          <w:lang w:val="en-GB" w:eastAsia="en-GB"/>
        </w:rPr>
        <w:t>have been agreed</w:t>
      </w:r>
      <w:r w:rsidRPr="00D44310">
        <w:rPr>
          <w:rFonts w:ascii="Calibri" w:eastAsia="MS Mincho" w:hAnsi="Calibri" w:cs="Calibri"/>
          <w:szCs w:val="24"/>
          <w:lang w:val="en-GB" w:eastAsia="en-GB"/>
        </w:rPr>
        <w:t xml:space="preserve"> in release 14 to allow a temporary capability restriction by the UE to reduce power consumption when this situation arises.</w:t>
      </w:r>
      <w:r w:rsidR="00FB228E" w:rsidRPr="00D44310">
        <w:rPr>
          <w:rFonts w:ascii="Calibri" w:eastAsia="MS Mincho" w:hAnsi="Calibri" w:cs="Calibri"/>
          <w:szCs w:val="24"/>
          <w:lang w:val="en-GB" w:eastAsia="en-GB"/>
        </w:rPr>
        <w:t xml:space="preserve"> </w:t>
      </w:r>
      <w:r w:rsidR="001D7C8F" w:rsidRPr="00D44310">
        <w:rPr>
          <w:rFonts w:ascii="Calibri" w:eastAsia="MS Mincho" w:hAnsi="Calibri" w:cs="Calibri"/>
          <w:szCs w:val="24"/>
          <w:lang w:val="en-GB" w:eastAsia="en-GB"/>
        </w:rPr>
        <w:t xml:space="preserve">With higher data rates, CA configurations, MIMO transmission and modulation order in EN-DC operation, the UE may experience overheating conditions and would need Network resolution to lessen the overheating condition by reconfiguration. </w:t>
      </w:r>
    </w:p>
    <w:p w14:paraId="612A1E55" w14:textId="77777777" w:rsidR="00035B7B" w:rsidRPr="00D44310" w:rsidRDefault="001D7C8F" w:rsidP="00FB228E">
      <w:pPr>
        <w:jc w:val="both"/>
        <w:rPr>
          <w:rFonts w:ascii="Calibri" w:eastAsia="MS Mincho" w:hAnsi="Calibri" w:cs="Calibri"/>
          <w:szCs w:val="24"/>
          <w:lang w:val="en-GB" w:eastAsia="en-GB"/>
        </w:rPr>
      </w:pPr>
      <w:r w:rsidRPr="00D44310">
        <w:rPr>
          <w:rFonts w:ascii="Calibri" w:eastAsia="MS Mincho" w:hAnsi="Calibri" w:cs="Calibri"/>
          <w:szCs w:val="24"/>
          <w:lang w:val="en-GB" w:eastAsia="en-GB"/>
        </w:rPr>
        <w:t xml:space="preserve">RAN2 discussed in #101 meeting that </w:t>
      </w:r>
      <w:r w:rsidR="00FB228E" w:rsidRPr="00D44310">
        <w:rPr>
          <w:rFonts w:ascii="Calibri" w:eastAsia="MS Mincho" w:hAnsi="Calibri" w:cs="Calibri"/>
          <w:szCs w:val="24"/>
          <w:lang w:val="en-GB" w:eastAsia="en-GB"/>
        </w:rPr>
        <w:t xml:space="preserve">no change </w:t>
      </w:r>
      <w:r w:rsidRPr="00D44310">
        <w:rPr>
          <w:rFonts w:ascii="Calibri" w:eastAsia="MS Mincho" w:hAnsi="Calibri" w:cs="Calibri"/>
          <w:szCs w:val="24"/>
          <w:lang w:val="en-GB" w:eastAsia="en-GB"/>
        </w:rPr>
        <w:t>is required</w:t>
      </w:r>
      <w:r w:rsidR="00FB228E" w:rsidRPr="00D44310">
        <w:rPr>
          <w:rFonts w:ascii="Calibri" w:eastAsia="MS Mincho" w:hAnsi="Calibri" w:cs="Calibri"/>
          <w:szCs w:val="24"/>
          <w:lang w:val="en-GB" w:eastAsia="en-GB"/>
        </w:rPr>
        <w:t xml:space="preserve"> to apply </w:t>
      </w:r>
      <w:r w:rsidRPr="00D44310">
        <w:rPr>
          <w:rFonts w:ascii="Calibri" w:eastAsia="MS Mincho" w:hAnsi="Calibri" w:cs="Calibri"/>
          <w:szCs w:val="24"/>
          <w:lang w:val="en-GB" w:eastAsia="en-GB"/>
        </w:rPr>
        <w:t xml:space="preserve">LTE Release 14 </w:t>
      </w:r>
      <w:r w:rsidR="00FB228E" w:rsidRPr="00D44310">
        <w:rPr>
          <w:rFonts w:ascii="Calibri" w:eastAsia="MS Mincho" w:hAnsi="Calibri" w:cs="Calibri"/>
          <w:szCs w:val="24"/>
          <w:lang w:val="en-GB" w:eastAsia="en-GB"/>
        </w:rPr>
        <w:t>overheating indication in EN-DC</w:t>
      </w:r>
      <w:r w:rsidRPr="00D44310">
        <w:rPr>
          <w:rFonts w:ascii="Calibri" w:eastAsia="MS Mincho" w:hAnsi="Calibri" w:cs="Calibri"/>
          <w:szCs w:val="24"/>
          <w:lang w:val="en-GB" w:eastAsia="en-GB"/>
        </w:rPr>
        <w:t xml:space="preserve"> operation</w:t>
      </w:r>
      <w:r w:rsidR="00FB228E" w:rsidRPr="00D44310">
        <w:rPr>
          <w:rFonts w:ascii="Calibri" w:eastAsia="MS Mincho" w:hAnsi="Calibri" w:cs="Calibri"/>
          <w:szCs w:val="24"/>
          <w:lang w:val="en-GB" w:eastAsia="en-GB"/>
        </w:rPr>
        <w:t xml:space="preserve">. However, given that overheating indication feature was introduced in Rel-14, </w:t>
      </w:r>
      <w:r w:rsidRPr="00D44310">
        <w:rPr>
          <w:rFonts w:ascii="Calibri" w:eastAsia="MS Mincho" w:hAnsi="Calibri" w:cs="Calibri"/>
          <w:szCs w:val="24"/>
          <w:lang w:val="en-GB" w:eastAsia="en-GB"/>
        </w:rPr>
        <w:t>the specification need to clarify the procedure applicability to EN-DC operation and the possible Network resolutions.</w:t>
      </w:r>
      <w:r w:rsidR="00FB228E" w:rsidRPr="00D44310">
        <w:rPr>
          <w:rFonts w:ascii="Calibri" w:eastAsia="MS Mincho" w:hAnsi="Calibri" w:cs="Calibri"/>
          <w:szCs w:val="24"/>
          <w:lang w:val="en-GB" w:eastAsia="en-GB"/>
        </w:rPr>
        <w:t xml:space="preserve"> </w:t>
      </w:r>
    </w:p>
    <w:p w14:paraId="57F8C630" w14:textId="77777777" w:rsidR="00035B7B" w:rsidRPr="00D44310" w:rsidRDefault="00035B7B" w:rsidP="00FB228E">
      <w:pPr>
        <w:jc w:val="both"/>
        <w:rPr>
          <w:rFonts w:ascii="Calibri" w:eastAsia="MS Mincho" w:hAnsi="Calibri" w:cs="Calibri"/>
          <w:szCs w:val="24"/>
          <w:lang w:val="en-GB" w:eastAsia="en-GB"/>
        </w:rPr>
      </w:pPr>
      <w:r w:rsidRPr="00D44310">
        <w:rPr>
          <w:rFonts w:ascii="Calibri" w:eastAsia="MS Mincho" w:hAnsi="Calibri" w:cs="Calibri"/>
          <w:szCs w:val="24"/>
          <w:lang w:val="en-GB" w:eastAsia="en-GB"/>
        </w:rPr>
        <w:t>Following are the resolution options from the Network for overheated UE in EN-DC operation.</w:t>
      </w:r>
    </w:p>
    <w:p w14:paraId="72B37445" w14:textId="658EB45A" w:rsidR="00035B7B" w:rsidRDefault="00035B7B" w:rsidP="00035B7B">
      <w:pPr>
        <w:pStyle w:val="ListParagraph"/>
        <w:numPr>
          <w:ilvl w:val="0"/>
          <w:numId w:val="15"/>
        </w:numPr>
        <w:jc w:val="both"/>
        <w:rPr>
          <w:lang w:val="en-GB"/>
        </w:rPr>
      </w:pPr>
      <w:r w:rsidRPr="00035B7B">
        <w:rPr>
          <w:rFonts w:ascii="Calibri" w:hAnsi="Calibri" w:cs="Calibri"/>
        </w:rPr>
        <w:lastRenderedPageBreak/>
        <w:t>Solution 1: Deactivate NR</w:t>
      </w:r>
      <w:r w:rsidR="00944B71">
        <w:rPr>
          <w:rFonts w:ascii="Calibri" w:hAnsi="Calibri" w:cs="Calibri"/>
        </w:rPr>
        <w:t xml:space="preserve"> and Reconfigure </w:t>
      </w:r>
      <w:r w:rsidR="005568ED">
        <w:rPr>
          <w:rFonts w:ascii="Calibri" w:hAnsi="Calibri" w:cs="Calibri"/>
        </w:rPr>
        <w:t>LTE:</w:t>
      </w:r>
      <w:r w:rsidR="00944B71">
        <w:rPr>
          <w:rFonts w:ascii="Calibri" w:hAnsi="Calibri" w:cs="Calibri"/>
        </w:rPr>
        <w:t xml:space="preserve"> Network deactivates NR as the</w:t>
      </w:r>
      <w:r w:rsidRPr="00035B7B">
        <w:rPr>
          <w:rFonts w:ascii="Calibri" w:hAnsi="Calibri" w:cs="Calibri"/>
        </w:rPr>
        <w:t xml:space="preserve"> UE is overheated and cannot continue with the EN-DC operation</w:t>
      </w:r>
      <w:r w:rsidR="00944B71">
        <w:rPr>
          <w:rFonts w:ascii="Calibri" w:hAnsi="Calibri" w:cs="Calibri"/>
        </w:rPr>
        <w:t xml:space="preserve"> and reconfigures LTE bearers according to the overheating assistance information provided by the UE. </w:t>
      </w:r>
      <w:r w:rsidRPr="00035B7B">
        <w:rPr>
          <w:rFonts w:ascii="Calibri" w:hAnsi="Calibri" w:cs="Calibri"/>
        </w:rPr>
        <w:t xml:space="preserve">UE </w:t>
      </w:r>
      <w:r w:rsidR="00944B71">
        <w:rPr>
          <w:rFonts w:ascii="Calibri" w:hAnsi="Calibri" w:cs="Calibri"/>
        </w:rPr>
        <w:t>sends the</w:t>
      </w:r>
      <w:r w:rsidRPr="00035B7B">
        <w:rPr>
          <w:rFonts w:ascii="Calibri" w:hAnsi="Calibri" w:cs="Calibri"/>
        </w:rPr>
        <w:t xml:space="preserve"> </w:t>
      </w:r>
      <w:r w:rsidRPr="00667133">
        <w:t>UEAssistanceInformation message</w:t>
      </w:r>
      <w:r>
        <w:t xml:space="preserve"> </w:t>
      </w:r>
      <w:r w:rsidRPr="00667133">
        <w:t>to indicate reduced UE capabilities</w:t>
      </w:r>
      <w:r>
        <w:t>,</w:t>
      </w:r>
      <w:r w:rsidRPr="00035B7B">
        <w:rPr>
          <w:lang w:val="en-GB"/>
        </w:rPr>
        <w:t xml:space="preserve"> reduced UE category and the preferred maximum number of CCs in the request. </w:t>
      </w:r>
    </w:p>
    <w:p w14:paraId="0A4F35A1" w14:textId="77777777" w:rsidR="00944B71" w:rsidRPr="00035B7B" w:rsidRDefault="00944B71" w:rsidP="00944B71">
      <w:pPr>
        <w:pStyle w:val="ListParagraph"/>
        <w:jc w:val="both"/>
        <w:rPr>
          <w:lang w:val="en-GB"/>
        </w:rPr>
      </w:pPr>
    </w:p>
    <w:p w14:paraId="4956E4F2" w14:textId="0A2AF0F1" w:rsidR="00035B7B" w:rsidRDefault="00944B71" w:rsidP="00035B7B">
      <w:pPr>
        <w:pStyle w:val="ListParagraph"/>
        <w:jc w:val="both"/>
      </w:pPr>
      <w:r>
        <w:object w:dxaOrig="10396" w:dyaOrig="7914" w14:anchorId="6D9A3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440.65pt" o:ole="">
            <v:imagedata r:id="rId5" o:title=""/>
          </v:shape>
          <o:OLEObject Type="Embed" ProgID="Visio.Drawing.11" ShapeID="_x0000_i1025" DrawAspect="Content" ObjectID="_1587415991" r:id="rId6"/>
        </w:object>
      </w:r>
    </w:p>
    <w:p w14:paraId="7CCF9784" w14:textId="2FF042C8" w:rsidR="00944B71" w:rsidRDefault="00944B71" w:rsidP="00944B71">
      <w:pPr>
        <w:spacing w:after="360"/>
        <w:jc w:val="center"/>
        <w:rPr>
          <w:b/>
          <w:sz w:val="21"/>
          <w:szCs w:val="21"/>
          <w:lang w:eastAsia="ja-JP"/>
        </w:rPr>
      </w:pPr>
      <w:r>
        <w:rPr>
          <w:b/>
          <w:sz w:val="21"/>
          <w:szCs w:val="21"/>
          <w:lang w:eastAsia="ja-JP"/>
        </w:rPr>
        <w:t xml:space="preserve">Figure-1:  </w:t>
      </w:r>
      <w:r w:rsidRPr="00035B7B">
        <w:rPr>
          <w:rFonts w:ascii="Calibri" w:hAnsi="Calibri" w:cs="Calibri"/>
        </w:rPr>
        <w:t>Deactivate NR</w:t>
      </w:r>
      <w:r>
        <w:rPr>
          <w:rFonts w:ascii="Calibri" w:hAnsi="Calibri" w:cs="Calibri"/>
        </w:rPr>
        <w:t xml:space="preserve"> and Reconfigure LTE</w:t>
      </w:r>
    </w:p>
    <w:p w14:paraId="73A6D278" w14:textId="76DB0258" w:rsidR="000C23CC" w:rsidRPr="000C23CC" w:rsidRDefault="000C23CC" w:rsidP="000C23CC">
      <w:pPr>
        <w:pStyle w:val="ListParagraph"/>
        <w:numPr>
          <w:ilvl w:val="0"/>
          <w:numId w:val="15"/>
        </w:numPr>
        <w:jc w:val="both"/>
        <w:rPr>
          <w:rFonts w:ascii="Calibri" w:hAnsi="Calibri" w:cs="Calibri"/>
        </w:rPr>
      </w:pPr>
      <w:r w:rsidRPr="00035B7B">
        <w:rPr>
          <w:rFonts w:ascii="Calibri" w:hAnsi="Calibri" w:cs="Calibri"/>
        </w:rPr>
        <w:t xml:space="preserve">Solution </w:t>
      </w:r>
      <w:r>
        <w:rPr>
          <w:rFonts w:ascii="Calibri" w:hAnsi="Calibri" w:cs="Calibri"/>
        </w:rPr>
        <w:t>2</w:t>
      </w:r>
      <w:r w:rsidRPr="00035B7B">
        <w:rPr>
          <w:rFonts w:ascii="Calibri" w:hAnsi="Calibri" w:cs="Calibri"/>
        </w:rPr>
        <w:t>: Deactivate NR</w:t>
      </w:r>
      <w:r>
        <w:rPr>
          <w:rFonts w:ascii="Calibri" w:hAnsi="Calibri" w:cs="Calibri"/>
        </w:rPr>
        <w:t xml:space="preserve"> only: Network deactivates NR as the</w:t>
      </w:r>
      <w:r w:rsidRPr="00035B7B">
        <w:rPr>
          <w:rFonts w:ascii="Calibri" w:hAnsi="Calibri" w:cs="Calibri"/>
        </w:rPr>
        <w:t xml:space="preserve"> UE is overheated and cannot continue with the EN-DC operation</w:t>
      </w:r>
      <w:r>
        <w:rPr>
          <w:rFonts w:ascii="Calibri" w:hAnsi="Calibri" w:cs="Calibri"/>
        </w:rPr>
        <w:t xml:space="preserve"> does not reconfigure LTE until another overheating indication from the UE after deactivating NR. This is to ensure that the UE only continues with the LTE operation if it is overheated.</w:t>
      </w:r>
    </w:p>
    <w:p w14:paraId="61E53802" w14:textId="77777777" w:rsidR="000C23CC" w:rsidRPr="00035B7B" w:rsidRDefault="000C23CC" w:rsidP="000C23CC">
      <w:pPr>
        <w:pStyle w:val="ListParagraph"/>
        <w:jc w:val="both"/>
        <w:rPr>
          <w:lang w:val="en-GB"/>
        </w:rPr>
      </w:pPr>
    </w:p>
    <w:p w14:paraId="31A28CA7" w14:textId="0BF2E947" w:rsidR="000C23CC" w:rsidRDefault="000C23CC" w:rsidP="000C23CC">
      <w:pPr>
        <w:pStyle w:val="ListParagraph"/>
        <w:jc w:val="both"/>
      </w:pPr>
      <w:r>
        <w:object w:dxaOrig="10396" w:dyaOrig="7914" w14:anchorId="76173706">
          <v:shape id="_x0000_i1026" type="#_x0000_t75" style="width:467.7pt;height:440.65pt" o:ole="">
            <v:imagedata r:id="rId7" o:title=""/>
          </v:shape>
          <o:OLEObject Type="Embed" ProgID="Visio.Drawing.11" ShapeID="_x0000_i1026" DrawAspect="Content" ObjectID="_1587415992" r:id="rId8"/>
        </w:object>
      </w:r>
    </w:p>
    <w:p w14:paraId="43FABA09" w14:textId="610EB1D7" w:rsidR="000C23CC" w:rsidRDefault="000C23CC" w:rsidP="000C23CC">
      <w:pPr>
        <w:spacing w:after="360"/>
        <w:jc w:val="center"/>
        <w:rPr>
          <w:b/>
          <w:sz w:val="21"/>
          <w:szCs w:val="21"/>
          <w:lang w:eastAsia="ja-JP"/>
        </w:rPr>
      </w:pPr>
      <w:r>
        <w:rPr>
          <w:b/>
          <w:sz w:val="21"/>
          <w:szCs w:val="21"/>
          <w:lang w:eastAsia="ja-JP"/>
        </w:rPr>
        <w:t xml:space="preserve">Figure-2:  </w:t>
      </w:r>
      <w:r w:rsidRPr="00035B7B">
        <w:rPr>
          <w:rFonts w:ascii="Calibri" w:hAnsi="Calibri" w:cs="Calibri"/>
        </w:rPr>
        <w:t>Deactivate NR</w:t>
      </w:r>
      <w:r>
        <w:rPr>
          <w:rFonts w:ascii="Calibri" w:hAnsi="Calibri" w:cs="Calibri"/>
        </w:rPr>
        <w:t xml:space="preserve"> </w:t>
      </w:r>
    </w:p>
    <w:p w14:paraId="2DCEEAEC" w14:textId="02216A03" w:rsidR="000C23CC" w:rsidRDefault="000C23CC" w:rsidP="00FB228E">
      <w:pPr>
        <w:jc w:val="both"/>
        <w:rPr>
          <w:rFonts w:ascii="Calibri" w:hAnsi="Calibri" w:cs="Calibri"/>
        </w:rPr>
      </w:pPr>
    </w:p>
    <w:p w14:paraId="2AFE477C" w14:textId="145BC966" w:rsidR="000C23CC" w:rsidRPr="00035B7B" w:rsidRDefault="000C23CC" w:rsidP="00E85D77">
      <w:pPr>
        <w:pStyle w:val="ListParagraph"/>
        <w:numPr>
          <w:ilvl w:val="0"/>
          <w:numId w:val="15"/>
        </w:numPr>
        <w:jc w:val="both"/>
        <w:rPr>
          <w:lang w:val="en-GB"/>
        </w:rPr>
      </w:pPr>
      <w:r w:rsidRPr="00E85D77">
        <w:rPr>
          <w:rFonts w:ascii="Calibri" w:hAnsi="Calibri" w:cs="Calibri"/>
        </w:rPr>
        <w:t xml:space="preserve">Solution </w:t>
      </w:r>
      <w:r w:rsidR="00E85D77">
        <w:rPr>
          <w:rFonts w:ascii="Calibri" w:hAnsi="Calibri" w:cs="Calibri"/>
        </w:rPr>
        <w:t>3</w:t>
      </w:r>
      <w:r w:rsidRPr="00E85D77">
        <w:rPr>
          <w:rFonts w:ascii="Calibri" w:hAnsi="Calibri" w:cs="Calibri"/>
        </w:rPr>
        <w:t xml:space="preserve">: </w:t>
      </w:r>
      <w:r w:rsidR="00A72C48" w:rsidRPr="00E85D77">
        <w:rPr>
          <w:rFonts w:ascii="Calibri" w:hAnsi="Calibri" w:cs="Calibri"/>
        </w:rPr>
        <w:t xml:space="preserve">Reconfigure LTE and </w:t>
      </w:r>
      <w:r w:rsidR="0000508E" w:rsidRPr="00E85D77">
        <w:rPr>
          <w:rFonts w:ascii="Calibri" w:hAnsi="Calibri" w:cs="Calibri"/>
        </w:rPr>
        <w:t>NR:</w:t>
      </w:r>
      <w:r w:rsidRPr="00E85D77">
        <w:rPr>
          <w:rFonts w:ascii="Calibri" w:hAnsi="Calibri" w:cs="Calibri"/>
        </w:rPr>
        <w:t xml:space="preserve"> Network</w:t>
      </w:r>
      <w:r w:rsidR="0000508E" w:rsidRPr="00E85D77">
        <w:rPr>
          <w:rFonts w:ascii="Calibri" w:hAnsi="Calibri" w:cs="Calibri"/>
        </w:rPr>
        <w:t xml:space="preserve"> reconfigures both LTE and NR according to the overheating assistance information provided by the UE. </w:t>
      </w:r>
      <w:r w:rsidR="0034099C" w:rsidRPr="00E85D77">
        <w:rPr>
          <w:rFonts w:ascii="Calibri" w:hAnsi="Calibri" w:cs="Calibri"/>
        </w:rPr>
        <w:t xml:space="preserve"> Network reconfigures LTE </w:t>
      </w:r>
      <w:proofErr w:type="spellStart"/>
      <w:r w:rsidR="0034099C" w:rsidRPr="00E85D77">
        <w:rPr>
          <w:rFonts w:ascii="Calibri" w:hAnsi="Calibri" w:cs="Calibri"/>
        </w:rPr>
        <w:t>scell</w:t>
      </w:r>
      <w:proofErr w:type="spellEnd"/>
      <w:r w:rsidR="0034099C" w:rsidRPr="00E85D77">
        <w:rPr>
          <w:rFonts w:ascii="Calibri" w:hAnsi="Calibri" w:cs="Calibri"/>
        </w:rPr>
        <w:t xml:space="preserve"> and NR </w:t>
      </w:r>
      <w:proofErr w:type="spellStart"/>
      <w:r w:rsidR="0034099C" w:rsidRPr="00E85D77">
        <w:rPr>
          <w:rFonts w:ascii="Calibri" w:hAnsi="Calibri" w:cs="Calibri"/>
        </w:rPr>
        <w:t>Pscell</w:t>
      </w:r>
      <w:proofErr w:type="spellEnd"/>
      <w:r w:rsidR="0034099C" w:rsidRPr="00E85D77">
        <w:rPr>
          <w:rFonts w:ascii="Calibri" w:hAnsi="Calibri" w:cs="Calibri"/>
        </w:rPr>
        <w:t xml:space="preserve"> and </w:t>
      </w:r>
      <w:proofErr w:type="spellStart"/>
      <w:r w:rsidR="0034099C" w:rsidRPr="00E85D77">
        <w:rPr>
          <w:rFonts w:ascii="Calibri" w:hAnsi="Calibri" w:cs="Calibri"/>
        </w:rPr>
        <w:t>scells</w:t>
      </w:r>
      <w:proofErr w:type="spellEnd"/>
      <w:r w:rsidR="0034099C" w:rsidRPr="00E85D77">
        <w:rPr>
          <w:rFonts w:ascii="Calibri" w:hAnsi="Calibri" w:cs="Calibri"/>
        </w:rPr>
        <w:t xml:space="preserve"> according to the </w:t>
      </w:r>
      <w:proofErr w:type="spellStart"/>
      <w:r w:rsidR="0034099C" w:rsidRPr="00E85D77">
        <w:rPr>
          <w:rFonts w:ascii="Calibri" w:hAnsi="Calibri" w:cs="Calibri"/>
        </w:rPr>
        <w:t>reducedCCsDL</w:t>
      </w:r>
      <w:proofErr w:type="spellEnd"/>
      <w:r w:rsidR="0034099C" w:rsidRPr="00E85D77">
        <w:rPr>
          <w:rFonts w:ascii="Calibri" w:eastAsia="Malgun Gothic" w:hAnsi="Calibri" w:cs="Calibri"/>
          <w:lang w:val="x-none" w:eastAsia="ko-KR"/>
        </w:rPr>
        <w:t xml:space="preserve"> and </w:t>
      </w:r>
      <w:proofErr w:type="spellStart"/>
      <w:r w:rsidR="0034099C" w:rsidRPr="00E85D77">
        <w:rPr>
          <w:rFonts w:ascii="Calibri" w:eastAsia="Malgun Gothic" w:hAnsi="Calibri" w:cs="Calibri"/>
          <w:lang w:val="x-none" w:eastAsia="ko-KR"/>
        </w:rPr>
        <w:t>reducedCCsUL</w:t>
      </w:r>
      <w:proofErr w:type="spellEnd"/>
      <w:r w:rsidR="0034099C" w:rsidRPr="00E85D77">
        <w:rPr>
          <w:rFonts w:ascii="Calibri" w:eastAsia="Malgun Gothic" w:hAnsi="Calibri" w:cs="Calibri"/>
          <w:lang w:eastAsia="ko-KR"/>
        </w:rPr>
        <w:t xml:space="preserve"> parameters provided by the UE. With the reduced UE category, Network can</w:t>
      </w:r>
      <w:r w:rsidR="00E85D77" w:rsidRPr="00E85D77">
        <w:rPr>
          <w:rFonts w:ascii="Calibri" w:eastAsia="Malgun Gothic" w:hAnsi="Calibri" w:cs="Calibri"/>
          <w:lang w:eastAsia="ko-KR"/>
        </w:rPr>
        <w:t xml:space="preserve"> reconfigure LTE and NR with reduced MIMO transmission and MCS as there is no UE category applicable for</w:t>
      </w:r>
      <w:r w:rsidR="0034099C" w:rsidRPr="00E85D77">
        <w:rPr>
          <w:rFonts w:ascii="Calibri" w:hAnsi="Calibri" w:cs="Calibri"/>
        </w:rPr>
        <w:t xml:space="preserve"> NR in EN-DC mode. </w:t>
      </w:r>
    </w:p>
    <w:p w14:paraId="78093B88" w14:textId="491B790C" w:rsidR="000C23CC" w:rsidRDefault="00E85D77" w:rsidP="000C23CC">
      <w:pPr>
        <w:pStyle w:val="ListParagraph"/>
        <w:jc w:val="both"/>
      </w:pPr>
      <w:r>
        <w:object w:dxaOrig="10396" w:dyaOrig="7914" w14:anchorId="4D6DD27B">
          <v:shape id="_x0000_i1027" type="#_x0000_t75" style="width:467.7pt;height:440.65pt" o:ole="">
            <v:imagedata r:id="rId9" o:title=""/>
          </v:shape>
          <o:OLEObject Type="Embed" ProgID="Visio.Drawing.11" ShapeID="_x0000_i1027" DrawAspect="Content" ObjectID="_1587415993" r:id="rId10"/>
        </w:object>
      </w:r>
    </w:p>
    <w:p w14:paraId="153DC84B" w14:textId="474E478F" w:rsidR="000C23CC" w:rsidRDefault="000C23CC" w:rsidP="000C23CC">
      <w:pPr>
        <w:spacing w:after="360"/>
        <w:jc w:val="center"/>
        <w:rPr>
          <w:b/>
          <w:sz w:val="21"/>
          <w:szCs w:val="21"/>
          <w:lang w:eastAsia="ja-JP"/>
        </w:rPr>
      </w:pPr>
      <w:r>
        <w:rPr>
          <w:b/>
          <w:sz w:val="21"/>
          <w:szCs w:val="21"/>
          <w:lang w:eastAsia="ja-JP"/>
        </w:rPr>
        <w:t>Figure-</w:t>
      </w:r>
      <w:r w:rsidR="00E85D77">
        <w:rPr>
          <w:b/>
          <w:sz w:val="21"/>
          <w:szCs w:val="21"/>
          <w:lang w:eastAsia="ja-JP"/>
        </w:rPr>
        <w:t>3</w:t>
      </w:r>
      <w:r>
        <w:rPr>
          <w:b/>
          <w:sz w:val="21"/>
          <w:szCs w:val="21"/>
          <w:lang w:eastAsia="ja-JP"/>
        </w:rPr>
        <w:t xml:space="preserve">:  </w:t>
      </w:r>
      <w:r w:rsidR="00830BCE" w:rsidRPr="00E85D77">
        <w:rPr>
          <w:rFonts w:ascii="Calibri" w:hAnsi="Calibri" w:cs="Calibri"/>
        </w:rPr>
        <w:t xml:space="preserve">Reconfigure LTE </w:t>
      </w:r>
      <w:r w:rsidR="00830BCE">
        <w:rPr>
          <w:rFonts w:ascii="Calibri" w:hAnsi="Calibri" w:cs="Calibri"/>
        </w:rPr>
        <w:t xml:space="preserve">and NR </w:t>
      </w:r>
      <w:r w:rsidR="00830BCE">
        <w:rPr>
          <w:rFonts w:ascii="Calibri" w:hAnsi="Calibri" w:cs="Calibri"/>
          <w:color w:val="000000"/>
        </w:rPr>
        <w:t>according to the UEAssistanceInformation message</w:t>
      </w:r>
    </w:p>
    <w:p w14:paraId="56EC971B" w14:textId="77777777" w:rsidR="000C23CC" w:rsidRDefault="000C23CC" w:rsidP="00FB228E">
      <w:pPr>
        <w:jc w:val="both"/>
        <w:rPr>
          <w:rFonts w:ascii="Calibri" w:hAnsi="Calibri" w:cs="Calibri"/>
        </w:rPr>
      </w:pPr>
    </w:p>
    <w:p w14:paraId="2037188F" w14:textId="25C38B64" w:rsidR="00830BCE" w:rsidRPr="00035B7B" w:rsidRDefault="00830BCE" w:rsidP="00830BCE">
      <w:pPr>
        <w:pStyle w:val="ListParagraph"/>
        <w:numPr>
          <w:ilvl w:val="0"/>
          <w:numId w:val="15"/>
        </w:numPr>
        <w:jc w:val="both"/>
        <w:rPr>
          <w:lang w:val="en-GB"/>
        </w:rPr>
      </w:pPr>
      <w:r w:rsidRPr="00E85D77">
        <w:rPr>
          <w:rFonts w:ascii="Calibri" w:hAnsi="Calibri" w:cs="Calibri"/>
        </w:rPr>
        <w:t xml:space="preserve">Solution </w:t>
      </w:r>
      <w:r>
        <w:rPr>
          <w:rFonts w:ascii="Calibri" w:hAnsi="Calibri" w:cs="Calibri"/>
        </w:rPr>
        <w:t>4</w:t>
      </w:r>
      <w:r w:rsidRPr="00E85D77">
        <w:rPr>
          <w:rFonts w:ascii="Calibri" w:hAnsi="Calibri" w:cs="Calibri"/>
        </w:rPr>
        <w:t xml:space="preserve">: Reconfigure LTE </w:t>
      </w:r>
      <w:r>
        <w:rPr>
          <w:rFonts w:ascii="Calibri" w:hAnsi="Calibri" w:cs="Calibri"/>
        </w:rPr>
        <w:t>only</w:t>
      </w:r>
      <w:r w:rsidRPr="00E85D77">
        <w:rPr>
          <w:rFonts w:ascii="Calibri" w:hAnsi="Calibri" w:cs="Calibri"/>
        </w:rPr>
        <w:t xml:space="preserve">: Network </w:t>
      </w:r>
      <w:r>
        <w:rPr>
          <w:rFonts w:ascii="Calibri" w:hAnsi="Calibri" w:cs="Calibri"/>
        </w:rPr>
        <w:t>may reconfigure LTE only as the Release 14 procedure was initially intended for LTE UEs only</w:t>
      </w:r>
      <w:r w:rsidRPr="00E85D77">
        <w:rPr>
          <w:rFonts w:ascii="Calibri" w:hAnsi="Calibri" w:cs="Calibri"/>
        </w:rPr>
        <w:t xml:space="preserve">. </w:t>
      </w:r>
      <w:r>
        <w:rPr>
          <w:rFonts w:ascii="Calibri" w:hAnsi="Calibri" w:cs="Calibri"/>
        </w:rPr>
        <w:t>However this will not solve the UE overheating issue in EN-DC mode, as the UE may be overheated primarily because of the higher data transmission on NR and reconfiguring only LTE will not likely affect UE’s overheating condition and UE will have to rely on proprietary mechanisms to deal with overheating which may cause additional loading on the Network due to detach and attaching again to the Network.</w:t>
      </w:r>
    </w:p>
    <w:p w14:paraId="7CB5DE71" w14:textId="465A28AE" w:rsidR="00830BCE" w:rsidRDefault="00830BCE" w:rsidP="00830BCE">
      <w:pPr>
        <w:pStyle w:val="ListParagraph"/>
        <w:jc w:val="both"/>
      </w:pPr>
      <w:r>
        <w:object w:dxaOrig="10396" w:dyaOrig="7914" w14:anchorId="0A3EA470">
          <v:shape id="_x0000_i1028" type="#_x0000_t75" style="width:467.7pt;height:440.65pt" o:ole="">
            <v:imagedata r:id="rId11" o:title=""/>
          </v:shape>
          <o:OLEObject Type="Embed" ProgID="Visio.Drawing.11" ShapeID="_x0000_i1028" DrawAspect="Content" ObjectID="_1587415994" r:id="rId12"/>
        </w:object>
      </w:r>
    </w:p>
    <w:p w14:paraId="6823939A" w14:textId="1D53A1F8" w:rsidR="00830BCE" w:rsidRDefault="00830BCE" w:rsidP="00830BCE">
      <w:pPr>
        <w:spacing w:after="360"/>
        <w:jc w:val="center"/>
        <w:rPr>
          <w:b/>
          <w:sz w:val="21"/>
          <w:szCs w:val="21"/>
          <w:lang w:eastAsia="ja-JP"/>
        </w:rPr>
      </w:pPr>
      <w:r>
        <w:rPr>
          <w:b/>
          <w:sz w:val="21"/>
          <w:szCs w:val="21"/>
          <w:lang w:eastAsia="ja-JP"/>
        </w:rPr>
        <w:t xml:space="preserve">Figure-3:  </w:t>
      </w:r>
      <w:r w:rsidRPr="00E85D77">
        <w:rPr>
          <w:rFonts w:ascii="Calibri" w:hAnsi="Calibri" w:cs="Calibri"/>
        </w:rPr>
        <w:t xml:space="preserve">Reconfigure LTE </w:t>
      </w:r>
      <w:r>
        <w:rPr>
          <w:rFonts w:ascii="Calibri" w:hAnsi="Calibri" w:cs="Calibri"/>
          <w:color w:val="000000"/>
        </w:rPr>
        <w:t>according to the UEAssistanceInformation message</w:t>
      </w:r>
    </w:p>
    <w:p w14:paraId="1D627B68" w14:textId="77777777" w:rsidR="00893078" w:rsidRPr="00893078" w:rsidRDefault="00F023AD" w:rsidP="00893078">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893078">
        <w:rPr>
          <w:rFonts w:ascii="Calibri" w:eastAsia="SimSun" w:hAnsi="Calibri" w:cs="Calibri"/>
          <w:b/>
          <w:sz w:val="20"/>
          <w:szCs w:val="20"/>
          <w:lang w:eastAsia="zh-CN"/>
        </w:rPr>
        <w:t xml:space="preserve"> </w:t>
      </w:r>
      <w:r w:rsidR="00793B46" w:rsidRPr="00893078">
        <w:rPr>
          <w:rFonts w:ascii="Calibri" w:eastAsia="SimSun" w:hAnsi="Calibri" w:cs="Calibri"/>
          <w:b/>
          <w:sz w:val="20"/>
          <w:szCs w:val="20"/>
          <w:lang w:eastAsia="zh-CN"/>
        </w:rPr>
        <w:t xml:space="preserve">Observation 1: </w:t>
      </w:r>
      <w:r w:rsidR="005568ED" w:rsidRPr="00893078">
        <w:rPr>
          <w:rFonts w:ascii="Calibri" w:eastAsia="SimSun" w:hAnsi="Calibri" w:cs="Calibri"/>
          <w:b/>
          <w:sz w:val="20"/>
          <w:szCs w:val="20"/>
          <w:lang w:eastAsia="zh-CN"/>
        </w:rPr>
        <w:t>RAN2 discussed using the Release 14 LTE overheating procedure to EN-DC operation</w:t>
      </w:r>
      <w:r w:rsidR="00893078" w:rsidRPr="00893078">
        <w:rPr>
          <w:rFonts w:ascii="Calibri" w:eastAsia="SimSun" w:hAnsi="Calibri" w:cs="Calibri"/>
          <w:b/>
          <w:sz w:val="20"/>
          <w:szCs w:val="20"/>
          <w:lang w:eastAsia="zh-CN"/>
        </w:rPr>
        <w:t xml:space="preserve"> without any additional indication.</w:t>
      </w:r>
    </w:p>
    <w:p w14:paraId="0E2EACE0" w14:textId="2D02D55C" w:rsidR="00893078" w:rsidRDefault="00893078" w:rsidP="00893078">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893078">
        <w:rPr>
          <w:rFonts w:ascii="Calibri" w:eastAsia="SimSun" w:hAnsi="Calibri" w:cs="Calibri"/>
          <w:b/>
          <w:sz w:val="20"/>
          <w:szCs w:val="20"/>
          <w:lang w:eastAsia="zh-CN"/>
        </w:rPr>
        <w:t xml:space="preserve">Observation 2: </w:t>
      </w:r>
      <w:r>
        <w:rPr>
          <w:rFonts w:ascii="Calibri" w:eastAsia="SimSun" w:hAnsi="Calibri" w:cs="Calibri"/>
          <w:b/>
          <w:sz w:val="20"/>
          <w:szCs w:val="20"/>
          <w:lang w:eastAsia="zh-CN"/>
        </w:rPr>
        <w:t>Spec clarification and Network resolution mechanisms require clarification in the spec as</w:t>
      </w:r>
      <w:r w:rsidRPr="00893078">
        <w:rPr>
          <w:rFonts w:ascii="Calibri" w:eastAsia="SimSun" w:hAnsi="Calibri" w:cs="Calibri"/>
          <w:b/>
          <w:sz w:val="20"/>
          <w:szCs w:val="20"/>
          <w:lang w:eastAsia="zh-CN"/>
        </w:rPr>
        <w:t xml:space="preserve"> Release 14 LTE overheating procedure </w:t>
      </w:r>
      <w:r>
        <w:rPr>
          <w:rFonts w:ascii="Calibri" w:eastAsia="SimSun" w:hAnsi="Calibri" w:cs="Calibri"/>
          <w:b/>
          <w:sz w:val="20"/>
          <w:szCs w:val="20"/>
          <w:lang w:eastAsia="zh-CN"/>
        </w:rPr>
        <w:t>was standardized only for LTE</w:t>
      </w:r>
      <w:r w:rsidRPr="00893078">
        <w:rPr>
          <w:rFonts w:ascii="Calibri" w:eastAsia="SimSun" w:hAnsi="Calibri" w:cs="Calibri"/>
          <w:b/>
          <w:sz w:val="20"/>
          <w:szCs w:val="20"/>
          <w:lang w:eastAsia="zh-CN"/>
        </w:rPr>
        <w:t>.</w:t>
      </w:r>
    </w:p>
    <w:p w14:paraId="4A9AB506" w14:textId="15F84337" w:rsidR="00893078" w:rsidRDefault="00893078" w:rsidP="00893078">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893078">
        <w:rPr>
          <w:rFonts w:ascii="Calibri" w:eastAsia="SimSun" w:hAnsi="Calibri" w:cs="Calibri"/>
          <w:b/>
          <w:sz w:val="20"/>
          <w:szCs w:val="20"/>
          <w:lang w:eastAsia="zh-CN"/>
        </w:rPr>
        <w:t xml:space="preserve">Observation </w:t>
      </w:r>
      <w:r w:rsidR="00440A09">
        <w:rPr>
          <w:rFonts w:ascii="Calibri" w:eastAsia="SimSun" w:hAnsi="Calibri" w:cs="Calibri"/>
          <w:b/>
          <w:sz w:val="20"/>
          <w:szCs w:val="20"/>
          <w:lang w:eastAsia="zh-CN"/>
        </w:rPr>
        <w:t>3</w:t>
      </w:r>
      <w:r w:rsidRPr="00893078">
        <w:rPr>
          <w:rFonts w:ascii="Calibri" w:eastAsia="SimSun" w:hAnsi="Calibri" w:cs="Calibri"/>
          <w:b/>
          <w:sz w:val="20"/>
          <w:szCs w:val="20"/>
          <w:lang w:eastAsia="zh-CN"/>
        </w:rPr>
        <w:t xml:space="preserve">: </w:t>
      </w:r>
      <w:r>
        <w:rPr>
          <w:rFonts w:ascii="Calibri" w:eastAsia="SimSun" w:hAnsi="Calibri" w:cs="Calibri"/>
          <w:b/>
          <w:sz w:val="20"/>
          <w:szCs w:val="20"/>
          <w:lang w:eastAsia="zh-CN"/>
        </w:rPr>
        <w:t xml:space="preserve">RAN2 to discuss and </w:t>
      </w:r>
      <w:proofErr w:type="gramStart"/>
      <w:r>
        <w:rPr>
          <w:rFonts w:ascii="Calibri" w:eastAsia="SimSun" w:hAnsi="Calibri" w:cs="Calibri"/>
          <w:b/>
          <w:sz w:val="20"/>
          <w:szCs w:val="20"/>
          <w:lang w:eastAsia="zh-CN"/>
        </w:rPr>
        <w:t>take into account</w:t>
      </w:r>
      <w:proofErr w:type="gramEnd"/>
      <w:r>
        <w:rPr>
          <w:rFonts w:ascii="Calibri" w:eastAsia="SimSun" w:hAnsi="Calibri" w:cs="Calibri"/>
          <w:b/>
          <w:sz w:val="20"/>
          <w:szCs w:val="20"/>
          <w:lang w:eastAsia="zh-CN"/>
        </w:rPr>
        <w:t>, possible Network resolutions discussed in section 2</w:t>
      </w:r>
      <w:r w:rsidRPr="00893078">
        <w:rPr>
          <w:rFonts w:ascii="Calibri" w:eastAsia="SimSun" w:hAnsi="Calibri" w:cs="Calibri"/>
          <w:b/>
          <w:sz w:val="20"/>
          <w:szCs w:val="20"/>
          <w:lang w:eastAsia="zh-CN"/>
        </w:rPr>
        <w:t>.</w:t>
      </w:r>
    </w:p>
    <w:p w14:paraId="7D29BC35" w14:textId="6E5ACE24" w:rsidR="00134A79" w:rsidRDefault="00134A79" w:rsidP="00134A79">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6629D1">
        <w:rPr>
          <w:rFonts w:ascii="Calibri" w:eastAsia="SimSun" w:hAnsi="Calibri" w:cs="Calibri"/>
          <w:b/>
          <w:sz w:val="20"/>
          <w:szCs w:val="20"/>
          <w:lang w:eastAsia="zh-CN"/>
        </w:rPr>
        <w:t xml:space="preserve">Proposal </w:t>
      </w:r>
      <w:r w:rsidR="00793B46" w:rsidRPr="00793B46">
        <w:rPr>
          <w:rFonts w:ascii="Calibri" w:eastAsia="SimSun" w:hAnsi="Calibri" w:cs="Calibri"/>
          <w:b/>
          <w:sz w:val="20"/>
          <w:szCs w:val="20"/>
          <w:lang w:eastAsia="zh-CN"/>
        </w:rPr>
        <w:t>1</w:t>
      </w:r>
      <w:r w:rsidRPr="006629D1">
        <w:rPr>
          <w:rFonts w:ascii="Calibri" w:eastAsia="SimSun" w:hAnsi="Calibri" w:cs="Calibri"/>
          <w:b/>
          <w:sz w:val="20"/>
          <w:szCs w:val="20"/>
          <w:lang w:eastAsia="zh-CN"/>
        </w:rPr>
        <w:t xml:space="preserve">: </w:t>
      </w:r>
      <w:r w:rsidR="00893078">
        <w:rPr>
          <w:rFonts w:ascii="Calibri" w:eastAsia="SimSun" w:hAnsi="Calibri" w:cs="Calibri"/>
          <w:b/>
          <w:sz w:val="20"/>
          <w:szCs w:val="20"/>
          <w:lang w:eastAsia="zh-CN"/>
        </w:rPr>
        <w:t xml:space="preserve">RAN2 to discuss the Network resolutions for overheating in EN-DC operation and include it in stage 2 </w:t>
      </w:r>
      <w:r w:rsidR="00440A09">
        <w:rPr>
          <w:rFonts w:ascii="Calibri" w:eastAsia="SimSun" w:hAnsi="Calibri" w:cs="Calibri"/>
          <w:b/>
          <w:sz w:val="20"/>
          <w:szCs w:val="20"/>
          <w:lang w:eastAsia="zh-CN"/>
        </w:rPr>
        <w:t>specification</w:t>
      </w:r>
      <w:r w:rsidR="00893078">
        <w:rPr>
          <w:rFonts w:ascii="Calibri" w:eastAsia="SimSun" w:hAnsi="Calibri" w:cs="Calibri"/>
          <w:b/>
          <w:sz w:val="20"/>
          <w:szCs w:val="20"/>
          <w:lang w:eastAsia="zh-CN"/>
        </w:rPr>
        <w:t>.</w:t>
      </w:r>
    </w:p>
    <w:p w14:paraId="4F54BE44" w14:textId="77777777" w:rsidR="006A7CC9" w:rsidRPr="00CE0424" w:rsidRDefault="006A7CC9" w:rsidP="006A7CC9">
      <w:pPr>
        <w:pStyle w:val="Heading1"/>
      </w:pPr>
      <w:r w:rsidRPr="00CE0424">
        <w:lastRenderedPageBreak/>
        <w:t>Conclusion</w:t>
      </w:r>
    </w:p>
    <w:p w14:paraId="0AD959C0" w14:textId="22CC65C5" w:rsidR="006A7CC9" w:rsidRDefault="006A7CC9" w:rsidP="006A7CC9">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2C0F0002" w14:textId="77777777" w:rsidR="00440A09" w:rsidRPr="00893078" w:rsidRDefault="00440A09" w:rsidP="00440A09">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893078">
        <w:rPr>
          <w:rFonts w:ascii="Calibri" w:eastAsia="SimSun" w:hAnsi="Calibri" w:cs="Calibri"/>
          <w:b/>
          <w:sz w:val="20"/>
          <w:szCs w:val="20"/>
          <w:lang w:eastAsia="zh-CN"/>
        </w:rPr>
        <w:t>Observation 1: RAN2 discussed using the Release 14 LTE overheating procedure to EN-DC operation without any additional indication.</w:t>
      </w:r>
    </w:p>
    <w:p w14:paraId="5680115C" w14:textId="77777777" w:rsidR="00440A09" w:rsidRDefault="00440A09" w:rsidP="00440A09">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893078">
        <w:rPr>
          <w:rFonts w:ascii="Calibri" w:eastAsia="SimSun" w:hAnsi="Calibri" w:cs="Calibri"/>
          <w:b/>
          <w:sz w:val="20"/>
          <w:szCs w:val="20"/>
          <w:lang w:eastAsia="zh-CN"/>
        </w:rPr>
        <w:t xml:space="preserve">Observation 2: </w:t>
      </w:r>
      <w:r>
        <w:rPr>
          <w:rFonts w:ascii="Calibri" w:eastAsia="SimSun" w:hAnsi="Calibri" w:cs="Calibri"/>
          <w:b/>
          <w:sz w:val="20"/>
          <w:szCs w:val="20"/>
          <w:lang w:eastAsia="zh-CN"/>
        </w:rPr>
        <w:t>Spec clarification and Network resolution mechanisms require clarification in the spec as</w:t>
      </w:r>
      <w:r w:rsidRPr="00893078">
        <w:rPr>
          <w:rFonts w:ascii="Calibri" w:eastAsia="SimSun" w:hAnsi="Calibri" w:cs="Calibri"/>
          <w:b/>
          <w:sz w:val="20"/>
          <w:szCs w:val="20"/>
          <w:lang w:eastAsia="zh-CN"/>
        </w:rPr>
        <w:t xml:space="preserve"> Release 14 LTE overheating procedure </w:t>
      </w:r>
      <w:r>
        <w:rPr>
          <w:rFonts w:ascii="Calibri" w:eastAsia="SimSun" w:hAnsi="Calibri" w:cs="Calibri"/>
          <w:b/>
          <w:sz w:val="20"/>
          <w:szCs w:val="20"/>
          <w:lang w:eastAsia="zh-CN"/>
        </w:rPr>
        <w:t>was standardized only for LTE</w:t>
      </w:r>
      <w:r w:rsidRPr="00893078">
        <w:rPr>
          <w:rFonts w:ascii="Calibri" w:eastAsia="SimSun" w:hAnsi="Calibri" w:cs="Calibri"/>
          <w:b/>
          <w:sz w:val="20"/>
          <w:szCs w:val="20"/>
          <w:lang w:eastAsia="zh-CN"/>
        </w:rPr>
        <w:t>.</w:t>
      </w:r>
    </w:p>
    <w:p w14:paraId="0A26DEF3" w14:textId="77777777" w:rsidR="00440A09" w:rsidRDefault="00440A09" w:rsidP="00440A09">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893078">
        <w:rPr>
          <w:rFonts w:ascii="Calibri" w:eastAsia="SimSun" w:hAnsi="Calibri" w:cs="Calibri"/>
          <w:b/>
          <w:sz w:val="20"/>
          <w:szCs w:val="20"/>
          <w:lang w:eastAsia="zh-CN"/>
        </w:rPr>
        <w:t xml:space="preserve">Observation </w:t>
      </w:r>
      <w:r>
        <w:rPr>
          <w:rFonts w:ascii="Calibri" w:eastAsia="SimSun" w:hAnsi="Calibri" w:cs="Calibri"/>
          <w:b/>
          <w:sz w:val="20"/>
          <w:szCs w:val="20"/>
          <w:lang w:eastAsia="zh-CN"/>
        </w:rPr>
        <w:t>3</w:t>
      </w:r>
      <w:r w:rsidRPr="00893078">
        <w:rPr>
          <w:rFonts w:ascii="Calibri" w:eastAsia="SimSun" w:hAnsi="Calibri" w:cs="Calibri"/>
          <w:b/>
          <w:sz w:val="20"/>
          <w:szCs w:val="20"/>
          <w:lang w:eastAsia="zh-CN"/>
        </w:rPr>
        <w:t xml:space="preserve">: </w:t>
      </w:r>
      <w:r>
        <w:rPr>
          <w:rFonts w:ascii="Calibri" w:eastAsia="SimSun" w:hAnsi="Calibri" w:cs="Calibri"/>
          <w:b/>
          <w:sz w:val="20"/>
          <w:szCs w:val="20"/>
          <w:lang w:eastAsia="zh-CN"/>
        </w:rPr>
        <w:t xml:space="preserve">RAN2 to discuss and </w:t>
      </w:r>
      <w:proofErr w:type="gramStart"/>
      <w:r>
        <w:rPr>
          <w:rFonts w:ascii="Calibri" w:eastAsia="SimSun" w:hAnsi="Calibri" w:cs="Calibri"/>
          <w:b/>
          <w:sz w:val="20"/>
          <w:szCs w:val="20"/>
          <w:lang w:eastAsia="zh-CN"/>
        </w:rPr>
        <w:t>take into account</w:t>
      </w:r>
      <w:proofErr w:type="gramEnd"/>
      <w:r>
        <w:rPr>
          <w:rFonts w:ascii="Calibri" w:eastAsia="SimSun" w:hAnsi="Calibri" w:cs="Calibri"/>
          <w:b/>
          <w:sz w:val="20"/>
          <w:szCs w:val="20"/>
          <w:lang w:eastAsia="zh-CN"/>
        </w:rPr>
        <w:t>, possible Network resolutions discussed in section 2</w:t>
      </w:r>
      <w:r w:rsidRPr="00893078">
        <w:rPr>
          <w:rFonts w:ascii="Calibri" w:eastAsia="SimSun" w:hAnsi="Calibri" w:cs="Calibri"/>
          <w:b/>
          <w:sz w:val="20"/>
          <w:szCs w:val="20"/>
          <w:lang w:eastAsia="zh-CN"/>
        </w:rPr>
        <w:t>.</w:t>
      </w:r>
    </w:p>
    <w:p w14:paraId="1043D2AB" w14:textId="77777777" w:rsidR="00440A09" w:rsidRDefault="00440A09" w:rsidP="00440A09">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6629D1">
        <w:rPr>
          <w:rFonts w:ascii="Calibri" w:eastAsia="SimSun" w:hAnsi="Calibri" w:cs="Calibri"/>
          <w:b/>
          <w:sz w:val="20"/>
          <w:szCs w:val="20"/>
          <w:lang w:eastAsia="zh-CN"/>
        </w:rPr>
        <w:t xml:space="preserve">Proposal </w:t>
      </w:r>
      <w:r w:rsidRPr="00793B46">
        <w:rPr>
          <w:rFonts w:ascii="Calibri" w:eastAsia="SimSun" w:hAnsi="Calibri" w:cs="Calibri"/>
          <w:b/>
          <w:sz w:val="20"/>
          <w:szCs w:val="20"/>
          <w:lang w:eastAsia="zh-CN"/>
        </w:rPr>
        <w:t>1</w:t>
      </w:r>
      <w:r w:rsidRPr="006629D1">
        <w:rPr>
          <w:rFonts w:ascii="Calibri" w:eastAsia="SimSun" w:hAnsi="Calibri" w:cs="Calibri"/>
          <w:b/>
          <w:sz w:val="20"/>
          <w:szCs w:val="20"/>
          <w:lang w:eastAsia="zh-CN"/>
        </w:rPr>
        <w:t xml:space="preserve">: </w:t>
      </w:r>
      <w:r>
        <w:rPr>
          <w:rFonts w:ascii="Calibri" w:eastAsia="SimSun" w:hAnsi="Calibri" w:cs="Calibri"/>
          <w:b/>
          <w:sz w:val="20"/>
          <w:szCs w:val="20"/>
          <w:lang w:eastAsia="zh-CN"/>
        </w:rPr>
        <w:t>RAN2 to discuss the Network resolutions for overheating in EN-DC operation and include it in stage 2 specification.</w:t>
      </w:r>
    </w:p>
    <w:p w14:paraId="16690325" w14:textId="77777777" w:rsidR="00F472C9" w:rsidRDefault="00F472C9" w:rsidP="006A7CC9"/>
    <w:sectPr w:rsidR="00F472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body">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1318E"/>
    <w:multiLevelType w:val="hybridMultilevel"/>
    <w:tmpl w:val="3F1EDA24"/>
    <w:lvl w:ilvl="0" w:tplc="250462D2">
      <w:start w:val="1"/>
      <w:numFmt w:val="bullet"/>
      <w:lvlText w:val=""/>
      <w:lvlJc w:val="left"/>
      <w:pPr>
        <w:ind w:left="1718" w:hanging="420"/>
      </w:pPr>
      <w:rPr>
        <w:rFonts w:ascii="Symbol" w:hAnsi="Symbol" w:hint="default"/>
      </w:rPr>
    </w:lvl>
    <w:lvl w:ilvl="1" w:tplc="0409000B">
      <w:start w:val="1"/>
      <w:numFmt w:val="bullet"/>
      <w:lvlText w:val=""/>
      <w:lvlJc w:val="left"/>
      <w:pPr>
        <w:ind w:left="2138" w:hanging="420"/>
      </w:pPr>
      <w:rPr>
        <w:rFonts w:ascii="Wingdings" w:hAnsi="Wingdings" w:hint="default"/>
      </w:rPr>
    </w:lvl>
    <w:lvl w:ilvl="2" w:tplc="0409000D">
      <w:start w:val="1"/>
      <w:numFmt w:val="bullet"/>
      <w:lvlText w:val=""/>
      <w:lvlJc w:val="left"/>
      <w:pPr>
        <w:ind w:left="2558" w:hanging="420"/>
      </w:pPr>
      <w:rPr>
        <w:rFonts w:ascii="Wingdings" w:hAnsi="Wingdings" w:hint="default"/>
      </w:rPr>
    </w:lvl>
    <w:lvl w:ilvl="3" w:tplc="04090001">
      <w:start w:val="1"/>
      <w:numFmt w:val="bullet"/>
      <w:lvlText w:val=""/>
      <w:lvlJc w:val="left"/>
      <w:pPr>
        <w:ind w:left="2978" w:hanging="420"/>
      </w:pPr>
      <w:rPr>
        <w:rFonts w:ascii="Wingdings" w:hAnsi="Wingdings" w:hint="default"/>
      </w:rPr>
    </w:lvl>
    <w:lvl w:ilvl="4" w:tplc="0409000B">
      <w:start w:val="1"/>
      <w:numFmt w:val="bullet"/>
      <w:lvlText w:val=""/>
      <w:lvlJc w:val="left"/>
      <w:pPr>
        <w:ind w:left="3398" w:hanging="420"/>
      </w:pPr>
      <w:rPr>
        <w:rFonts w:ascii="Wingdings" w:hAnsi="Wingdings" w:hint="default"/>
      </w:rPr>
    </w:lvl>
    <w:lvl w:ilvl="5" w:tplc="0409000D">
      <w:start w:val="1"/>
      <w:numFmt w:val="bullet"/>
      <w:lvlText w:val=""/>
      <w:lvlJc w:val="left"/>
      <w:pPr>
        <w:ind w:left="3818" w:hanging="420"/>
      </w:pPr>
      <w:rPr>
        <w:rFonts w:ascii="Wingdings" w:hAnsi="Wingdings" w:hint="default"/>
      </w:rPr>
    </w:lvl>
    <w:lvl w:ilvl="6" w:tplc="04090001">
      <w:start w:val="1"/>
      <w:numFmt w:val="bullet"/>
      <w:lvlText w:val=""/>
      <w:lvlJc w:val="left"/>
      <w:pPr>
        <w:ind w:left="4238" w:hanging="420"/>
      </w:pPr>
      <w:rPr>
        <w:rFonts w:ascii="Wingdings" w:hAnsi="Wingdings" w:hint="default"/>
      </w:rPr>
    </w:lvl>
    <w:lvl w:ilvl="7" w:tplc="0409000B">
      <w:start w:val="1"/>
      <w:numFmt w:val="bullet"/>
      <w:lvlText w:val=""/>
      <w:lvlJc w:val="left"/>
      <w:pPr>
        <w:ind w:left="4658" w:hanging="420"/>
      </w:pPr>
      <w:rPr>
        <w:rFonts w:ascii="Wingdings" w:hAnsi="Wingdings" w:hint="default"/>
      </w:rPr>
    </w:lvl>
    <w:lvl w:ilvl="8" w:tplc="0409000D">
      <w:start w:val="1"/>
      <w:numFmt w:val="bullet"/>
      <w:lvlText w:val=""/>
      <w:lvlJc w:val="left"/>
      <w:pPr>
        <w:ind w:left="5078" w:hanging="42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845568"/>
    <w:multiLevelType w:val="hybridMultilevel"/>
    <w:tmpl w:val="8AA2D516"/>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4" w15:restartNumberingAfterBreak="0">
    <w:nsid w:val="15480D7D"/>
    <w:multiLevelType w:val="hybridMultilevel"/>
    <w:tmpl w:val="AFBC4382"/>
    <w:lvl w:ilvl="0" w:tplc="0409000F">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5"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B6D96"/>
    <w:multiLevelType w:val="hybridMultilevel"/>
    <w:tmpl w:val="C386910E"/>
    <w:lvl w:ilvl="0" w:tplc="E5B4CC9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80613"/>
    <w:multiLevelType w:val="multilevel"/>
    <w:tmpl w:val="9098B8F6"/>
    <w:lvl w:ilvl="0">
      <w:start w:val="1"/>
      <w:numFmt w:val="none"/>
      <w:lvlRestart w:val="0"/>
      <w:pStyle w:val="-Note"/>
      <w:lvlText w:val="NOTE:"/>
      <w:lvlJc w:val="left"/>
      <w:pPr>
        <w:tabs>
          <w:tab w:val="num" w:pos="720"/>
        </w:tabs>
        <w:ind w:left="720" w:hanging="576"/>
      </w:pPr>
      <w:rPr>
        <w:rFonts w:ascii="Arial" w:hAnsi="Arial" w:cs="Arial"/>
        <w:b/>
        <w:i w:val="0"/>
        <w:sz w:val="14"/>
      </w:rPr>
    </w:lvl>
    <w:lvl w:ilvl="1">
      <w:start w:val="1"/>
      <w:numFmt w:val="none"/>
      <w:lvlRestart w:val="0"/>
      <w:pStyle w:val="C-Caution"/>
      <w:lvlText w:val="CAUTION:"/>
      <w:lvlJc w:val="left"/>
      <w:pPr>
        <w:tabs>
          <w:tab w:val="num" w:pos="720"/>
        </w:tabs>
        <w:ind w:left="720" w:hanging="806"/>
      </w:pPr>
      <w:rPr>
        <w:rFonts w:ascii="Arial" w:hAnsi="Arial" w:cs="Arial"/>
        <w:b/>
        <w:i w:val="0"/>
        <w:color w:val="000000"/>
        <w:sz w:val="14"/>
      </w:rPr>
    </w:lvl>
    <w:lvl w:ilvl="2">
      <w:start w:val="1"/>
      <w:numFmt w:val="none"/>
      <w:lvlRestart w:val="0"/>
      <w:pStyle w:val="W-Warning"/>
      <w:lvlText w:val="WARNING:"/>
      <w:lvlJc w:val="left"/>
      <w:pPr>
        <w:tabs>
          <w:tab w:val="num" w:pos="720"/>
        </w:tabs>
        <w:ind w:left="720" w:hanging="850"/>
      </w:pPr>
      <w:rPr>
        <w:rFonts w:ascii="Arial" w:hAnsi="Arial" w:cs="Arial"/>
        <w:b/>
        <w:i w:val="0"/>
        <w:color w:val="800000"/>
        <w:sz w:val="14"/>
      </w:rPr>
    </w:lvl>
    <w:lvl w:ilvl="3">
      <w:start w:val="1"/>
      <w:numFmt w:val="none"/>
      <w:lvlRestart w:val="0"/>
      <w:pStyle w:val="2"/>
      <w:lvlText w:val="NOTE:"/>
      <w:lvlJc w:val="left"/>
      <w:pPr>
        <w:tabs>
          <w:tab w:val="num" w:pos="1354"/>
        </w:tabs>
        <w:ind w:left="1354" w:hanging="634"/>
      </w:pPr>
      <w:rPr>
        <w:rFonts w:ascii="Arial" w:hAnsi="Arial" w:cs="Arial"/>
        <w:b/>
        <w:i w:val="0"/>
        <w:sz w:val="14"/>
      </w:rPr>
    </w:lvl>
    <w:lvl w:ilvl="4">
      <w:start w:val="1"/>
      <w:numFmt w:val="none"/>
      <w:lvlRestart w:val="0"/>
      <w:pStyle w:val="C2"/>
      <w:lvlText w:val="CAUTION:"/>
      <w:lvlJc w:val="left"/>
      <w:pPr>
        <w:tabs>
          <w:tab w:val="num" w:pos="1584"/>
        </w:tabs>
        <w:ind w:left="1584" w:hanging="864"/>
      </w:pPr>
      <w:rPr>
        <w:rFonts w:ascii="Arial" w:hAnsi="Arial" w:cs="Arial"/>
        <w:b/>
        <w:i w:val="0"/>
        <w:sz w:val="14"/>
      </w:rPr>
    </w:lvl>
    <w:lvl w:ilvl="5">
      <w:start w:val="1"/>
      <w:numFmt w:val="none"/>
      <w:lvlRestart w:val="0"/>
      <w:pStyle w:val="W2"/>
      <w:lvlText w:val="WARNING:"/>
      <w:lvlJc w:val="left"/>
      <w:pPr>
        <w:tabs>
          <w:tab w:val="num" w:pos="1656"/>
        </w:tabs>
        <w:ind w:left="1656" w:hanging="936"/>
      </w:pPr>
      <w:rPr>
        <w:rFonts w:ascii="Arial" w:hAnsi="Arial" w:cs="Arial"/>
        <w:b/>
        <w:i w:val="0"/>
        <w:color w:val="800000"/>
        <w:sz w:val="14"/>
      </w:rPr>
    </w:lvl>
    <w:lvl w:ilvl="6">
      <w:start w:val="1"/>
      <w:numFmt w:val="none"/>
      <w:lvlRestart w:val="0"/>
      <w:pStyle w:val="3"/>
      <w:lvlText w:val="NOTE:"/>
      <w:lvlJc w:val="left"/>
      <w:pPr>
        <w:tabs>
          <w:tab w:val="num" w:pos="1786"/>
        </w:tabs>
        <w:ind w:left="1786" w:hanging="706"/>
      </w:pPr>
      <w:rPr>
        <w:rFonts w:ascii="Arial" w:hAnsi="Arial" w:cs="Arial"/>
        <w:b/>
        <w:i w:val="0"/>
        <w:sz w:val="14"/>
      </w:rPr>
    </w:lvl>
    <w:lvl w:ilvl="7">
      <w:start w:val="1"/>
      <w:numFmt w:val="none"/>
      <w:lvlRestart w:val="0"/>
      <w:lvlText w:val="CAUTION:"/>
      <w:lvlJc w:val="left"/>
      <w:pPr>
        <w:tabs>
          <w:tab w:val="num" w:pos="1944"/>
        </w:tabs>
        <w:ind w:left="1944" w:hanging="1008"/>
      </w:pPr>
      <w:rPr>
        <w:rFonts w:ascii="Arial" w:hAnsi="Arial" w:cs="Arial"/>
        <w:b/>
        <w:i w:val="0"/>
        <w:sz w:val="14"/>
      </w:rPr>
    </w:lvl>
    <w:lvl w:ilvl="8">
      <w:start w:val="1"/>
      <w:numFmt w:val="none"/>
      <w:lvlRestart w:val="0"/>
      <w:pStyle w:val="W3"/>
      <w:lvlText w:val="WARNING:"/>
      <w:lvlJc w:val="left"/>
      <w:pPr>
        <w:tabs>
          <w:tab w:val="num" w:pos="2016"/>
        </w:tabs>
        <w:ind w:left="2016" w:hanging="936"/>
      </w:pPr>
      <w:rPr>
        <w:rFonts w:ascii="Arial" w:hAnsi="Arial" w:cs="Arial"/>
        <w:b/>
        <w:i w:val="0"/>
        <w:color w:val="800000"/>
        <w:sz w:val="14"/>
      </w:rPr>
    </w:lvl>
  </w:abstractNum>
  <w:abstractNum w:abstractNumId="8" w15:restartNumberingAfterBreak="0">
    <w:nsid w:val="36C86453"/>
    <w:multiLevelType w:val="multilevel"/>
    <w:tmpl w:val="FEB8893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37E2056A"/>
    <w:multiLevelType w:val="hybridMultilevel"/>
    <w:tmpl w:val="960AA3FE"/>
    <w:lvl w:ilvl="0" w:tplc="E5B4CC9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D72F0A"/>
    <w:multiLevelType w:val="hybridMultilevel"/>
    <w:tmpl w:val="960AA3FE"/>
    <w:lvl w:ilvl="0" w:tplc="E5B4CC9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C817A7"/>
    <w:multiLevelType w:val="hybridMultilevel"/>
    <w:tmpl w:val="713C864C"/>
    <w:lvl w:ilvl="0" w:tplc="E5B4CC9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A4B39"/>
    <w:multiLevelType w:val="hybridMultilevel"/>
    <w:tmpl w:val="C8E0C594"/>
    <w:lvl w:ilvl="0" w:tplc="04090001">
      <w:start w:val="1"/>
      <w:numFmt w:val="bullet"/>
      <w:lvlText w:val=""/>
      <w:lvlJc w:val="left"/>
      <w:pPr>
        <w:ind w:left="720" w:hanging="360"/>
      </w:pPr>
      <w:rPr>
        <w:rFonts w:ascii="Symbol" w:hAnsi="Symbol" w:hint="default"/>
      </w:rPr>
    </w:lvl>
    <w:lvl w:ilvl="1" w:tplc="7118453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45F61"/>
    <w:multiLevelType w:val="hybridMultilevel"/>
    <w:tmpl w:val="9F96B658"/>
    <w:lvl w:ilvl="0" w:tplc="C868BA94">
      <w:start w:val="1"/>
      <w:numFmt w:val="bullet"/>
      <w:lvlText w:val="•"/>
      <w:lvlJc w:val="left"/>
      <w:pPr>
        <w:tabs>
          <w:tab w:val="num" w:pos="720"/>
        </w:tabs>
        <w:ind w:left="720" w:hanging="360"/>
      </w:pPr>
      <w:rPr>
        <w:rFonts w:ascii="Times New Roman" w:hAnsi="Times New Roman" w:hint="default"/>
      </w:rPr>
    </w:lvl>
    <w:lvl w:ilvl="1" w:tplc="4B846F44">
      <w:start w:val="238"/>
      <w:numFmt w:val="bullet"/>
      <w:lvlText w:val="–"/>
      <w:lvlJc w:val="left"/>
      <w:pPr>
        <w:tabs>
          <w:tab w:val="num" w:pos="1440"/>
        </w:tabs>
        <w:ind w:left="1440" w:hanging="360"/>
      </w:pPr>
      <w:rPr>
        <w:rFonts w:ascii="Times New Roman" w:hAnsi="Times New Roman" w:hint="default"/>
      </w:rPr>
    </w:lvl>
    <w:lvl w:ilvl="2" w:tplc="E1D2B764">
      <w:start w:val="238"/>
      <w:numFmt w:val="bullet"/>
      <w:lvlText w:val="•"/>
      <w:lvlJc w:val="left"/>
      <w:pPr>
        <w:tabs>
          <w:tab w:val="num" w:pos="2160"/>
        </w:tabs>
        <w:ind w:left="2160" w:hanging="360"/>
      </w:pPr>
      <w:rPr>
        <w:rFonts w:ascii="Times New Roman" w:hAnsi="Times New Roman" w:hint="default"/>
      </w:rPr>
    </w:lvl>
    <w:lvl w:ilvl="3" w:tplc="0BCC1486" w:tentative="1">
      <w:start w:val="1"/>
      <w:numFmt w:val="bullet"/>
      <w:lvlText w:val="•"/>
      <w:lvlJc w:val="left"/>
      <w:pPr>
        <w:tabs>
          <w:tab w:val="num" w:pos="2880"/>
        </w:tabs>
        <w:ind w:left="2880" w:hanging="360"/>
      </w:pPr>
      <w:rPr>
        <w:rFonts w:ascii="Times New Roman" w:hAnsi="Times New Roman" w:hint="default"/>
      </w:rPr>
    </w:lvl>
    <w:lvl w:ilvl="4" w:tplc="E1564420" w:tentative="1">
      <w:start w:val="1"/>
      <w:numFmt w:val="bullet"/>
      <w:lvlText w:val="•"/>
      <w:lvlJc w:val="left"/>
      <w:pPr>
        <w:tabs>
          <w:tab w:val="num" w:pos="3600"/>
        </w:tabs>
        <w:ind w:left="3600" w:hanging="360"/>
      </w:pPr>
      <w:rPr>
        <w:rFonts w:ascii="Times New Roman" w:hAnsi="Times New Roman" w:hint="default"/>
      </w:rPr>
    </w:lvl>
    <w:lvl w:ilvl="5" w:tplc="F3269BD4" w:tentative="1">
      <w:start w:val="1"/>
      <w:numFmt w:val="bullet"/>
      <w:lvlText w:val="•"/>
      <w:lvlJc w:val="left"/>
      <w:pPr>
        <w:tabs>
          <w:tab w:val="num" w:pos="4320"/>
        </w:tabs>
        <w:ind w:left="4320" w:hanging="360"/>
      </w:pPr>
      <w:rPr>
        <w:rFonts w:ascii="Times New Roman" w:hAnsi="Times New Roman" w:hint="default"/>
      </w:rPr>
    </w:lvl>
    <w:lvl w:ilvl="6" w:tplc="B48CE304" w:tentative="1">
      <w:start w:val="1"/>
      <w:numFmt w:val="bullet"/>
      <w:lvlText w:val="•"/>
      <w:lvlJc w:val="left"/>
      <w:pPr>
        <w:tabs>
          <w:tab w:val="num" w:pos="5040"/>
        </w:tabs>
        <w:ind w:left="5040" w:hanging="360"/>
      </w:pPr>
      <w:rPr>
        <w:rFonts w:ascii="Times New Roman" w:hAnsi="Times New Roman" w:hint="default"/>
      </w:rPr>
    </w:lvl>
    <w:lvl w:ilvl="7" w:tplc="9CAE5F44" w:tentative="1">
      <w:start w:val="1"/>
      <w:numFmt w:val="bullet"/>
      <w:lvlText w:val="•"/>
      <w:lvlJc w:val="left"/>
      <w:pPr>
        <w:tabs>
          <w:tab w:val="num" w:pos="5760"/>
        </w:tabs>
        <w:ind w:left="5760" w:hanging="360"/>
      </w:pPr>
      <w:rPr>
        <w:rFonts w:ascii="Times New Roman" w:hAnsi="Times New Roman" w:hint="default"/>
      </w:rPr>
    </w:lvl>
    <w:lvl w:ilvl="8" w:tplc="3EC0A87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8515DB9"/>
    <w:multiLevelType w:val="hybridMultilevel"/>
    <w:tmpl w:val="854AE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D87881"/>
    <w:multiLevelType w:val="hybridMultilevel"/>
    <w:tmpl w:val="FC700C78"/>
    <w:lvl w:ilvl="0" w:tplc="E5B4CC9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18"/>
  </w:num>
  <w:num w:numId="10">
    <w:abstractNumId w:val="13"/>
  </w:num>
  <w:num w:numId="11">
    <w:abstractNumId w:val="16"/>
  </w:num>
  <w:num w:numId="12">
    <w:abstractNumId w:val="2"/>
  </w:num>
  <w:num w:numId="13">
    <w:abstractNumId w:val="7"/>
  </w:num>
  <w:num w:numId="14">
    <w:abstractNumId w:val="15"/>
  </w:num>
  <w:num w:numId="15">
    <w:abstractNumId w:val="6"/>
  </w:num>
  <w:num w:numId="16">
    <w:abstractNumId w:val="4"/>
  </w:num>
  <w:num w:numId="17">
    <w:abstractNumId w:val="12"/>
  </w:num>
  <w:num w:numId="18">
    <w:abstractNumId w:val="17"/>
  </w:num>
  <w:num w:numId="19">
    <w:abstractNumId w:val="14"/>
  </w:num>
  <w:num w:numId="20">
    <w:abstractNumId w:val="11"/>
  </w:num>
  <w:num w:numId="21">
    <w:abstractNumId w:val="9"/>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75E"/>
    <w:rsid w:val="000025C9"/>
    <w:rsid w:val="0000508E"/>
    <w:rsid w:val="00006B22"/>
    <w:rsid w:val="000070D0"/>
    <w:rsid w:val="000077E9"/>
    <w:rsid w:val="00014DEA"/>
    <w:rsid w:val="00020C46"/>
    <w:rsid w:val="00021D9C"/>
    <w:rsid w:val="0002360E"/>
    <w:rsid w:val="000308BC"/>
    <w:rsid w:val="000346BC"/>
    <w:rsid w:val="00035B7B"/>
    <w:rsid w:val="0004077A"/>
    <w:rsid w:val="00043B37"/>
    <w:rsid w:val="000614E3"/>
    <w:rsid w:val="00070496"/>
    <w:rsid w:val="00080802"/>
    <w:rsid w:val="00082A5E"/>
    <w:rsid w:val="00084CFD"/>
    <w:rsid w:val="00093766"/>
    <w:rsid w:val="000A06D4"/>
    <w:rsid w:val="000B08D7"/>
    <w:rsid w:val="000B0B66"/>
    <w:rsid w:val="000B2ED3"/>
    <w:rsid w:val="000B6590"/>
    <w:rsid w:val="000B6BD4"/>
    <w:rsid w:val="000C23CC"/>
    <w:rsid w:val="000C4C14"/>
    <w:rsid w:val="000C4FC2"/>
    <w:rsid w:val="000C6958"/>
    <w:rsid w:val="000C6A03"/>
    <w:rsid w:val="000D408C"/>
    <w:rsid w:val="000D5E27"/>
    <w:rsid w:val="000E5602"/>
    <w:rsid w:val="000E6D05"/>
    <w:rsid w:val="000F0D2C"/>
    <w:rsid w:val="000F3717"/>
    <w:rsid w:val="000F4D19"/>
    <w:rsid w:val="000F4FFB"/>
    <w:rsid w:val="00101565"/>
    <w:rsid w:val="0011117D"/>
    <w:rsid w:val="0012182E"/>
    <w:rsid w:val="00122D77"/>
    <w:rsid w:val="00123D76"/>
    <w:rsid w:val="00124245"/>
    <w:rsid w:val="001246CE"/>
    <w:rsid w:val="00126F5E"/>
    <w:rsid w:val="00131CDD"/>
    <w:rsid w:val="0013318C"/>
    <w:rsid w:val="001331E8"/>
    <w:rsid w:val="00134A79"/>
    <w:rsid w:val="001369E6"/>
    <w:rsid w:val="00136DDA"/>
    <w:rsid w:val="00136EB3"/>
    <w:rsid w:val="00137A5E"/>
    <w:rsid w:val="00137C2A"/>
    <w:rsid w:val="0014060B"/>
    <w:rsid w:val="00143E51"/>
    <w:rsid w:val="001554FC"/>
    <w:rsid w:val="00155F7A"/>
    <w:rsid w:val="0015681E"/>
    <w:rsid w:val="001603C0"/>
    <w:rsid w:val="0016164B"/>
    <w:rsid w:val="001726E1"/>
    <w:rsid w:val="0017578D"/>
    <w:rsid w:val="0018496E"/>
    <w:rsid w:val="00184AEA"/>
    <w:rsid w:val="00187DC2"/>
    <w:rsid w:val="00192F63"/>
    <w:rsid w:val="00194311"/>
    <w:rsid w:val="001A315D"/>
    <w:rsid w:val="001A527B"/>
    <w:rsid w:val="001A578C"/>
    <w:rsid w:val="001A7CA7"/>
    <w:rsid w:val="001B238A"/>
    <w:rsid w:val="001B249C"/>
    <w:rsid w:val="001B2920"/>
    <w:rsid w:val="001B2D04"/>
    <w:rsid w:val="001B53B4"/>
    <w:rsid w:val="001B778A"/>
    <w:rsid w:val="001B7CE2"/>
    <w:rsid w:val="001C2A59"/>
    <w:rsid w:val="001C3C2B"/>
    <w:rsid w:val="001C51D8"/>
    <w:rsid w:val="001D37E8"/>
    <w:rsid w:val="001D486E"/>
    <w:rsid w:val="001D4DCD"/>
    <w:rsid w:val="001D7C8F"/>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4BD2"/>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B23BA"/>
    <w:rsid w:val="002C08F7"/>
    <w:rsid w:val="002C2521"/>
    <w:rsid w:val="002D1630"/>
    <w:rsid w:val="002D6275"/>
    <w:rsid w:val="002D7E4A"/>
    <w:rsid w:val="002E04C9"/>
    <w:rsid w:val="002E222C"/>
    <w:rsid w:val="002E2371"/>
    <w:rsid w:val="002E2F43"/>
    <w:rsid w:val="002E4B2C"/>
    <w:rsid w:val="002E6EBF"/>
    <w:rsid w:val="002F0552"/>
    <w:rsid w:val="002F13DA"/>
    <w:rsid w:val="00301CF2"/>
    <w:rsid w:val="003100FD"/>
    <w:rsid w:val="00313950"/>
    <w:rsid w:val="00316098"/>
    <w:rsid w:val="00322563"/>
    <w:rsid w:val="003232E4"/>
    <w:rsid w:val="003242AF"/>
    <w:rsid w:val="003269CB"/>
    <w:rsid w:val="00330ECC"/>
    <w:rsid w:val="00331353"/>
    <w:rsid w:val="003319D1"/>
    <w:rsid w:val="00332268"/>
    <w:rsid w:val="00332294"/>
    <w:rsid w:val="003323C3"/>
    <w:rsid w:val="00332654"/>
    <w:rsid w:val="003334F9"/>
    <w:rsid w:val="00335DBF"/>
    <w:rsid w:val="0034099C"/>
    <w:rsid w:val="003446FB"/>
    <w:rsid w:val="00350870"/>
    <w:rsid w:val="00353BE3"/>
    <w:rsid w:val="00354616"/>
    <w:rsid w:val="00355259"/>
    <w:rsid w:val="00360763"/>
    <w:rsid w:val="00365ED6"/>
    <w:rsid w:val="00366663"/>
    <w:rsid w:val="0037277D"/>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52A"/>
    <w:rsid w:val="003E51A5"/>
    <w:rsid w:val="003E769F"/>
    <w:rsid w:val="003F071D"/>
    <w:rsid w:val="003F1EBA"/>
    <w:rsid w:val="003F409C"/>
    <w:rsid w:val="003F70A4"/>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0A09"/>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68ED"/>
    <w:rsid w:val="00557761"/>
    <w:rsid w:val="005615F3"/>
    <w:rsid w:val="00565C8B"/>
    <w:rsid w:val="00566C5D"/>
    <w:rsid w:val="005675F5"/>
    <w:rsid w:val="00570416"/>
    <w:rsid w:val="00571CF6"/>
    <w:rsid w:val="00584371"/>
    <w:rsid w:val="005862F0"/>
    <w:rsid w:val="00591123"/>
    <w:rsid w:val="00592C50"/>
    <w:rsid w:val="00593A8A"/>
    <w:rsid w:val="00595567"/>
    <w:rsid w:val="00595E32"/>
    <w:rsid w:val="005A07EB"/>
    <w:rsid w:val="005B4D06"/>
    <w:rsid w:val="005C18D4"/>
    <w:rsid w:val="005D459F"/>
    <w:rsid w:val="005D4B7E"/>
    <w:rsid w:val="005D7CE8"/>
    <w:rsid w:val="005E17EE"/>
    <w:rsid w:val="005E5770"/>
    <w:rsid w:val="005E59FE"/>
    <w:rsid w:val="005E6069"/>
    <w:rsid w:val="005E6861"/>
    <w:rsid w:val="00606159"/>
    <w:rsid w:val="006070BB"/>
    <w:rsid w:val="006132B2"/>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4F7A"/>
    <w:rsid w:val="00665AC8"/>
    <w:rsid w:val="00667133"/>
    <w:rsid w:val="006728C5"/>
    <w:rsid w:val="00673657"/>
    <w:rsid w:val="00674C26"/>
    <w:rsid w:val="00674CB6"/>
    <w:rsid w:val="00675ECA"/>
    <w:rsid w:val="006775DB"/>
    <w:rsid w:val="00677A85"/>
    <w:rsid w:val="0068760C"/>
    <w:rsid w:val="006A196E"/>
    <w:rsid w:val="006A34E9"/>
    <w:rsid w:val="006A4BB3"/>
    <w:rsid w:val="006A5A6D"/>
    <w:rsid w:val="006A7CC9"/>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149E1"/>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775B2"/>
    <w:rsid w:val="0078233A"/>
    <w:rsid w:val="00782F3A"/>
    <w:rsid w:val="0078448B"/>
    <w:rsid w:val="0078780B"/>
    <w:rsid w:val="00793B46"/>
    <w:rsid w:val="007944C5"/>
    <w:rsid w:val="00796497"/>
    <w:rsid w:val="007A167C"/>
    <w:rsid w:val="007A19BB"/>
    <w:rsid w:val="007A51DA"/>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16411"/>
    <w:rsid w:val="0082225A"/>
    <w:rsid w:val="0082554E"/>
    <w:rsid w:val="008258D3"/>
    <w:rsid w:val="00826BA2"/>
    <w:rsid w:val="00827A52"/>
    <w:rsid w:val="00830BCE"/>
    <w:rsid w:val="00831D01"/>
    <w:rsid w:val="00832F45"/>
    <w:rsid w:val="008339C5"/>
    <w:rsid w:val="0083415F"/>
    <w:rsid w:val="00834CF6"/>
    <w:rsid w:val="00836869"/>
    <w:rsid w:val="0084157A"/>
    <w:rsid w:val="0084506F"/>
    <w:rsid w:val="008461CA"/>
    <w:rsid w:val="00846295"/>
    <w:rsid w:val="008463DC"/>
    <w:rsid w:val="00850631"/>
    <w:rsid w:val="0085178A"/>
    <w:rsid w:val="00861219"/>
    <w:rsid w:val="008618AF"/>
    <w:rsid w:val="008652B1"/>
    <w:rsid w:val="00873BAD"/>
    <w:rsid w:val="00875260"/>
    <w:rsid w:val="00880A87"/>
    <w:rsid w:val="00881001"/>
    <w:rsid w:val="00884BC8"/>
    <w:rsid w:val="0089034A"/>
    <w:rsid w:val="00890B91"/>
    <w:rsid w:val="00892DAA"/>
    <w:rsid w:val="00893078"/>
    <w:rsid w:val="00893601"/>
    <w:rsid w:val="00894033"/>
    <w:rsid w:val="008943B8"/>
    <w:rsid w:val="008A0965"/>
    <w:rsid w:val="008A2CA5"/>
    <w:rsid w:val="008A375D"/>
    <w:rsid w:val="008A3BEB"/>
    <w:rsid w:val="008A4CB5"/>
    <w:rsid w:val="008B5A39"/>
    <w:rsid w:val="008B7244"/>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0EC5"/>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44B71"/>
    <w:rsid w:val="00951640"/>
    <w:rsid w:val="009522FE"/>
    <w:rsid w:val="00960CF2"/>
    <w:rsid w:val="009715E6"/>
    <w:rsid w:val="00971EF2"/>
    <w:rsid w:val="009741A7"/>
    <w:rsid w:val="00975469"/>
    <w:rsid w:val="009754BA"/>
    <w:rsid w:val="0098145D"/>
    <w:rsid w:val="00983702"/>
    <w:rsid w:val="0098481D"/>
    <w:rsid w:val="00993F10"/>
    <w:rsid w:val="009945B5"/>
    <w:rsid w:val="00994F64"/>
    <w:rsid w:val="009A1440"/>
    <w:rsid w:val="009B6658"/>
    <w:rsid w:val="009C4C7F"/>
    <w:rsid w:val="009D414D"/>
    <w:rsid w:val="009D563C"/>
    <w:rsid w:val="009D66E1"/>
    <w:rsid w:val="009D671D"/>
    <w:rsid w:val="009E2F90"/>
    <w:rsid w:val="009F12A8"/>
    <w:rsid w:val="009F3497"/>
    <w:rsid w:val="009F4FF6"/>
    <w:rsid w:val="009F7A48"/>
    <w:rsid w:val="009F7EEB"/>
    <w:rsid w:val="00A012BA"/>
    <w:rsid w:val="00A03E52"/>
    <w:rsid w:val="00A140BC"/>
    <w:rsid w:val="00A200F7"/>
    <w:rsid w:val="00A230C4"/>
    <w:rsid w:val="00A2367C"/>
    <w:rsid w:val="00A30BB8"/>
    <w:rsid w:val="00A3127D"/>
    <w:rsid w:val="00A40CF2"/>
    <w:rsid w:val="00A4151A"/>
    <w:rsid w:val="00A422FC"/>
    <w:rsid w:val="00A4487E"/>
    <w:rsid w:val="00A461B6"/>
    <w:rsid w:val="00A546A0"/>
    <w:rsid w:val="00A56863"/>
    <w:rsid w:val="00A62837"/>
    <w:rsid w:val="00A72C48"/>
    <w:rsid w:val="00A777D2"/>
    <w:rsid w:val="00A779FB"/>
    <w:rsid w:val="00A8077A"/>
    <w:rsid w:val="00A814F4"/>
    <w:rsid w:val="00A81944"/>
    <w:rsid w:val="00A84D9C"/>
    <w:rsid w:val="00A8716F"/>
    <w:rsid w:val="00A872D9"/>
    <w:rsid w:val="00A87509"/>
    <w:rsid w:val="00A9231D"/>
    <w:rsid w:val="00A9274F"/>
    <w:rsid w:val="00A92FC4"/>
    <w:rsid w:val="00A94093"/>
    <w:rsid w:val="00A962FD"/>
    <w:rsid w:val="00AA00EC"/>
    <w:rsid w:val="00AA248F"/>
    <w:rsid w:val="00AA49FE"/>
    <w:rsid w:val="00AB0D22"/>
    <w:rsid w:val="00AB1B76"/>
    <w:rsid w:val="00AB4226"/>
    <w:rsid w:val="00AB4611"/>
    <w:rsid w:val="00AB54C4"/>
    <w:rsid w:val="00AB5AD2"/>
    <w:rsid w:val="00AB5C33"/>
    <w:rsid w:val="00AC15DB"/>
    <w:rsid w:val="00AD0243"/>
    <w:rsid w:val="00AD282B"/>
    <w:rsid w:val="00AD590F"/>
    <w:rsid w:val="00AD65BE"/>
    <w:rsid w:val="00AE0F7C"/>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0292"/>
    <w:rsid w:val="00B610B4"/>
    <w:rsid w:val="00B7077E"/>
    <w:rsid w:val="00B7166E"/>
    <w:rsid w:val="00B7210C"/>
    <w:rsid w:val="00B72D34"/>
    <w:rsid w:val="00B732CA"/>
    <w:rsid w:val="00B82ED1"/>
    <w:rsid w:val="00B93AF2"/>
    <w:rsid w:val="00B9495F"/>
    <w:rsid w:val="00B96F04"/>
    <w:rsid w:val="00BA14F6"/>
    <w:rsid w:val="00BA361F"/>
    <w:rsid w:val="00BB0496"/>
    <w:rsid w:val="00BB2A9B"/>
    <w:rsid w:val="00BC0165"/>
    <w:rsid w:val="00BC0C1F"/>
    <w:rsid w:val="00BC2404"/>
    <w:rsid w:val="00BC28D1"/>
    <w:rsid w:val="00BC41F6"/>
    <w:rsid w:val="00BC5811"/>
    <w:rsid w:val="00BC5E8A"/>
    <w:rsid w:val="00BC5FB3"/>
    <w:rsid w:val="00BD43BD"/>
    <w:rsid w:val="00BE0458"/>
    <w:rsid w:val="00BE15F4"/>
    <w:rsid w:val="00BE29AD"/>
    <w:rsid w:val="00BE2CE1"/>
    <w:rsid w:val="00BE30B2"/>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0BF0"/>
    <w:rsid w:val="00D214D8"/>
    <w:rsid w:val="00D2371A"/>
    <w:rsid w:val="00D27011"/>
    <w:rsid w:val="00D30A76"/>
    <w:rsid w:val="00D355FD"/>
    <w:rsid w:val="00D367BE"/>
    <w:rsid w:val="00D40782"/>
    <w:rsid w:val="00D44310"/>
    <w:rsid w:val="00D46098"/>
    <w:rsid w:val="00D46970"/>
    <w:rsid w:val="00D46A18"/>
    <w:rsid w:val="00D526F7"/>
    <w:rsid w:val="00D568A8"/>
    <w:rsid w:val="00D619FD"/>
    <w:rsid w:val="00D6450C"/>
    <w:rsid w:val="00D649D2"/>
    <w:rsid w:val="00D708CE"/>
    <w:rsid w:val="00D70B5F"/>
    <w:rsid w:val="00D71970"/>
    <w:rsid w:val="00D72A59"/>
    <w:rsid w:val="00D75919"/>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E772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997"/>
    <w:rsid w:val="00E42BC2"/>
    <w:rsid w:val="00E4323C"/>
    <w:rsid w:val="00E46866"/>
    <w:rsid w:val="00E469A3"/>
    <w:rsid w:val="00E46B99"/>
    <w:rsid w:val="00E53A90"/>
    <w:rsid w:val="00E5620E"/>
    <w:rsid w:val="00E613B3"/>
    <w:rsid w:val="00E6623B"/>
    <w:rsid w:val="00E72A1D"/>
    <w:rsid w:val="00E73903"/>
    <w:rsid w:val="00E77FE8"/>
    <w:rsid w:val="00E81D22"/>
    <w:rsid w:val="00E84982"/>
    <w:rsid w:val="00E851C2"/>
    <w:rsid w:val="00E85D77"/>
    <w:rsid w:val="00E90148"/>
    <w:rsid w:val="00E948D7"/>
    <w:rsid w:val="00E96E29"/>
    <w:rsid w:val="00EB50AD"/>
    <w:rsid w:val="00EC019B"/>
    <w:rsid w:val="00EC0D19"/>
    <w:rsid w:val="00EC36C5"/>
    <w:rsid w:val="00ED10B5"/>
    <w:rsid w:val="00ED2D6E"/>
    <w:rsid w:val="00ED5341"/>
    <w:rsid w:val="00EE1888"/>
    <w:rsid w:val="00EE2899"/>
    <w:rsid w:val="00EE3DF8"/>
    <w:rsid w:val="00EF5712"/>
    <w:rsid w:val="00EF58BF"/>
    <w:rsid w:val="00F00BED"/>
    <w:rsid w:val="00F01004"/>
    <w:rsid w:val="00F023AD"/>
    <w:rsid w:val="00F03E19"/>
    <w:rsid w:val="00F04342"/>
    <w:rsid w:val="00F112D3"/>
    <w:rsid w:val="00F118D3"/>
    <w:rsid w:val="00F12D84"/>
    <w:rsid w:val="00F1475F"/>
    <w:rsid w:val="00F237F2"/>
    <w:rsid w:val="00F24CA8"/>
    <w:rsid w:val="00F2607F"/>
    <w:rsid w:val="00F332E2"/>
    <w:rsid w:val="00F4028F"/>
    <w:rsid w:val="00F40457"/>
    <w:rsid w:val="00F423C0"/>
    <w:rsid w:val="00F4381D"/>
    <w:rsid w:val="00F472C9"/>
    <w:rsid w:val="00F5339D"/>
    <w:rsid w:val="00F566DC"/>
    <w:rsid w:val="00F56C73"/>
    <w:rsid w:val="00F5743F"/>
    <w:rsid w:val="00F6170A"/>
    <w:rsid w:val="00F81671"/>
    <w:rsid w:val="00F8616D"/>
    <w:rsid w:val="00F86354"/>
    <w:rsid w:val="00F91E7D"/>
    <w:rsid w:val="00F94285"/>
    <w:rsid w:val="00F96B2D"/>
    <w:rsid w:val="00F97092"/>
    <w:rsid w:val="00FA11E3"/>
    <w:rsid w:val="00FA1AD2"/>
    <w:rsid w:val="00FA2F69"/>
    <w:rsid w:val="00FA34F9"/>
    <w:rsid w:val="00FA4734"/>
    <w:rsid w:val="00FA59E5"/>
    <w:rsid w:val="00FB12FD"/>
    <w:rsid w:val="00FB228E"/>
    <w:rsid w:val="00FB3889"/>
    <w:rsid w:val="00FC34AF"/>
    <w:rsid w:val="00FC3636"/>
    <w:rsid w:val="00FC4E0B"/>
    <w:rsid w:val="00FC675E"/>
    <w:rsid w:val="00FC71AC"/>
    <w:rsid w:val="00FD062D"/>
    <w:rsid w:val="00FD1DCF"/>
    <w:rsid w:val="00FD24E8"/>
    <w:rsid w:val="00FD2D04"/>
    <w:rsid w:val="00FD6E96"/>
    <w:rsid w:val="00FE356E"/>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DB1FC"/>
  <w15:chartTrackingRefBased/>
  <w15:docId w15:val="{C9325F62-50BB-4D31-8235-6CB37DDB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900EC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900EC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00EC5"/>
    <w:pPr>
      <w:numPr>
        <w:ilvl w:val="2"/>
      </w:numPr>
      <w:spacing w:before="120"/>
      <w:outlineLvl w:val="2"/>
    </w:pPr>
    <w:rPr>
      <w:sz w:val="28"/>
      <w:szCs w:val="28"/>
    </w:rPr>
  </w:style>
  <w:style w:type="paragraph" w:styleId="Heading4">
    <w:name w:val="heading 4"/>
    <w:basedOn w:val="Heading3"/>
    <w:next w:val="Normal"/>
    <w:link w:val="Heading4Char"/>
    <w:qFormat/>
    <w:rsid w:val="00900EC5"/>
    <w:pPr>
      <w:numPr>
        <w:ilvl w:val="3"/>
      </w:numPr>
      <w:outlineLvl w:val="3"/>
    </w:pPr>
    <w:rPr>
      <w:sz w:val="24"/>
      <w:szCs w:val="24"/>
    </w:rPr>
  </w:style>
  <w:style w:type="paragraph" w:styleId="Heading5">
    <w:name w:val="heading 5"/>
    <w:basedOn w:val="Heading4"/>
    <w:next w:val="Normal"/>
    <w:link w:val="Heading5Char"/>
    <w:qFormat/>
    <w:rsid w:val="00900EC5"/>
    <w:pPr>
      <w:numPr>
        <w:ilvl w:val="4"/>
      </w:numPr>
      <w:outlineLvl w:val="4"/>
    </w:pPr>
    <w:rPr>
      <w:sz w:val="22"/>
      <w:szCs w:val="22"/>
    </w:rPr>
  </w:style>
  <w:style w:type="paragraph" w:styleId="Heading6">
    <w:name w:val="heading 6"/>
    <w:basedOn w:val="Normal"/>
    <w:next w:val="Normal"/>
    <w:link w:val="Heading6Char"/>
    <w:qFormat/>
    <w:rsid w:val="00900EC5"/>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900EC5"/>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900EC5"/>
    <w:pPr>
      <w:numPr>
        <w:ilvl w:val="7"/>
      </w:numPr>
      <w:outlineLvl w:val="7"/>
    </w:pPr>
  </w:style>
  <w:style w:type="paragraph" w:styleId="Heading9">
    <w:name w:val="heading 9"/>
    <w:basedOn w:val="Heading8"/>
    <w:next w:val="Normal"/>
    <w:link w:val="Heading9Char"/>
    <w:qFormat/>
    <w:rsid w:val="00900EC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0EC5"/>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900EC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900EC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900EC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900EC5"/>
    <w:rPr>
      <w:rFonts w:ascii="Arial" w:eastAsia="Times New Roman" w:hAnsi="Arial" w:cs="Arial"/>
      <w:lang w:val="en-GB" w:eastAsia="zh-CN"/>
    </w:rPr>
  </w:style>
  <w:style w:type="character" w:customStyle="1" w:styleId="Heading6Char">
    <w:name w:val="Heading 6 Char"/>
    <w:basedOn w:val="DefaultParagraphFont"/>
    <w:link w:val="Heading6"/>
    <w:rsid w:val="00900EC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900EC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900EC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900EC5"/>
    <w:rPr>
      <w:rFonts w:ascii="Arial" w:eastAsia="Times New Roman" w:hAnsi="Arial" w:cs="Arial"/>
      <w:sz w:val="20"/>
      <w:szCs w:val="20"/>
      <w:lang w:val="en-GB" w:eastAsia="zh-CN"/>
    </w:rPr>
  </w:style>
  <w:style w:type="paragraph" w:customStyle="1" w:styleId="3GPPHeader">
    <w:name w:val="3GPP_Header"/>
    <w:basedOn w:val="Normal"/>
    <w:rsid w:val="00900EC5"/>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table" w:styleId="TableGrid">
    <w:name w:val="Table Grid"/>
    <w:basedOn w:val="TableNormal"/>
    <w:rsid w:val="0037277D"/>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6A7CC9"/>
    <w:pPr>
      <w:numPr>
        <w:numId w:val="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eastAsia="zh-CN"/>
    </w:rPr>
  </w:style>
  <w:style w:type="paragraph" w:styleId="NormalWeb">
    <w:name w:val="Normal (Web)"/>
    <w:basedOn w:val="Normal"/>
    <w:uiPriority w:val="99"/>
    <w:semiHidden/>
    <w:unhideWhenUsed/>
    <w:rsid w:val="002E04C9"/>
    <w:pPr>
      <w:spacing w:before="100" w:beforeAutospacing="1" w:after="100" w:afterAutospacing="1" w:line="240" w:lineRule="auto"/>
    </w:pPr>
    <w:rPr>
      <w:rFonts w:ascii="Times New Roman" w:eastAsiaTheme="minorEastAsia" w:hAnsi="Times New Roman" w:cs="Times New Roman"/>
      <w:sz w:val="24"/>
      <w:szCs w:val="24"/>
    </w:rPr>
  </w:style>
  <w:style w:type="paragraph" w:styleId="Title">
    <w:name w:val="Title"/>
    <w:basedOn w:val="Normal"/>
    <w:next w:val="Normal"/>
    <w:link w:val="TitleChar"/>
    <w:qFormat/>
    <w:rsid w:val="00F472C9"/>
    <w:pPr>
      <w:spacing w:before="240" w:after="60" w:line="240" w:lineRule="auto"/>
      <w:jc w:val="center"/>
      <w:outlineLvl w:val="0"/>
    </w:pPr>
    <w:rPr>
      <w:rFonts w:ascii="Calibri Light" w:eastAsia="DengXian Light" w:hAnsi="Calibri Light" w:cs="Times New Roman"/>
      <w:b/>
      <w:bCs/>
      <w:kern w:val="28"/>
      <w:sz w:val="32"/>
      <w:szCs w:val="32"/>
      <w:lang w:eastAsia="ko-KR"/>
    </w:rPr>
  </w:style>
  <w:style w:type="character" w:customStyle="1" w:styleId="TitleChar">
    <w:name w:val="Title Char"/>
    <w:basedOn w:val="DefaultParagraphFont"/>
    <w:link w:val="Title"/>
    <w:rsid w:val="00F472C9"/>
    <w:rPr>
      <w:rFonts w:ascii="Calibri Light" w:eastAsia="DengXian Light" w:hAnsi="Calibri Light" w:cs="Times New Roman"/>
      <w:b/>
      <w:bCs/>
      <w:kern w:val="28"/>
      <w:sz w:val="32"/>
      <w:szCs w:val="32"/>
      <w:lang w:eastAsia="ko-KR"/>
    </w:rPr>
  </w:style>
  <w:style w:type="paragraph" w:customStyle="1" w:styleId="CRCoverPage">
    <w:name w:val="CR Cover Page"/>
    <w:link w:val="CRCoverPageZchn"/>
    <w:rsid w:val="00EB50AD"/>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EB50AD"/>
    <w:rPr>
      <w:rFonts w:ascii="Arial" w:eastAsia="Times New Roman" w:hAnsi="Arial" w:cs="Times New Roman"/>
      <w:sz w:val="20"/>
      <w:szCs w:val="20"/>
      <w:lang w:val="en-GB"/>
    </w:rPr>
  </w:style>
  <w:style w:type="paragraph" w:customStyle="1" w:styleId="Doc-text2">
    <w:name w:val="Doc-text2"/>
    <w:basedOn w:val="Normal"/>
    <w:link w:val="Doc-text2Char"/>
    <w:qFormat/>
    <w:rsid w:val="00D619F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619FD"/>
    <w:rPr>
      <w:rFonts w:ascii="Arial" w:eastAsia="MS Mincho" w:hAnsi="Arial" w:cs="Times New Roman"/>
      <w:sz w:val="20"/>
      <w:szCs w:val="24"/>
      <w:lang w:val="en-GB" w:eastAsia="en-GB"/>
    </w:rPr>
  </w:style>
  <w:style w:type="paragraph" w:customStyle="1" w:styleId="2">
    <w:name w:val="!2"/>
    <w:basedOn w:val="Normal"/>
    <w:uiPriority w:val="11"/>
    <w:semiHidden/>
    <w:rsid w:val="00F86354"/>
    <w:pPr>
      <w:numPr>
        <w:ilvl w:val="3"/>
        <w:numId w:val="13"/>
      </w:numPr>
      <w:spacing w:before="300" w:after="300" w:line="276" w:lineRule="auto"/>
    </w:pPr>
    <w:rPr>
      <w:rFonts w:cstheme="minorHAnsi"/>
    </w:rPr>
  </w:style>
  <w:style w:type="paragraph" w:customStyle="1" w:styleId="3">
    <w:name w:val="!3"/>
    <w:basedOn w:val="2"/>
    <w:uiPriority w:val="12"/>
    <w:semiHidden/>
    <w:rsid w:val="00F86354"/>
    <w:pPr>
      <w:numPr>
        <w:ilvl w:val="6"/>
      </w:numPr>
    </w:pPr>
  </w:style>
  <w:style w:type="paragraph" w:customStyle="1" w:styleId="C2">
    <w:name w:val="!C2"/>
    <w:basedOn w:val="Normal"/>
    <w:next w:val="Normal"/>
    <w:uiPriority w:val="17"/>
    <w:semiHidden/>
    <w:rsid w:val="00F86354"/>
    <w:pPr>
      <w:numPr>
        <w:ilvl w:val="4"/>
        <w:numId w:val="13"/>
      </w:numPr>
      <w:spacing w:before="240" w:after="240" w:line="276" w:lineRule="auto"/>
    </w:pPr>
    <w:rPr>
      <w:rFonts w:cstheme="minorHAnsi"/>
    </w:rPr>
  </w:style>
  <w:style w:type="paragraph" w:customStyle="1" w:styleId="C-Caution">
    <w:name w:val="!C-Caution"/>
    <w:qFormat/>
    <w:rsid w:val="00F86354"/>
    <w:pPr>
      <w:numPr>
        <w:ilvl w:val="1"/>
        <w:numId w:val="13"/>
      </w:numPr>
      <w:spacing w:before="300" w:after="300" w:line="240" w:lineRule="auto"/>
    </w:pPr>
    <w:rPr>
      <w:rFonts w:ascii="Times New Roman" w:hAnsi="Times New Roman"/>
      <w:noProof/>
      <w:kern w:val="22"/>
    </w:rPr>
  </w:style>
  <w:style w:type="paragraph" w:customStyle="1" w:styleId="-Note">
    <w:name w:val="!-Note"/>
    <w:next w:val="B-Body"/>
    <w:qFormat/>
    <w:rsid w:val="00F86354"/>
    <w:pPr>
      <w:keepLines/>
      <w:numPr>
        <w:numId w:val="13"/>
      </w:numPr>
      <w:spacing w:before="300" w:after="300" w:line="240" w:lineRule="auto"/>
    </w:pPr>
    <w:rPr>
      <w:rFonts w:ascii="Times New Roman" w:eastAsia="Times New Roman" w:hAnsi="Times New Roman" w:cs="Times New Roman"/>
      <w:szCs w:val="20"/>
    </w:rPr>
  </w:style>
  <w:style w:type="paragraph" w:customStyle="1" w:styleId="W-Warning">
    <w:name w:val="!W-Warning"/>
    <w:next w:val="Normal"/>
    <w:qFormat/>
    <w:rsid w:val="00F86354"/>
    <w:pPr>
      <w:numPr>
        <w:ilvl w:val="2"/>
        <w:numId w:val="13"/>
      </w:numPr>
      <w:spacing w:before="240" w:after="240" w:line="240" w:lineRule="auto"/>
    </w:pPr>
    <w:rPr>
      <w:rFonts w:ascii="Times New Roman" w:eastAsia="Times New Roman" w:hAnsi="Times New Roman" w:cs="Times New Roman"/>
      <w:szCs w:val="20"/>
    </w:rPr>
  </w:style>
  <w:style w:type="paragraph" w:customStyle="1" w:styleId="W2">
    <w:name w:val="!W2"/>
    <w:basedOn w:val="W-Warning"/>
    <w:uiPriority w:val="14"/>
    <w:semiHidden/>
    <w:rsid w:val="00F86354"/>
    <w:pPr>
      <w:numPr>
        <w:ilvl w:val="5"/>
      </w:numPr>
    </w:pPr>
  </w:style>
  <w:style w:type="paragraph" w:customStyle="1" w:styleId="W3">
    <w:name w:val="!W3"/>
    <w:basedOn w:val="W2"/>
    <w:uiPriority w:val="15"/>
    <w:semiHidden/>
    <w:rsid w:val="00F86354"/>
    <w:pPr>
      <w:numPr>
        <w:ilvl w:val="8"/>
      </w:numPr>
    </w:pPr>
  </w:style>
  <w:style w:type="paragraph" w:customStyle="1" w:styleId="B-Body">
    <w:name w:val="B-Body"/>
    <w:link w:val="B-BodyChar"/>
    <w:qFormat/>
    <w:rsid w:val="00F86354"/>
    <w:pPr>
      <w:tabs>
        <w:tab w:val="left" w:pos="2160"/>
      </w:tabs>
      <w:spacing w:before="120" w:after="40" w:line="240" w:lineRule="auto"/>
      <w:ind w:left="720"/>
    </w:pPr>
    <w:rPr>
      <w:rFonts w:ascii="Times New Roman" w:eastAsia="Times New Roman" w:hAnsi="Times New Roman" w:cs="Times New Roman"/>
      <w:szCs w:val="20"/>
    </w:rPr>
  </w:style>
  <w:style w:type="character" w:customStyle="1" w:styleId="B-BodyChar">
    <w:name w:val="B-Body Char"/>
    <w:basedOn w:val="DefaultParagraphFont"/>
    <w:link w:val="B-Body"/>
    <w:rsid w:val="00F86354"/>
    <w:rPr>
      <w:rFonts w:ascii="Times New Roman" w:eastAsia="Times New Roman" w:hAnsi="Times New Roman" w:cs="Times New Roman"/>
      <w:szCs w:val="20"/>
    </w:rPr>
  </w:style>
  <w:style w:type="paragraph" w:styleId="ListParagraph">
    <w:name w:val="List Paragraph"/>
    <w:basedOn w:val="Normal"/>
    <w:uiPriority w:val="34"/>
    <w:qFormat/>
    <w:rsid w:val="00035B7B"/>
    <w:pPr>
      <w:ind w:left="720"/>
      <w:contextualSpacing/>
    </w:pPr>
  </w:style>
  <w:style w:type="paragraph" w:customStyle="1" w:styleId="EW">
    <w:name w:val="EW"/>
    <w:basedOn w:val="Normal"/>
    <w:rsid w:val="0034099C"/>
    <w:pPr>
      <w:keepLines/>
      <w:overflowPunct w:val="0"/>
      <w:autoSpaceDE w:val="0"/>
      <w:autoSpaceDN w:val="0"/>
      <w:adjustRightInd w:val="0"/>
      <w:spacing w:after="0" w:line="240" w:lineRule="auto"/>
      <w:ind w:left="1702" w:hanging="1418"/>
      <w:textAlignment w:val="baseline"/>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87534">
      <w:bodyDiv w:val="1"/>
      <w:marLeft w:val="0"/>
      <w:marRight w:val="0"/>
      <w:marTop w:val="0"/>
      <w:marBottom w:val="0"/>
      <w:divBdr>
        <w:top w:val="none" w:sz="0" w:space="0" w:color="auto"/>
        <w:left w:val="none" w:sz="0" w:space="0" w:color="auto"/>
        <w:bottom w:val="none" w:sz="0" w:space="0" w:color="auto"/>
        <w:right w:val="none" w:sz="0" w:space="0" w:color="auto"/>
      </w:divBdr>
    </w:div>
    <w:div w:id="665396639">
      <w:bodyDiv w:val="1"/>
      <w:marLeft w:val="0"/>
      <w:marRight w:val="0"/>
      <w:marTop w:val="0"/>
      <w:marBottom w:val="0"/>
      <w:divBdr>
        <w:top w:val="none" w:sz="0" w:space="0" w:color="auto"/>
        <w:left w:val="none" w:sz="0" w:space="0" w:color="auto"/>
        <w:bottom w:val="none" w:sz="0" w:space="0" w:color="auto"/>
        <w:right w:val="none" w:sz="0" w:space="0" w:color="auto"/>
      </w:divBdr>
    </w:div>
    <w:div w:id="693120494">
      <w:bodyDiv w:val="1"/>
      <w:marLeft w:val="0"/>
      <w:marRight w:val="0"/>
      <w:marTop w:val="0"/>
      <w:marBottom w:val="0"/>
      <w:divBdr>
        <w:top w:val="none" w:sz="0" w:space="0" w:color="auto"/>
        <w:left w:val="none" w:sz="0" w:space="0" w:color="auto"/>
        <w:bottom w:val="none" w:sz="0" w:space="0" w:color="auto"/>
        <w:right w:val="none" w:sz="0" w:space="0" w:color="auto"/>
      </w:divBdr>
    </w:div>
    <w:div w:id="909921421">
      <w:bodyDiv w:val="1"/>
      <w:marLeft w:val="0"/>
      <w:marRight w:val="0"/>
      <w:marTop w:val="0"/>
      <w:marBottom w:val="0"/>
      <w:divBdr>
        <w:top w:val="none" w:sz="0" w:space="0" w:color="auto"/>
        <w:left w:val="none" w:sz="0" w:space="0" w:color="auto"/>
        <w:bottom w:val="none" w:sz="0" w:space="0" w:color="auto"/>
        <w:right w:val="none" w:sz="0" w:space="0" w:color="auto"/>
      </w:divBdr>
      <w:divsChild>
        <w:div w:id="1814911447">
          <w:marLeft w:val="1166"/>
          <w:marRight w:val="0"/>
          <w:marTop w:val="96"/>
          <w:marBottom w:val="0"/>
          <w:divBdr>
            <w:top w:val="none" w:sz="0" w:space="0" w:color="auto"/>
            <w:left w:val="none" w:sz="0" w:space="0" w:color="auto"/>
            <w:bottom w:val="none" w:sz="0" w:space="0" w:color="auto"/>
            <w:right w:val="none" w:sz="0" w:space="0" w:color="auto"/>
          </w:divBdr>
        </w:div>
      </w:divsChild>
    </w:div>
    <w:div w:id="1048452123">
      <w:bodyDiv w:val="1"/>
      <w:marLeft w:val="0"/>
      <w:marRight w:val="0"/>
      <w:marTop w:val="0"/>
      <w:marBottom w:val="0"/>
      <w:divBdr>
        <w:top w:val="none" w:sz="0" w:space="0" w:color="auto"/>
        <w:left w:val="none" w:sz="0" w:space="0" w:color="auto"/>
        <w:bottom w:val="none" w:sz="0" w:space="0" w:color="auto"/>
        <w:right w:val="none" w:sz="0" w:space="0" w:color="auto"/>
      </w:divBdr>
    </w:div>
    <w:div w:id="173462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e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830</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2</cp:revision>
  <dcterms:created xsi:type="dcterms:W3CDTF">2018-05-10T07:05:00Z</dcterms:created>
  <dcterms:modified xsi:type="dcterms:W3CDTF">2018-05-10T07:05:00Z</dcterms:modified>
</cp:coreProperties>
</file>