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2AA9D4" w14:textId="33927047" w:rsidR="003848A3" w:rsidRPr="00EE6198" w:rsidRDefault="003848A3" w:rsidP="003848A3">
      <w:pPr>
        <w:pStyle w:val="Header"/>
        <w:tabs>
          <w:tab w:val="right" w:pos="9639"/>
        </w:tabs>
        <w:rPr>
          <w:sz w:val="24"/>
          <w:lang w:val="en-GB" w:eastAsia="zh-CN"/>
        </w:rPr>
      </w:pPr>
      <w:r w:rsidRPr="00EE6198">
        <w:rPr>
          <w:sz w:val="24"/>
          <w:lang w:val="en-GB" w:eastAsia="zh-CN"/>
        </w:rPr>
        <w:t xml:space="preserve">3GPP TSG-RAN WG2 </w:t>
      </w:r>
      <w:r>
        <w:rPr>
          <w:sz w:val="24"/>
          <w:lang w:val="en-GB" w:eastAsia="zh-CN"/>
        </w:rPr>
        <w:t>Meeting 101</w:t>
      </w:r>
      <w:r w:rsidR="006D53FD">
        <w:rPr>
          <w:sz w:val="24"/>
          <w:lang w:val="en-GB" w:eastAsia="zh-CN"/>
        </w:rPr>
        <w:t>bis</w:t>
      </w:r>
      <w:r w:rsidRPr="00EE6198">
        <w:rPr>
          <w:sz w:val="24"/>
          <w:lang w:val="en-GB" w:eastAsia="zh-CN"/>
        </w:rPr>
        <w:tab/>
      </w:r>
      <w:r w:rsidR="00061F84">
        <w:rPr>
          <w:sz w:val="24"/>
          <w:lang w:val="en-GB" w:eastAsia="zh-CN"/>
        </w:rPr>
        <w:t>R2-1805546</w:t>
      </w:r>
      <w:bookmarkStart w:id="0" w:name="_GoBack"/>
      <w:bookmarkEnd w:id="0"/>
    </w:p>
    <w:p w14:paraId="16D5C317" w14:textId="7BB4748C" w:rsidR="009D5BAB" w:rsidRPr="009D56B1" w:rsidRDefault="006D53FD" w:rsidP="003848A3">
      <w:pPr>
        <w:pStyle w:val="Header"/>
        <w:tabs>
          <w:tab w:val="right" w:pos="9639"/>
        </w:tabs>
        <w:rPr>
          <w:bCs/>
          <w:i/>
          <w:noProof w:val="0"/>
          <w:sz w:val="24"/>
        </w:rPr>
      </w:pPr>
      <w:r w:rsidRPr="006D53FD">
        <w:rPr>
          <w:sz w:val="24"/>
          <w:lang w:eastAsia="zh-CN"/>
        </w:rPr>
        <w:t>Sanya, China, 16th April – 20th April 2018</w:t>
      </w:r>
      <w:r w:rsidR="009D5BAB" w:rsidRPr="009D56B1">
        <w:rPr>
          <w:noProof w:val="0"/>
          <w:sz w:val="24"/>
          <w:lang w:eastAsia="zh-CN"/>
        </w:rPr>
        <w:tab/>
      </w:r>
    </w:p>
    <w:p w14:paraId="50A28E94" w14:textId="77777777" w:rsidR="007D05E3" w:rsidRPr="009D56B1" w:rsidRDefault="007D05E3" w:rsidP="007D05E3">
      <w:pPr>
        <w:pStyle w:val="Header"/>
        <w:rPr>
          <w:bCs/>
          <w:noProof w:val="0"/>
          <w:sz w:val="24"/>
          <w:lang w:eastAsia="ja-JP"/>
        </w:rPr>
      </w:pPr>
    </w:p>
    <w:p w14:paraId="50A28E95" w14:textId="3CEDD209" w:rsidR="007D05E3" w:rsidRPr="009D56B1" w:rsidRDefault="007D05E3" w:rsidP="007D05E3">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0F54CA">
        <w:rPr>
          <w:rFonts w:eastAsia="SimSun" w:cs="Arial"/>
          <w:b/>
          <w:bCs/>
          <w:sz w:val="24"/>
          <w:lang w:val="en-US"/>
        </w:rPr>
        <w:t>9.10.3.1</w:t>
      </w:r>
    </w:p>
    <w:p w14:paraId="50A28E96" w14:textId="77777777" w:rsidR="007D05E3" w:rsidRPr="009D56B1" w:rsidRDefault="007D05E3" w:rsidP="007D05E3">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0A28E97" w14:textId="154EE83C" w:rsidR="007D05E3" w:rsidRPr="009D56B1" w:rsidRDefault="007D05E3" w:rsidP="007D05E3">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0F54CA">
        <w:rPr>
          <w:rFonts w:ascii="Arial" w:hAnsi="Arial" w:cs="Arial"/>
          <w:b/>
          <w:bCs/>
          <w:sz w:val="24"/>
        </w:rPr>
        <w:t>On r</w:t>
      </w:r>
      <w:r w:rsidR="007356BA">
        <w:rPr>
          <w:rFonts w:ascii="Arial" w:hAnsi="Arial" w:cs="Arial"/>
          <w:b/>
          <w:bCs/>
          <w:sz w:val="24"/>
        </w:rPr>
        <w:t>esource pool</w:t>
      </w:r>
      <w:r w:rsidR="007356BA" w:rsidRPr="007356BA">
        <w:rPr>
          <w:rFonts w:ascii="Arial" w:hAnsi="Arial" w:cs="Arial"/>
          <w:b/>
          <w:bCs/>
          <w:sz w:val="24"/>
        </w:rPr>
        <w:t xml:space="preserve"> sharing between mode 3 and 4</w:t>
      </w:r>
    </w:p>
    <w:p w14:paraId="50A28E98" w14:textId="77777777"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 and Decision</w:t>
      </w:r>
    </w:p>
    <w:p w14:paraId="50A28E99" w14:textId="77777777" w:rsidR="008669B1" w:rsidRPr="00E0063E" w:rsidRDefault="008669B1" w:rsidP="000760CC">
      <w:pPr>
        <w:pStyle w:val="Tdoc"/>
      </w:pPr>
      <w:r w:rsidRPr="00E0063E">
        <w:t>Introduction</w:t>
      </w:r>
      <w:r w:rsidRPr="00E0063E">
        <w:rPr>
          <w:lang w:val="en-GB"/>
        </w:rPr>
        <w:t xml:space="preserve">  </w:t>
      </w:r>
    </w:p>
    <w:p w14:paraId="0F30050A" w14:textId="46D137AF" w:rsidR="000F54CA" w:rsidRDefault="000F54CA" w:rsidP="007356BA">
      <w:pPr>
        <w:overflowPunct w:val="0"/>
        <w:autoSpaceDE w:val="0"/>
        <w:autoSpaceDN w:val="0"/>
        <w:adjustRightInd w:val="0"/>
        <w:spacing w:after="120" w:line="240" w:lineRule="auto"/>
        <w:jc w:val="both"/>
        <w:textAlignment w:val="baseline"/>
        <w:rPr>
          <w:rFonts w:ascii="Times New Roman" w:hAnsi="Times New Roman"/>
          <w:sz w:val="20"/>
          <w:szCs w:val="20"/>
          <w:lang w:eastAsia="zh-CN"/>
        </w:rPr>
      </w:pPr>
      <w:r>
        <w:rPr>
          <w:rFonts w:ascii="Times New Roman" w:hAnsi="Times New Roman"/>
          <w:sz w:val="20"/>
          <w:szCs w:val="20"/>
          <w:lang w:eastAsia="zh-CN"/>
        </w:rPr>
        <w:t xml:space="preserve">In the last RAN2 meeting, the aspect of resource pools sharing was discussed, specifically the email discussion on the need and various aspects of complete and partial resource pools sharing and various enhancements to support such sharing. The following agreements were made in this regard </w:t>
      </w:r>
      <w:sdt>
        <w:sdtPr>
          <w:rPr>
            <w:rFonts w:ascii="Times New Roman" w:hAnsi="Times New Roman"/>
            <w:sz w:val="20"/>
            <w:szCs w:val="20"/>
            <w:lang w:eastAsia="zh-CN"/>
          </w:rPr>
          <w:id w:val="-1286738660"/>
          <w:citation/>
        </w:sdtPr>
        <w:sdtEndPr/>
        <w:sdtContent>
          <w:r w:rsidR="006D53FD">
            <w:rPr>
              <w:rFonts w:ascii="Times New Roman" w:hAnsi="Times New Roman"/>
              <w:sz w:val="20"/>
              <w:szCs w:val="20"/>
              <w:lang w:eastAsia="zh-CN"/>
            </w:rPr>
            <w:fldChar w:fldCharType="begin"/>
          </w:r>
          <w:r w:rsidR="006D53FD">
            <w:rPr>
              <w:rFonts w:ascii="Times New Roman" w:hAnsi="Times New Roman"/>
              <w:sz w:val="20"/>
              <w:szCs w:val="20"/>
              <w:lang w:eastAsia="zh-CN"/>
            </w:rPr>
            <w:instrText xml:space="preserve"> CITATION RAN2101CN \l 1033 </w:instrText>
          </w:r>
          <w:r w:rsidR="006D53FD">
            <w:rPr>
              <w:rFonts w:ascii="Times New Roman" w:hAnsi="Times New Roman"/>
              <w:sz w:val="20"/>
              <w:szCs w:val="20"/>
              <w:lang w:eastAsia="zh-CN"/>
            </w:rPr>
            <w:fldChar w:fldCharType="separate"/>
          </w:r>
          <w:r w:rsidR="00153EA5" w:rsidRPr="00153EA5">
            <w:rPr>
              <w:rFonts w:ascii="Times New Roman" w:hAnsi="Times New Roman"/>
              <w:noProof/>
              <w:sz w:val="20"/>
              <w:szCs w:val="20"/>
              <w:lang w:eastAsia="zh-CN"/>
            </w:rPr>
            <w:t>[1]</w:t>
          </w:r>
          <w:r w:rsidR="006D53FD">
            <w:rPr>
              <w:rFonts w:ascii="Times New Roman" w:hAnsi="Times New Roman"/>
              <w:sz w:val="20"/>
              <w:szCs w:val="20"/>
              <w:lang w:eastAsia="zh-CN"/>
            </w:rPr>
            <w:fldChar w:fldCharType="end"/>
          </w:r>
        </w:sdtContent>
      </w:sdt>
      <w:r>
        <w:rPr>
          <w:rFonts w:ascii="Times New Roman" w:hAnsi="Times New Roman"/>
          <w:sz w:val="20"/>
          <w:szCs w:val="20"/>
          <w:lang w:eastAsia="zh-CN"/>
        </w:rPr>
        <w:t>:</w:t>
      </w:r>
    </w:p>
    <w:p w14:paraId="1DF60DB8" w14:textId="77777777" w:rsidR="000F54CA" w:rsidRDefault="000F54CA" w:rsidP="000F54CA">
      <w:pPr>
        <w:pStyle w:val="Doc-text2"/>
        <w:pBdr>
          <w:top w:val="single" w:sz="4" w:space="1" w:color="auto"/>
          <w:left w:val="single" w:sz="4" w:space="4" w:color="auto"/>
          <w:bottom w:val="single" w:sz="4" w:space="1" w:color="auto"/>
          <w:right w:val="single" w:sz="4" w:space="4" w:color="auto"/>
        </w:pBdr>
        <w:ind w:left="1083"/>
      </w:pPr>
      <w:r>
        <w:t>Agreements</w:t>
      </w:r>
    </w:p>
    <w:p w14:paraId="0378FEF3" w14:textId="77777777" w:rsidR="000F54CA" w:rsidRDefault="000F54CA" w:rsidP="000F54CA">
      <w:pPr>
        <w:pStyle w:val="Doc-text2"/>
        <w:pBdr>
          <w:top w:val="single" w:sz="4" w:space="1" w:color="auto"/>
          <w:left w:val="single" w:sz="4" w:space="4" w:color="auto"/>
          <w:bottom w:val="single" w:sz="4" w:space="1" w:color="auto"/>
          <w:right w:val="single" w:sz="4" w:space="4" w:color="auto"/>
        </w:pBdr>
        <w:ind w:left="1083"/>
      </w:pPr>
      <w:r>
        <w:t>1: Support resource pool sharing between Rel-15 mode-3 and Rel-15 mode-4 UE.</w:t>
      </w:r>
    </w:p>
    <w:p w14:paraId="53D95F1B" w14:textId="77777777" w:rsidR="000F54CA" w:rsidRDefault="000F54CA" w:rsidP="000F54CA">
      <w:pPr>
        <w:pStyle w:val="Doc-text2"/>
        <w:pBdr>
          <w:top w:val="single" w:sz="4" w:space="1" w:color="auto"/>
          <w:left w:val="single" w:sz="4" w:space="4" w:color="auto"/>
          <w:bottom w:val="single" w:sz="4" w:space="1" w:color="auto"/>
          <w:right w:val="single" w:sz="4" w:space="4" w:color="auto"/>
        </w:pBdr>
        <w:ind w:left="1083"/>
      </w:pPr>
      <w:r>
        <w:t>2: Support resource pool sharing between Rel-15 mode-3 and Rel-14 mode-4 UE.</w:t>
      </w:r>
    </w:p>
    <w:p w14:paraId="55227CCD" w14:textId="77777777" w:rsidR="000F54CA" w:rsidRDefault="000F54CA" w:rsidP="000F54CA">
      <w:pPr>
        <w:pStyle w:val="Doc-text2"/>
        <w:pBdr>
          <w:top w:val="single" w:sz="4" w:space="1" w:color="auto"/>
          <w:left w:val="single" w:sz="4" w:space="4" w:color="auto"/>
          <w:bottom w:val="single" w:sz="4" w:space="1" w:color="auto"/>
          <w:right w:val="single" w:sz="4" w:space="4" w:color="auto"/>
        </w:pBdr>
        <w:ind w:left="1083"/>
      </w:pPr>
      <w:r>
        <w:t>3: Not support resource pool sharing between Rel-14 mode-3 and Rel-15 mode-4 UE.</w:t>
      </w:r>
    </w:p>
    <w:p w14:paraId="271AB731" w14:textId="77777777" w:rsidR="000F54CA" w:rsidRDefault="000F54CA" w:rsidP="000F54CA">
      <w:pPr>
        <w:pStyle w:val="Doc-text2"/>
        <w:pBdr>
          <w:top w:val="single" w:sz="4" w:space="1" w:color="auto"/>
          <w:left w:val="single" w:sz="4" w:space="4" w:color="auto"/>
          <w:bottom w:val="single" w:sz="4" w:space="1" w:color="auto"/>
          <w:right w:val="single" w:sz="4" w:space="4" w:color="auto"/>
        </w:pBdr>
        <w:ind w:left="1083"/>
      </w:pPr>
      <w:r>
        <w:t>4: Full resource pool sharing is supported. Partial resource pool sharing scenario is deprioritized in Rel-15.</w:t>
      </w:r>
    </w:p>
    <w:p w14:paraId="46F289CC" w14:textId="77777777" w:rsidR="000F54CA" w:rsidRDefault="000F54CA" w:rsidP="000F54CA">
      <w:pPr>
        <w:pStyle w:val="Doc-text2"/>
        <w:pBdr>
          <w:top w:val="single" w:sz="4" w:space="1" w:color="auto"/>
          <w:left w:val="single" w:sz="4" w:space="4" w:color="auto"/>
          <w:bottom w:val="single" w:sz="4" w:space="1" w:color="auto"/>
          <w:right w:val="single" w:sz="4" w:space="4" w:color="auto"/>
        </w:pBdr>
        <w:ind w:left="1083"/>
      </w:pPr>
      <w:r>
        <w:t>5: Reuse Rel-14 single pool configuration for mode-3, no enhancement is needed.</w:t>
      </w:r>
    </w:p>
    <w:p w14:paraId="619D3D63" w14:textId="77777777" w:rsidR="000F54CA" w:rsidRDefault="000F54CA" w:rsidP="000F54CA">
      <w:pPr>
        <w:pStyle w:val="Doc-text2"/>
        <w:pBdr>
          <w:top w:val="single" w:sz="4" w:space="1" w:color="auto"/>
          <w:left w:val="single" w:sz="4" w:space="4" w:color="auto"/>
          <w:bottom w:val="single" w:sz="4" w:space="1" w:color="auto"/>
          <w:right w:val="single" w:sz="4" w:space="4" w:color="auto"/>
        </w:pBdr>
        <w:ind w:left="1083"/>
      </w:pPr>
      <w:r>
        <w:t>6: It is up to RAN1 to decide on the tool of non-zero reservation bits for resource pool sharing.</w:t>
      </w:r>
    </w:p>
    <w:p w14:paraId="6848D67B" w14:textId="77777777" w:rsidR="000F54CA" w:rsidRDefault="000F54CA" w:rsidP="000F54CA">
      <w:pPr>
        <w:pStyle w:val="Doc-text2"/>
        <w:pBdr>
          <w:top w:val="single" w:sz="4" w:space="1" w:color="auto"/>
          <w:left w:val="single" w:sz="4" w:space="4" w:color="auto"/>
          <w:bottom w:val="single" w:sz="4" w:space="1" w:color="auto"/>
          <w:right w:val="single" w:sz="4" w:space="4" w:color="auto"/>
        </w:pBdr>
        <w:ind w:left="1083"/>
      </w:pPr>
      <w:r>
        <w:t>7: It is up to RAN1 to decide on the tool of mode indicator in SCI for resource pool sharing.</w:t>
      </w:r>
    </w:p>
    <w:p w14:paraId="4D590C84" w14:textId="77777777" w:rsidR="000F54CA" w:rsidRDefault="000F54CA" w:rsidP="000F54CA">
      <w:pPr>
        <w:pStyle w:val="Doc-text2"/>
        <w:pBdr>
          <w:top w:val="single" w:sz="4" w:space="1" w:color="auto"/>
          <w:left w:val="single" w:sz="4" w:space="4" w:color="auto"/>
          <w:bottom w:val="single" w:sz="4" w:space="1" w:color="auto"/>
          <w:right w:val="single" w:sz="4" w:space="4" w:color="auto"/>
        </w:pBdr>
        <w:ind w:left="1083"/>
      </w:pPr>
      <w:r>
        <w:t xml:space="preserve">8: </w:t>
      </w:r>
      <w:r w:rsidRPr="006D53FD">
        <w:rPr>
          <w:highlight w:val="yellow"/>
        </w:rPr>
        <w:t>FFS on the need of support of new mode-3 sensing report for resource pool sharing.</w:t>
      </w:r>
    </w:p>
    <w:p w14:paraId="120BBEEF" w14:textId="77777777" w:rsidR="000F54CA" w:rsidRDefault="000F54CA" w:rsidP="007356BA">
      <w:pPr>
        <w:overflowPunct w:val="0"/>
        <w:autoSpaceDE w:val="0"/>
        <w:autoSpaceDN w:val="0"/>
        <w:adjustRightInd w:val="0"/>
        <w:spacing w:after="180" w:line="240" w:lineRule="auto"/>
        <w:textAlignment w:val="baseline"/>
        <w:rPr>
          <w:rFonts w:ascii="Times New Roman" w:hAnsi="Times New Roman"/>
          <w:sz w:val="20"/>
          <w:szCs w:val="20"/>
          <w:lang w:eastAsia="ja-JP"/>
        </w:rPr>
      </w:pPr>
    </w:p>
    <w:p w14:paraId="63915519" w14:textId="34A47A9A" w:rsidR="007356BA" w:rsidRPr="00C11F0A" w:rsidRDefault="006D53FD" w:rsidP="007356BA">
      <w:pPr>
        <w:overflowPunct w:val="0"/>
        <w:autoSpaceDE w:val="0"/>
        <w:autoSpaceDN w:val="0"/>
        <w:adjustRightInd w:val="0"/>
        <w:spacing w:after="180" w:line="240" w:lineRule="auto"/>
        <w:textAlignment w:val="baseline"/>
        <w:rPr>
          <w:rFonts w:ascii="Times New Roman" w:hAnsi="Times New Roman"/>
          <w:sz w:val="20"/>
          <w:szCs w:val="20"/>
          <w:lang w:eastAsia="ja-JP"/>
        </w:rPr>
      </w:pPr>
      <w:r>
        <w:rPr>
          <w:rFonts w:ascii="Times New Roman" w:hAnsi="Times New Roman"/>
          <w:sz w:val="20"/>
          <w:szCs w:val="20"/>
          <w:lang w:eastAsia="ja-JP"/>
        </w:rPr>
        <w:t>In this short contribution</w:t>
      </w:r>
      <w:r w:rsidR="000F54CA">
        <w:rPr>
          <w:rFonts w:ascii="Times New Roman" w:hAnsi="Times New Roman"/>
          <w:sz w:val="20"/>
          <w:szCs w:val="20"/>
          <w:lang w:eastAsia="ja-JP"/>
        </w:rPr>
        <w:t>, we look at the final FFS part, i.e. the need for supporting new mode-3 sensing and reporting for resource pools sharing and present our views</w:t>
      </w:r>
      <w:r w:rsidR="007356BA">
        <w:rPr>
          <w:rFonts w:ascii="Times New Roman" w:hAnsi="Times New Roman"/>
          <w:sz w:val="20"/>
          <w:szCs w:val="20"/>
          <w:lang w:eastAsia="ja-JP"/>
        </w:rPr>
        <w:t>.</w:t>
      </w:r>
    </w:p>
    <w:p w14:paraId="5DCEF4FA" w14:textId="6451D6AD" w:rsidR="00555440" w:rsidRPr="001C137C" w:rsidRDefault="000760CC" w:rsidP="00555440">
      <w:pPr>
        <w:pStyle w:val="Tdoc"/>
      </w:pPr>
      <w:r>
        <w:t>Discussion</w:t>
      </w:r>
    </w:p>
    <w:p w14:paraId="65152296" w14:textId="77777777" w:rsidR="00AE0A3D" w:rsidRDefault="00AE0A3D" w:rsidP="00AE0A3D">
      <w:pPr>
        <w:rPr>
          <w:rFonts w:ascii="Times New Roman" w:hAnsi="Times New Roman"/>
          <w:sz w:val="20"/>
        </w:rPr>
      </w:pPr>
      <w:r>
        <w:rPr>
          <w:rFonts w:ascii="Times New Roman" w:hAnsi="Times New Roman"/>
          <w:sz w:val="20"/>
        </w:rPr>
        <w:t>In Rel-14 V2X, two resource scheduling/allocation modes were specified:</w:t>
      </w:r>
    </w:p>
    <w:p w14:paraId="76DCB5E5" w14:textId="77777777" w:rsidR="00AE0A3D" w:rsidRPr="00BF089A" w:rsidRDefault="00AE0A3D" w:rsidP="00AE0A3D">
      <w:pPr>
        <w:pStyle w:val="ListParagraph"/>
        <w:numPr>
          <w:ilvl w:val="0"/>
          <w:numId w:val="20"/>
        </w:numPr>
        <w:rPr>
          <w:rFonts w:ascii="Times New Roman" w:hAnsi="Times New Roman"/>
          <w:sz w:val="20"/>
        </w:rPr>
      </w:pPr>
      <w:r w:rsidRPr="00BF089A">
        <w:rPr>
          <w:rFonts w:ascii="Times New Roman" w:hAnsi="Times New Roman"/>
          <w:sz w:val="20"/>
        </w:rPr>
        <w:t>Mode 3 (eNB-controlled resource allocation) whereby eNB provides specific resource</w:t>
      </w:r>
      <w:r>
        <w:rPr>
          <w:rFonts w:ascii="Times New Roman" w:hAnsi="Times New Roman"/>
          <w:sz w:val="20"/>
        </w:rPr>
        <w:t>s</w:t>
      </w:r>
      <w:r w:rsidRPr="00BF089A">
        <w:rPr>
          <w:rFonts w:ascii="Times New Roman" w:hAnsi="Times New Roman"/>
          <w:sz w:val="20"/>
        </w:rPr>
        <w:t xml:space="preserve"> (PSCCH &amp; PSSCH) to b</w:t>
      </w:r>
      <w:r>
        <w:rPr>
          <w:rFonts w:ascii="Times New Roman" w:hAnsi="Times New Roman"/>
          <w:sz w:val="20"/>
        </w:rPr>
        <w:t>e used for V2X transmission. Semi Persistent Scheduling (SPS) is also supported. This mode is only possible for UEs in coverage of the network.</w:t>
      </w:r>
    </w:p>
    <w:p w14:paraId="0C3B177E" w14:textId="77777777" w:rsidR="00AE0A3D" w:rsidRDefault="00AE0A3D" w:rsidP="00AE0A3D">
      <w:pPr>
        <w:pStyle w:val="ListParagraph"/>
        <w:numPr>
          <w:ilvl w:val="0"/>
          <w:numId w:val="20"/>
        </w:numPr>
        <w:rPr>
          <w:rFonts w:ascii="Times New Roman" w:hAnsi="Times New Roman"/>
          <w:sz w:val="20"/>
        </w:rPr>
      </w:pPr>
      <w:r w:rsidRPr="00474BCD">
        <w:rPr>
          <w:rFonts w:ascii="Times New Roman" w:hAnsi="Times New Roman"/>
          <w:sz w:val="20"/>
        </w:rPr>
        <w:t>Mode 4 (UE-Autonomous Resource Allocation) whereby eNB (pre)-configures resource pool(s) for PSCCH and PSSCH channel</w:t>
      </w:r>
      <w:r>
        <w:rPr>
          <w:rFonts w:ascii="Times New Roman" w:hAnsi="Times New Roman"/>
          <w:sz w:val="20"/>
        </w:rPr>
        <w:t xml:space="preserve">. </w:t>
      </w:r>
      <w:r w:rsidRPr="00474BCD">
        <w:rPr>
          <w:rFonts w:ascii="Times New Roman" w:hAnsi="Times New Roman"/>
          <w:sz w:val="20"/>
        </w:rPr>
        <w:t xml:space="preserve">UE performs sensing </w:t>
      </w:r>
      <w:r>
        <w:rPr>
          <w:rFonts w:ascii="Times New Roman" w:hAnsi="Times New Roman"/>
          <w:sz w:val="20"/>
        </w:rPr>
        <w:t xml:space="preserve">(based on measuring signal power) </w:t>
      </w:r>
      <w:r w:rsidRPr="00474BCD">
        <w:rPr>
          <w:rFonts w:ascii="Times New Roman" w:hAnsi="Times New Roman"/>
          <w:sz w:val="20"/>
        </w:rPr>
        <w:t>and selects resource for transmission according to predefined resource selection procedure</w:t>
      </w:r>
      <w:r>
        <w:rPr>
          <w:rFonts w:ascii="Times New Roman" w:hAnsi="Times New Roman"/>
          <w:sz w:val="20"/>
        </w:rPr>
        <w:t>. This is applicable to UEs both in coverage and out of coverage.</w:t>
      </w:r>
    </w:p>
    <w:p w14:paraId="56D4B558" w14:textId="41230923" w:rsidR="000F54CA" w:rsidRDefault="000F54CA" w:rsidP="00AE0A3D">
      <w:pPr>
        <w:rPr>
          <w:rFonts w:ascii="Times New Roman" w:hAnsi="Times New Roman"/>
          <w:sz w:val="20"/>
        </w:rPr>
      </w:pPr>
      <w:r>
        <w:rPr>
          <w:rFonts w:ascii="Times New Roman" w:hAnsi="Times New Roman"/>
          <w:sz w:val="20"/>
        </w:rPr>
        <w:t>Now, for Rel-15, the key WI objective of supporting resource pool sharing means that at any given time, the r</w:t>
      </w:r>
      <w:r w:rsidR="006D53FD">
        <w:rPr>
          <w:rFonts w:ascii="Times New Roman" w:hAnsi="Times New Roman"/>
          <w:sz w:val="20"/>
        </w:rPr>
        <w:t>esources potentially under use</w:t>
      </w:r>
      <w:r>
        <w:rPr>
          <w:rFonts w:ascii="Times New Roman" w:hAnsi="Times New Roman"/>
          <w:sz w:val="20"/>
        </w:rPr>
        <w:t xml:space="preserve"> by mode 3 UEs can be selected for transmission by mode-4 UEs (and vice versa). Since the two resource selection mechanism inherently assume orthogonality for proper operation </w:t>
      </w:r>
      <w:r w:rsidR="006D53FD">
        <w:rPr>
          <w:rFonts w:ascii="Times New Roman" w:hAnsi="Times New Roman"/>
          <w:sz w:val="20"/>
        </w:rPr>
        <w:t>(</w:t>
      </w:r>
      <w:r>
        <w:rPr>
          <w:rFonts w:ascii="Times New Roman" w:hAnsi="Times New Roman"/>
          <w:sz w:val="20"/>
        </w:rPr>
        <w:t>by definition</w:t>
      </w:r>
      <w:r w:rsidR="006D53FD">
        <w:rPr>
          <w:rFonts w:ascii="Times New Roman" w:hAnsi="Times New Roman"/>
          <w:sz w:val="20"/>
        </w:rPr>
        <w:t>)</w:t>
      </w:r>
      <w:r>
        <w:rPr>
          <w:rFonts w:ascii="Times New Roman" w:hAnsi="Times New Roman"/>
          <w:sz w:val="20"/>
        </w:rPr>
        <w:t>, there is a need to ensure that the potential collision cases are avoided (or at least minimized). In this regard, RAN2 considered a few enhancements to assist both the eNB and mode 4 UEs in resource selection efficiently</w:t>
      </w:r>
      <w:r w:rsidR="00E772C0">
        <w:rPr>
          <w:rFonts w:ascii="Times New Roman" w:hAnsi="Times New Roman"/>
          <w:sz w:val="20"/>
        </w:rPr>
        <w:t xml:space="preserve"> </w:t>
      </w:r>
      <w:sdt>
        <w:sdtPr>
          <w:rPr>
            <w:rFonts w:ascii="Times New Roman" w:hAnsi="Times New Roman"/>
            <w:sz w:val="20"/>
          </w:rPr>
          <w:id w:val="2119257944"/>
          <w:citation/>
        </w:sdtPr>
        <w:sdtEndPr/>
        <w:sdtContent>
          <w:r w:rsidR="006D53FD">
            <w:rPr>
              <w:rFonts w:ascii="Times New Roman" w:hAnsi="Times New Roman"/>
              <w:sz w:val="20"/>
            </w:rPr>
            <w:fldChar w:fldCharType="begin"/>
          </w:r>
          <w:r w:rsidR="006D53FD">
            <w:rPr>
              <w:rFonts w:ascii="Times New Roman" w:hAnsi="Times New Roman"/>
              <w:sz w:val="20"/>
            </w:rPr>
            <w:instrText xml:space="preserve"> CITATION RAN2101CN \l 1033 </w:instrText>
          </w:r>
          <w:r w:rsidR="006D53FD">
            <w:rPr>
              <w:rFonts w:ascii="Times New Roman" w:hAnsi="Times New Roman"/>
              <w:sz w:val="20"/>
            </w:rPr>
            <w:fldChar w:fldCharType="separate"/>
          </w:r>
          <w:r w:rsidR="00153EA5" w:rsidRPr="00153EA5">
            <w:rPr>
              <w:rFonts w:ascii="Times New Roman" w:hAnsi="Times New Roman"/>
              <w:noProof/>
              <w:sz w:val="20"/>
            </w:rPr>
            <w:t>[1]</w:t>
          </w:r>
          <w:r w:rsidR="006D53FD">
            <w:rPr>
              <w:rFonts w:ascii="Times New Roman" w:hAnsi="Times New Roman"/>
              <w:sz w:val="20"/>
            </w:rPr>
            <w:fldChar w:fldCharType="end"/>
          </w:r>
        </w:sdtContent>
      </w:sdt>
      <w:r>
        <w:rPr>
          <w:rFonts w:ascii="Times New Roman" w:hAnsi="Times New Roman"/>
          <w:sz w:val="20"/>
        </w:rPr>
        <w:t>. Two of the more non-controversial options involved modifying the SCI for mode 4 UEs such that any mode 4 UEs configured in the same resource pools are able to read and infer information about the resource usage by mode 3 UEs.</w:t>
      </w:r>
    </w:p>
    <w:p w14:paraId="4783436A" w14:textId="66EA0B9B" w:rsidR="00D75FE1" w:rsidRDefault="000F54CA" w:rsidP="000F54CA">
      <w:pPr>
        <w:rPr>
          <w:rFonts w:ascii="Times New Roman" w:hAnsi="Times New Roman"/>
          <w:sz w:val="20"/>
        </w:rPr>
      </w:pPr>
      <w:r>
        <w:rPr>
          <w:rFonts w:ascii="Times New Roman" w:hAnsi="Times New Roman"/>
          <w:sz w:val="20"/>
        </w:rPr>
        <w:t xml:space="preserve">In this regard, it was agreed that it is up to RAN1 to decide if modification in the SCI (non-zero reservation bits, mode indicator) can be supported for his purpose. Nevertheless, it should be noted that both these options are primarily to assist mode 4 UEs in sensing and resource reselection to avoid collisions. On the other hand, there is currently no way for the eNB to be aware of the current resource utilization of the shared resource pool by mode 4 UEs. So, to ensure a certain QoS/latency requirement when such information is not known at the eNB is </w:t>
      </w:r>
      <w:r w:rsidR="00E772C0">
        <w:rPr>
          <w:rFonts w:ascii="Times New Roman" w:hAnsi="Times New Roman"/>
          <w:sz w:val="20"/>
        </w:rPr>
        <w:t xml:space="preserve">indeed </w:t>
      </w:r>
      <w:r>
        <w:rPr>
          <w:rFonts w:ascii="Times New Roman" w:hAnsi="Times New Roman"/>
          <w:sz w:val="20"/>
        </w:rPr>
        <w:t xml:space="preserve">a tall order. </w:t>
      </w:r>
    </w:p>
    <w:p w14:paraId="46D62F9A" w14:textId="5AF37F29" w:rsidR="007B7DD5" w:rsidRDefault="000F54CA" w:rsidP="000F54CA">
      <w:pPr>
        <w:rPr>
          <w:rFonts w:ascii="Times New Roman" w:hAnsi="Times New Roman"/>
          <w:sz w:val="20"/>
        </w:rPr>
      </w:pPr>
      <w:r>
        <w:rPr>
          <w:rFonts w:ascii="Times New Roman" w:hAnsi="Times New Roman"/>
          <w:sz w:val="20"/>
        </w:rPr>
        <w:t xml:space="preserve">That being said, the main proposal put forth by companies was to configure certain mode-3 UEs to perform sensing and reporting of specific resources to the eNB. In our view, while </w:t>
      </w:r>
      <w:r w:rsidR="00D75FE1">
        <w:rPr>
          <w:rFonts w:ascii="Times New Roman" w:hAnsi="Times New Roman"/>
          <w:sz w:val="20"/>
        </w:rPr>
        <w:t xml:space="preserve">the need for </w:t>
      </w:r>
      <w:r>
        <w:rPr>
          <w:rFonts w:ascii="Times New Roman" w:hAnsi="Times New Roman"/>
          <w:sz w:val="20"/>
        </w:rPr>
        <w:t xml:space="preserve">the eNB to </w:t>
      </w:r>
      <w:r w:rsidR="00D70FEC">
        <w:rPr>
          <w:rFonts w:ascii="Times New Roman" w:hAnsi="Times New Roman"/>
          <w:sz w:val="20"/>
        </w:rPr>
        <w:t>be aware</w:t>
      </w:r>
      <w:r>
        <w:rPr>
          <w:rFonts w:ascii="Times New Roman" w:hAnsi="Times New Roman"/>
          <w:sz w:val="20"/>
        </w:rPr>
        <w:t xml:space="preserve"> of the resource usage is quite clear, the use of any sensing/reporting mechanism, particularly one that revolves around CBR measurements, is questionable. To clarify, </w:t>
      </w:r>
      <w:r w:rsidR="007B7DD5">
        <w:rPr>
          <w:rFonts w:ascii="Times New Roman" w:hAnsi="Times New Roman"/>
          <w:sz w:val="20"/>
        </w:rPr>
        <w:t xml:space="preserve">if we consider CBR as the metric to represent resource usage by mode 4 UEs, two issues manifest. In the spatial dimension, CBR represents </w:t>
      </w:r>
      <w:r w:rsidR="007B7DD5" w:rsidRPr="007B7DD5">
        <w:rPr>
          <w:rFonts w:ascii="Times New Roman" w:hAnsi="Times New Roman"/>
          <w:sz w:val="20"/>
        </w:rPr>
        <w:t>the fraction of sub-channels whose S-RSSI exceeds a given threshold during a fixed duration</w:t>
      </w:r>
      <w:r w:rsidR="00D75FE1">
        <w:rPr>
          <w:rFonts w:ascii="Times New Roman" w:hAnsi="Times New Roman"/>
          <w:sz w:val="20"/>
        </w:rPr>
        <w:t xml:space="preserve">. </w:t>
      </w:r>
      <w:r w:rsidR="007B7DD5">
        <w:rPr>
          <w:rFonts w:ascii="Times New Roman" w:hAnsi="Times New Roman"/>
          <w:sz w:val="20"/>
        </w:rPr>
        <w:t xml:space="preserve">In other words, it is an average over a number of different sub-channels over a time window and does not carry information about individual sub-channels being utilized. At the same time, in the temporal domain, the resource reselection for mode-4 UEs happens over a time window configured by a set of </w:t>
      </w:r>
      <w:r w:rsidR="006D53FD">
        <w:rPr>
          <w:rFonts w:ascii="Times New Roman" w:hAnsi="Times New Roman"/>
          <w:sz w:val="20"/>
        </w:rPr>
        <w:t xml:space="preserve">L1 </w:t>
      </w:r>
      <w:r w:rsidR="007B7DD5">
        <w:rPr>
          <w:rFonts w:ascii="Times New Roman" w:hAnsi="Times New Roman"/>
          <w:sz w:val="20"/>
        </w:rPr>
        <w:t xml:space="preserve">parameters (T1, T2). In order to allow for robust resource usage, the values are generally configured </w:t>
      </w:r>
      <w:r w:rsidR="006D53FD">
        <w:rPr>
          <w:rFonts w:ascii="Times New Roman" w:hAnsi="Times New Roman"/>
          <w:sz w:val="20"/>
        </w:rPr>
        <w:t xml:space="preserve">to be </w:t>
      </w:r>
      <w:r w:rsidR="007B7DD5">
        <w:rPr>
          <w:rFonts w:ascii="Times New Roman" w:hAnsi="Times New Roman"/>
          <w:sz w:val="20"/>
        </w:rPr>
        <w:t>quite low (order of ms)</w:t>
      </w:r>
      <w:r w:rsidR="00E73BA3">
        <w:rPr>
          <w:rFonts w:ascii="Times New Roman" w:hAnsi="Times New Roman"/>
          <w:sz w:val="20"/>
        </w:rPr>
        <w:t>, at least compared to the time scale of any such reporting</w:t>
      </w:r>
      <w:r w:rsidR="007B7DD5">
        <w:rPr>
          <w:rFonts w:ascii="Times New Roman" w:hAnsi="Times New Roman"/>
          <w:sz w:val="20"/>
        </w:rPr>
        <w:t>. So,</w:t>
      </w:r>
      <w:r w:rsidR="00CB248A">
        <w:rPr>
          <w:rFonts w:ascii="Times New Roman" w:hAnsi="Times New Roman"/>
          <w:sz w:val="20"/>
        </w:rPr>
        <w:t xml:space="preserve"> any reporting and sensing of CBR </w:t>
      </w:r>
      <w:r w:rsidR="007B7DD5">
        <w:rPr>
          <w:rFonts w:ascii="Times New Roman" w:hAnsi="Times New Roman"/>
          <w:sz w:val="20"/>
        </w:rPr>
        <w:t xml:space="preserve">by mode-3 UEs is rendered less effective due to dynamic nature of resource usage by mode 4 UEs. On top of that, there is an added </w:t>
      </w:r>
      <w:r w:rsidR="006D53FD">
        <w:rPr>
          <w:rFonts w:ascii="Times New Roman" w:hAnsi="Times New Roman"/>
          <w:sz w:val="20"/>
        </w:rPr>
        <w:t>aspect</w:t>
      </w:r>
      <w:r w:rsidR="007B7DD5">
        <w:rPr>
          <w:rFonts w:ascii="Times New Roman" w:hAnsi="Times New Roman"/>
          <w:sz w:val="20"/>
        </w:rPr>
        <w:t xml:space="preserve"> of the reporting burden and overhead this places on mode 3 UEs which is certainly not desirable.</w:t>
      </w:r>
    </w:p>
    <w:p w14:paraId="6F519726" w14:textId="01D601C8" w:rsidR="007B7DD5" w:rsidRPr="00E01E30" w:rsidRDefault="007B7DD5" w:rsidP="00E01E30">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Observation</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Sensing/reporting of CBR may not effectively represent the availability of shared resources </w:t>
      </w:r>
      <w:r w:rsidR="00E01E30">
        <w:rPr>
          <w:rFonts w:ascii="Times New Roman" w:eastAsia="Times New Roman" w:hAnsi="Times New Roman"/>
          <w:bCs/>
          <w:i/>
          <w:sz w:val="20"/>
          <w:szCs w:val="20"/>
          <w:lang w:val="en-GB" w:eastAsia="zh-CN"/>
        </w:rPr>
        <w:t xml:space="preserve">to eNB </w:t>
      </w:r>
      <w:r>
        <w:rPr>
          <w:rFonts w:ascii="Times New Roman" w:eastAsia="Times New Roman" w:hAnsi="Times New Roman"/>
          <w:bCs/>
          <w:i/>
          <w:sz w:val="20"/>
          <w:szCs w:val="20"/>
          <w:lang w:val="en-GB" w:eastAsia="zh-CN"/>
        </w:rPr>
        <w:t>for</w:t>
      </w:r>
      <w:r w:rsidR="00E01E30">
        <w:rPr>
          <w:rFonts w:ascii="Times New Roman" w:eastAsia="Times New Roman" w:hAnsi="Times New Roman"/>
          <w:bCs/>
          <w:i/>
          <w:sz w:val="20"/>
          <w:szCs w:val="20"/>
          <w:lang w:val="en-GB" w:eastAsia="zh-CN"/>
        </w:rPr>
        <w:t xml:space="preserve"> scheduling</w:t>
      </w:r>
      <w:r>
        <w:rPr>
          <w:rFonts w:ascii="Times New Roman" w:eastAsia="Times New Roman" w:hAnsi="Times New Roman"/>
          <w:bCs/>
          <w:i/>
          <w:sz w:val="20"/>
          <w:szCs w:val="20"/>
          <w:lang w:val="en-GB" w:eastAsia="zh-CN"/>
        </w:rPr>
        <w:t xml:space="preserve"> mode 3 UEs.</w:t>
      </w:r>
    </w:p>
    <w:p w14:paraId="06889C18" w14:textId="64F86DD4" w:rsidR="00B737FF" w:rsidRDefault="007B7DD5" w:rsidP="000F54CA">
      <w:pPr>
        <w:rPr>
          <w:rFonts w:ascii="Times New Roman" w:hAnsi="Times New Roman"/>
          <w:sz w:val="20"/>
        </w:rPr>
      </w:pPr>
      <w:r>
        <w:rPr>
          <w:rFonts w:ascii="Times New Roman" w:hAnsi="Times New Roman"/>
          <w:sz w:val="20"/>
        </w:rPr>
        <w:t xml:space="preserve">So, in short, we think that if some sensing and reporting is to be considered for mode 3 UEs, we should first consider if CBR is indeed an effective metric for reporting. Of course, we can define specific </w:t>
      </w:r>
      <w:r w:rsidR="00E01E30">
        <w:rPr>
          <w:rFonts w:ascii="Times New Roman" w:hAnsi="Times New Roman"/>
          <w:sz w:val="20"/>
        </w:rPr>
        <w:t>restrictions</w:t>
      </w:r>
      <w:r>
        <w:rPr>
          <w:rFonts w:ascii="Times New Roman" w:hAnsi="Times New Roman"/>
          <w:sz w:val="20"/>
        </w:rPr>
        <w:t xml:space="preserve">, i.e. </w:t>
      </w:r>
      <w:r w:rsidR="00E01E30">
        <w:rPr>
          <w:rFonts w:ascii="Times New Roman" w:hAnsi="Times New Roman"/>
          <w:sz w:val="20"/>
        </w:rPr>
        <w:t xml:space="preserve">only certain UE types (P-UE vs V-UE) to perform the reporting and only doing so under certain load conditions </w:t>
      </w:r>
      <w:r w:rsidR="00143E86">
        <w:rPr>
          <w:rFonts w:ascii="Times New Roman" w:hAnsi="Times New Roman"/>
          <w:sz w:val="20"/>
        </w:rPr>
        <w:t>(so as not to contribute to congestion)</w:t>
      </w:r>
      <w:r>
        <w:rPr>
          <w:rFonts w:ascii="Times New Roman" w:hAnsi="Times New Roman"/>
          <w:sz w:val="20"/>
        </w:rPr>
        <w:t>, but given the limited time we have for the completion of the WI</w:t>
      </w:r>
      <w:r w:rsidR="00E01E30">
        <w:rPr>
          <w:rFonts w:ascii="Times New Roman" w:hAnsi="Times New Roman"/>
          <w:sz w:val="20"/>
        </w:rPr>
        <w:t xml:space="preserve"> and the limited gains that are foreseen from such an effort</w:t>
      </w:r>
      <w:r>
        <w:rPr>
          <w:rFonts w:ascii="Times New Roman" w:hAnsi="Times New Roman"/>
          <w:sz w:val="20"/>
        </w:rPr>
        <w:t xml:space="preserve">, we propose to not consider additional sensing and reporting for mode 3 UEs in Rel-15. </w:t>
      </w:r>
      <w:r w:rsidR="00D70FEC">
        <w:rPr>
          <w:rFonts w:ascii="Times New Roman" w:hAnsi="Times New Roman"/>
          <w:sz w:val="20"/>
        </w:rPr>
        <w:t>The potential introduction of enhancements (depending on RAN1 discussion) should be able to handle at least the case of SPS traffic over mode 3 UEs and we can rely on the dynamic nature of resource (re)selection of mode 4 UEs to handle any collision cases.</w:t>
      </w:r>
    </w:p>
    <w:p w14:paraId="3AD911CB" w14:textId="73762F84" w:rsidR="00B737FF" w:rsidRPr="004D7A2E" w:rsidRDefault="00C84589" w:rsidP="004D7A2E">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B737FF" w:rsidRPr="001C137C">
        <w:rPr>
          <w:rFonts w:ascii="Times New Roman" w:eastAsia="Times New Roman" w:hAnsi="Times New Roman"/>
          <w:b/>
          <w:bCs/>
          <w:sz w:val="20"/>
          <w:szCs w:val="20"/>
          <w:u w:val="single"/>
          <w:lang w:val="en-GB" w:eastAsia="zh-CN"/>
        </w:rPr>
        <w:t>:</w:t>
      </w:r>
      <w:r w:rsidR="00B737FF" w:rsidRPr="001C137C">
        <w:rPr>
          <w:rFonts w:ascii="Times New Roman" w:eastAsia="Times New Roman" w:hAnsi="Times New Roman"/>
          <w:b/>
          <w:bCs/>
          <w:sz w:val="20"/>
          <w:szCs w:val="20"/>
          <w:lang w:val="en-GB" w:eastAsia="zh-CN"/>
        </w:rPr>
        <w:tab/>
      </w:r>
      <w:r w:rsidR="00D70FEC">
        <w:rPr>
          <w:rFonts w:ascii="Times New Roman" w:eastAsia="Times New Roman" w:hAnsi="Times New Roman"/>
          <w:bCs/>
          <w:i/>
          <w:sz w:val="20"/>
          <w:szCs w:val="20"/>
          <w:lang w:val="en-GB" w:eastAsia="zh-CN"/>
        </w:rPr>
        <w:t xml:space="preserve">No new </w:t>
      </w:r>
      <w:r w:rsidR="00B737FF">
        <w:rPr>
          <w:rFonts w:ascii="Times New Roman" w:eastAsia="Times New Roman" w:hAnsi="Times New Roman"/>
          <w:bCs/>
          <w:i/>
          <w:sz w:val="20"/>
          <w:szCs w:val="20"/>
          <w:lang w:val="en-GB" w:eastAsia="zh-CN"/>
        </w:rPr>
        <w:t xml:space="preserve">sensing/reporting mechanism for mode 3 UEs should </w:t>
      </w:r>
      <w:r w:rsidR="00E01E30">
        <w:rPr>
          <w:rFonts w:ascii="Times New Roman" w:eastAsia="Times New Roman" w:hAnsi="Times New Roman"/>
          <w:bCs/>
          <w:i/>
          <w:sz w:val="20"/>
          <w:szCs w:val="20"/>
          <w:lang w:val="en-GB" w:eastAsia="zh-CN"/>
        </w:rPr>
        <w:t>be considered for Rel-15</w:t>
      </w:r>
      <w:r w:rsidR="004D7A2E">
        <w:rPr>
          <w:rFonts w:ascii="Times New Roman" w:eastAsia="Times New Roman" w:hAnsi="Times New Roman"/>
          <w:bCs/>
          <w:i/>
          <w:sz w:val="20"/>
          <w:szCs w:val="20"/>
          <w:lang w:val="en-GB" w:eastAsia="zh-CN"/>
        </w:rPr>
        <w:t>.</w:t>
      </w:r>
    </w:p>
    <w:p w14:paraId="50A28EC3" w14:textId="77777777" w:rsidR="008669B1" w:rsidRPr="00E0063E" w:rsidRDefault="008669B1" w:rsidP="008669B1">
      <w:pPr>
        <w:pStyle w:val="Tdoc"/>
      </w:pPr>
      <w:r w:rsidRPr="00E0063E">
        <w:t>Conclusion</w:t>
      </w:r>
    </w:p>
    <w:p w14:paraId="50A28EC4" w14:textId="118C8F4B"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1" w:name="_Ref458739888"/>
      <w:r>
        <w:rPr>
          <w:rFonts w:ascii="Times New Roman" w:eastAsia="Times New Roman" w:hAnsi="Times New Roman"/>
          <w:bCs/>
          <w:sz w:val="20"/>
          <w:szCs w:val="20"/>
          <w:lang w:val="en-GB" w:eastAsia="zh-CN"/>
        </w:rPr>
        <w:t xml:space="preserve">This contributions discusses </w:t>
      </w:r>
      <w:r w:rsidR="00C84589">
        <w:rPr>
          <w:rFonts w:ascii="Times New Roman" w:eastAsia="Times New Roman" w:hAnsi="Times New Roman"/>
          <w:bCs/>
          <w:sz w:val="20"/>
          <w:szCs w:val="20"/>
          <w:lang w:val="en-GB" w:eastAsia="zh-CN"/>
        </w:rPr>
        <w:t>the need for sensing and reporting for resource pool sharing between mode 3 and 4 UEs</w:t>
      </w:r>
      <w:r w:rsidR="00BD4C5D">
        <w:rPr>
          <w:rFonts w:ascii="Times New Roman" w:eastAsia="Times New Roman" w:hAnsi="Times New Roman"/>
          <w:bCs/>
          <w:sz w:val="20"/>
          <w:szCs w:val="20"/>
          <w:lang w:val="en-GB" w:eastAsia="zh-CN"/>
        </w:rPr>
        <w:t xml:space="preserve"> and makes the following proposals</w:t>
      </w:r>
      <w:r w:rsidR="00777344">
        <w:rPr>
          <w:rFonts w:ascii="Times New Roman" w:eastAsia="Times New Roman" w:hAnsi="Times New Roman"/>
          <w:bCs/>
          <w:sz w:val="20"/>
          <w:szCs w:val="20"/>
          <w:lang w:val="en-GB" w:eastAsia="zh-CN"/>
        </w:rPr>
        <w:t>:</w:t>
      </w:r>
    </w:p>
    <w:p w14:paraId="6811663E" w14:textId="77777777" w:rsidR="00C84589" w:rsidRPr="00E01E30" w:rsidRDefault="00C84589" w:rsidP="00C84589">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Observation</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Sensing/reporting of CBR may not effectively represent the availability of shared resources to eNB for scheduling mode 3 UEs.</w:t>
      </w:r>
    </w:p>
    <w:p w14:paraId="7E8C3535" w14:textId="77777777" w:rsidR="00C84589" w:rsidRPr="004D7A2E" w:rsidRDefault="00C84589" w:rsidP="00C84589">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No new sensing/reporting mechanism for mode 3 UEs should be considered for Rel-15.</w:t>
      </w:r>
    </w:p>
    <w:sdt>
      <w:sdtPr>
        <w:rPr>
          <w:rFonts w:ascii="Calibri" w:eastAsia="SimSun" w:hAnsi="Calibri"/>
          <w:noProof w:val="0"/>
          <w:sz w:val="22"/>
          <w:szCs w:val="22"/>
          <w:lang w:eastAsia="en-US"/>
        </w:rPr>
        <w:id w:val="-916171089"/>
        <w:docPartObj>
          <w:docPartGallery w:val="Bibliographies"/>
          <w:docPartUnique/>
        </w:docPartObj>
      </w:sdtPr>
      <w:sdtEndPr/>
      <w:sdtContent>
        <w:p w14:paraId="5084A6A2" w14:textId="5C55DAA9" w:rsidR="003379D6" w:rsidRDefault="003379D6" w:rsidP="003379D6">
          <w:pPr>
            <w:pStyle w:val="Tdoc"/>
          </w:pPr>
          <w:r>
            <w:t>References</w:t>
          </w:r>
        </w:p>
        <w:sdt>
          <w:sdtPr>
            <w:id w:val="-573587230"/>
            <w:bibliography/>
          </w:sdtPr>
          <w:sdtEndPr/>
          <w:sdtContent>
            <w:p w14:paraId="44EB17D1" w14:textId="77777777" w:rsidR="00153EA5" w:rsidRDefault="003379D6">
              <w:pPr>
                <w:rPr>
                  <w:noProof/>
                  <w:sz w:val="20"/>
                  <w:szCs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153EA5" w14:paraId="5CFE77A7" w14:textId="77777777">
                <w:trPr>
                  <w:divId w:val="1610697786"/>
                  <w:tblCellSpacing w:w="15" w:type="dxa"/>
                </w:trPr>
                <w:tc>
                  <w:tcPr>
                    <w:tcW w:w="50" w:type="pct"/>
                    <w:hideMark/>
                  </w:tcPr>
                  <w:p w14:paraId="693B3E81" w14:textId="77777777" w:rsidR="00153EA5" w:rsidRDefault="00153EA5">
                    <w:pPr>
                      <w:pStyle w:val="Bibliography"/>
                      <w:rPr>
                        <w:noProof/>
                        <w:sz w:val="24"/>
                        <w:szCs w:val="24"/>
                      </w:rPr>
                    </w:pPr>
                    <w:r>
                      <w:rPr>
                        <w:noProof/>
                      </w:rPr>
                      <w:t xml:space="preserve">[1] </w:t>
                    </w:r>
                  </w:p>
                </w:tc>
                <w:tc>
                  <w:tcPr>
                    <w:tcW w:w="0" w:type="auto"/>
                    <w:hideMark/>
                  </w:tcPr>
                  <w:p w14:paraId="20D9C244" w14:textId="77777777" w:rsidR="00153EA5" w:rsidRDefault="00153EA5">
                    <w:pPr>
                      <w:pStyle w:val="Bibliography"/>
                      <w:rPr>
                        <w:noProof/>
                      </w:rPr>
                    </w:pPr>
                    <w:r>
                      <w:rPr>
                        <w:noProof/>
                      </w:rPr>
                      <w:t xml:space="preserve">"RAN2#101, Chairman Notes". </w:t>
                    </w:r>
                  </w:p>
                </w:tc>
              </w:tr>
            </w:tbl>
            <w:p w14:paraId="2941306A" w14:textId="77777777" w:rsidR="00153EA5" w:rsidRDefault="00153EA5">
              <w:pPr>
                <w:divId w:val="1610697786"/>
                <w:rPr>
                  <w:rFonts w:eastAsia="Times New Roman"/>
                  <w:noProof/>
                </w:rPr>
              </w:pPr>
            </w:p>
            <w:p w14:paraId="0BF97D28" w14:textId="66D389AF" w:rsidR="003379D6" w:rsidRDefault="003379D6">
              <w:r>
                <w:rPr>
                  <w:b/>
                  <w:bCs/>
                  <w:noProof/>
                </w:rPr>
                <w:fldChar w:fldCharType="end"/>
              </w:r>
            </w:p>
          </w:sdtContent>
        </w:sdt>
      </w:sdtContent>
    </w:sdt>
    <w:p w14:paraId="691EAA26" w14:textId="62577732" w:rsidR="00C73BA9" w:rsidRDefault="00C73BA9"/>
    <w:p w14:paraId="4196A02B" w14:textId="65BAC889" w:rsidR="00DF25A3" w:rsidRDefault="00DF25A3"/>
    <w:bookmarkEnd w:id="1"/>
    <w:p w14:paraId="50A28EEF" w14:textId="75931889" w:rsidR="00E0063E" w:rsidRPr="00AE13FE" w:rsidRDefault="00E0063E" w:rsidP="00F83629">
      <w:pPr>
        <w:pStyle w:val="Tdoc"/>
        <w:numPr>
          <w:ilvl w:val="0"/>
          <w:numId w:val="0"/>
        </w:numPr>
        <w:rPr>
          <w:sz w:val="20"/>
        </w:rPr>
      </w:pPr>
    </w:p>
    <w:sectPr w:rsidR="00E0063E" w:rsidRPr="00AE13FE">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28EF2" w14:textId="77777777" w:rsidR="00E772C0" w:rsidRDefault="00E772C0">
      <w:pPr>
        <w:spacing w:after="0" w:line="240" w:lineRule="auto"/>
      </w:pPr>
      <w:r>
        <w:separator/>
      </w:r>
    </w:p>
  </w:endnote>
  <w:endnote w:type="continuationSeparator" w:id="0">
    <w:p w14:paraId="50A28EF3" w14:textId="77777777" w:rsidR="00E772C0" w:rsidRDefault="00E772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28EF4" w14:textId="77777777" w:rsidR="00E772C0" w:rsidRDefault="00E772C0"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53EA5">
      <w:rPr>
        <w:rFonts w:ascii="Arial" w:hAnsi="Arial" w:cs="Arial"/>
        <w:b/>
        <w:noProof/>
        <w:sz w:val="18"/>
        <w:szCs w:val="18"/>
      </w:rPr>
      <w:t>1</w:t>
    </w:r>
    <w:r>
      <w:rPr>
        <w:rFonts w:ascii="Arial" w:hAnsi="Arial" w:cs="Arial"/>
        <w:b/>
        <w:sz w:val="18"/>
        <w:szCs w:val="18"/>
      </w:rPr>
      <w:fldChar w:fldCharType="end"/>
    </w:r>
  </w:p>
  <w:p w14:paraId="50A28EF5" w14:textId="77777777" w:rsidR="00E772C0" w:rsidRDefault="00E772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28EF0" w14:textId="77777777" w:rsidR="00E772C0" w:rsidRDefault="00E772C0">
      <w:pPr>
        <w:spacing w:after="0" w:line="240" w:lineRule="auto"/>
      </w:pPr>
      <w:r>
        <w:separator/>
      </w:r>
    </w:p>
  </w:footnote>
  <w:footnote w:type="continuationSeparator" w:id="0">
    <w:p w14:paraId="50A28EF1" w14:textId="77777777" w:rsidR="00E772C0" w:rsidRDefault="00E772C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7"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13"/>
  </w:num>
  <w:num w:numId="3">
    <w:abstractNumId w:val="12"/>
  </w:num>
  <w:num w:numId="4">
    <w:abstractNumId w:val="11"/>
  </w:num>
  <w:num w:numId="5">
    <w:abstractNumId w:val="3"/>
    <w:lvlOverride w:ilvl="0">
      <w:startOverride w:val="1"/>
    </w:lvlOverride>
  </w:num>
  <w:num w:numId="6">
    <w:abstractNumId w:val="5"/>
    <w:lvlOverride w:ilvl="0">
      <w:startOverride w:val="2"/>
    </w:lvlOverride>
  </w:num>
  <w:num w:numId="7">
    <w:abstractNumId w:val="18"/>
  </w:num>
  <w:num w:numId="8">
    <w:abstractNumId w:val="8"/>
  </w:num>
  <w:num w:numId="9">
    <w:abstractNumId w:val="6"/>
  </w:num>
  <w:num w:numId="10">
    <w:abstractNumId w:val="14"/>
  </w:num>
  <w:num w:numId="11">
    <w:abstractNumId w:val="20"/>
  </w:num>
  <w:num w:numId="12">
    <w:abstractNumId w:val="4"/>
  </w:num>
  <w:num w:numId="13">
    <w:abstractNumId w:val="7"/>
  </w:num>
  <w:num w:numId="14">
    <w:abstractNumId w:val="1"/>
  </w:num>
  <w:num w:numId="15">
    <w:abstractNumId w:val="2"/>
  </w:num>
  <w:num w:numId="16">
    <w:abstractNumId w:val="10"/>
  </w:num>
  <w:num w:numId="17">
    <w:abstractNumId w:val="17"/>
  </w:num>
  <w:num w:numId="18">
    <w:abstractNumId w:val="9"/>
  </w:num>
  <w:num w:numId="19">
    <w:abstractNumId w:val="15"/>
  </w:num>
  <w:num w:numId="20">
    <w:abstractNumId w:val="0"/>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4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62EC"/>
    <w:rsid w:val="0002151A"/>
    <w:rsid w:val="00031A47"/>
    <w:rsid w:val="000336C8"/>
    <w:rsid w:val="00053B8A"/>
    <w:rsid w:val="00061F84"/>
    <w:rsid w:val="000632AE"/>
    <w:rsid w:val="00066057"/>
    <w:rsid w:val="00071BD0"/>
    <w:rsid w:val="000760CC"/>
    <w:rsid w:val="0007638E"/>
    <w:rsid w:val="00077473"/>
    <w:rsid w:val="00081766"/>
    <w:rsid w:val="0008197A"/>
    <w:rsid w:val="00096596"/>
    <w:rsid w:val="000A09E6"/>
    <w:rsid w:val="000A7E1C"/>
    <w:rsid w:val="000E4761"/>
    <w:rsid w:val="000E493C"/>
    <w:rsid w:val="000F1C37"/>
    <w:rsid w:val="000F54CA"/>
    <w:rsid w:val="00100001"/>
    <w:rsid w:val="00111236"/>
    <w:rsid w:val="0011610B"/>
    <w:rsid w:val="00120B9E"/>
    <w:rsid w:val="00143E86"/>
    <w:rsid w:val="00143F5D"/>
    <w:rsid w:val="00144CD4"/>
    <w:rsid w:val="00147C5C"/>
    <w:rsid w:val="00151E30"/>
    <w:rsid w:val="00153EA5"/>
    <w:rsid w:val="00154CC9"/>
    <w:rsid w:val="00160710"/>
    <w:rsid w:val="0016207C"/>
    <w:rsid w:val="0016488C"/>
    <w:rsid w:val="00171180"/>
    <w:rsid w:val="00175B7F"/>
    <w:rsid w:val="00175DCB"/>
    <w:rsid w:val="00195430"/>
    <w:rsid w:val="00197B45"/>
    <w:rsid w:val="001A793C"/>
    <w:rsid w:val="001B7098"/>
    <w:rsid w:val="001C137C"/>
    <w:rsid w:val="001C6E8B"/>
    <w:rsid w:val="001D28A0"/>
    <w:rsid w:val="001E221E"/>
    <w:rsid w:val="001E54F9"/>
    <w:rsid w:val="0020567B"/>
    <w:rsid w:val="0020671E"/>
    <w:rsid w:val="00225341"/>
    <w:rsid w:val="0024165F"/>
    <w:rsid w:val="00253F58"/>
    <w:rsid w:val="00255F2A"/>
    <w:rsid w:val="00260222"/>
    <w:rsid w:val="00263354"/>
    <w:rsid w:val="00265EF0"/>
    <w:rsid w:val="00274F99"/>
    <w:rsid w:val="00276574"/>
    <w:rsid w:val="002769B9"/>
    <w:rsid w:val="00281DB7"/>
    <w:rsid w:val="00283FDE"/>
    <w:rsid w:val="00286053"/>
    <w:rsid w:val="00291433"/>
    <w:rsid w:val="00291DB2"/>
    <w:rsid w:val="00293F66"/>
    <w:rsid w:val="0029495D"/>
    <w:rsid w:val="002A5F0F"/>
    <w:rsid w:val="002A78E6"/>
    <w:rsid w:val="002B17B0"/>
    <w:rsid w:val="002B2F0A"/>
    <w:rsid w:val="002F04F8"/>
    <w:rsid w:val="002F153B"/>
    <w:rsid w:val="002F432E"/>
    <w:rsid w:val="00330823"/>
    <w:rsid w:val="00332463"/>
    <w:rsid w:val="00332851"/>
    <w:rsid w:val="00336D1D"/>
    <w:rsid w:val="003379D6"/>
    <w:rsid w:val="00337A0E"/>
    <w:rsid w:val="00345654"/>
    <w:rsid w:val="0035278E"/>
    <w:rsid w:val="00361EF9"/>
    <w:rsid w:val="003848A3"/>
    <w:rsid w:val="00384CB8"/>
    <w:rsid w:val="00385E3E"/>
    <w:rsid w:val="00396B24"/>
    <w:rsid w:val="003A766F"/>
    <w:rsid w:val="003B424F"/>
    <w:rsid w:val="003B6208"/>
    <w:rsid w:val="003B6BC4"/>
    <w:rsid w:val="003C2812"/>
    <w:rsid w:val="003D1D55"/>
    <w:rsid w:val="003E1161"/>
    <w:rsid w:val="003E76DD"/>
    <w:rsid w:val="003F0F74"/>
    <w:rsid w:val="0040277F"/>
    <w:rsid w:val="004035EF"/>
    <w:rsid w:val="00412F14"/>
    <w:rsid w:val="00415F96"/>
    <w:rsid w:val="00416235"/>
    <w:rsid w:val="00424635"/>
    <w:rsid w:val="00433DA4"/>
    <w:rsid w:val="00434F17"/>
    <w:rsid w:val="0043655F"/>
    <w:rsid w:val="00437AB1"/>
    <w:rsid w:val="00440C74"/>
    <w:rsid w:val="00445B7E"/>
    <w:rsid w:val="00453DB6"/>
    <w:rsid w:val="0045665A"/>
    <w:rsid w:val="00460EBA"/>
    <w:rsid w:val="0046730A"/>
    <w:rsid w:val="00467867"/>
    <w:rsid w:val="004747C6"/>
    <w:rsid w:val="00483C87"/>
    <w:rsid w:val="004873A1"/>
    <w:rsid w:val="0049247B"/>
    <w:rsid w:val="004941A2"/>
    <w:rsid w:val="004A45E2"/>
    <w:rsid w:val="004B2F1A"/>
    <w:rsid w:val="004C546C"/>
    <w:rsid w:val="004D44CA"/>
    <w:rsid w:val="004D6C2B"/>
    <w:rsid w:val="004D7A2E"/>
    <w:rsid w:val="004E2339"/>
    <w:rsid w:val="004E3975"/>
    <w:rsid w:val="004E3ED3"/>
    <w:rsid w:val="005067A7"/>
    <w:rsid w:val="00511AF4"/>
    <w:rsid w:val="0051392C"/>
    <w:rsid w:val="005214C0"/>
    <w:rsid w:val="005231DC"/>
    <w:rsid w:val="00523734"/>
    <w:rsid w:val="005279F9"/>
    <w:rsid w:val="0055379C"/>
    <w:rsid w:val="00555440"/>
    <w:rsid w:val="0055706A"/>
    <w:rsid w:val="00557402"/>
    <w:rsid w:val="00593190"/>
    <w:rsid w:val="00597FD5"/>
    <w:rsid w:val="005A4656"/>
    <w:rsid w:val="005A7CEA"/>
    <w:rsid w:val="005C158A"/>
    <w:rsid w:val="005C3DFF"/>
    <w:rsid w:val="005E3E1B"/>
    <w:rsid w:val="005E4E14"/>
    <w:rsid w:val="005F30EF"/>
    <w:rsid w:val="00625D8E"/>
    <w:rsid w:val="00627647"/>
    <w:rsid w:val="00633024"/>
    <w:rsid w:val="00661C20"/>
    <w:rsid w:val="00667231"/>
    <w:rsid w:val="006720DF"/>
    <w:rsid w:val="00673EBD"/>
    <w:rsid w:val="00696FDC"/>
    <w:rsid w:val="006A27E5"/>
    <w:rsid w:val="006A65D5"/>
    <w:rsid w:val="006C65A8"/>
    <w:rsid w:val="006D0058"/>
    <w:rsid w:val="006D512C"/>
    <w:rsid w:val="006D53FD"/>
    <w:rsid w:val="006D7CC2"/>
    <w:rsid w:val="006E0F37"/>
    <w:rsid w:val="006F631D"/>
    <w:rsid w:val="00705D31"/>
    <w:rsid w:val="00710503"/>
    <w:rsid w:val="00711B34"/>
    <w:rsid w:val="007158F5"/>
    <w:rsid w:val="00722993"/>
    <w:rsid w:val="00723298"/>
    <w:rsid w:val="00732A41"/>
    <w:rsid w:val="00732CD4"/>
    <w:rsid w:val="007336B5"/>
    <w:rsid w:val="007356BA"/>
    <w:rsid w:val="00740D3E"/>
    <w:rsid w:val="00743313"/>
    <w:rsid w:val="007646CF"/>
    <w:rsid w:val="00777344"/>
    <w:rsid w:val="00781376"/>
    <w:rsid w:val="00786A05"/>
    <w:rsid w:val="00786EC6"/>
    <w:rsid w:val="00791A9C"/>
    <w:rsid w:val="00792327"/>
    <w:rsid w:val="00797358"/>
    <w:rsid w:val="007A2068"/>
    <w:rsid w:val="007A49CD"/>
    <w:rsid w:val="007B7DD5"/>
    <w:rsid w:val="007C3A70"/>
    <w:rsid w:val="007D042C"/>
    <w:rsid w:val="007D05E3"/>
    <w:rsid w:val="007D32DD"/>
    <w:rsid w:val="00813FBF"/>
    <w:rsid w:val="00827742"/>
    <w:rsid w:val="00833E79"/>
    <w:rsid w:val="00835599"/>
    <w:rsid w:val="008418C6"/>
    <w:rsid w:val="00861C7A"/>
    <w:rsid w:val="008669B1"/>
    <w:rsid w:val="00875F14"/>
    <w:rsid w:val="008775ED"/>
    <w:rsid w:val="00883EF2"/>
    <w:rsid w:val="008848AB"/>
    <w:rsid w:val="00886353"/>
    <w:rsid w:val="00897CC2"/>
    <w:rsid w:val="008A1604"/>
    <w:rsid w:val="008A3B9F"/>
    <w:rsid w:val="008A3EC6"/>
    <w:rsid w:val="008B0017"/>
    <w:rsid w:val="008B7DB0"/>
    <w:rsid w:val="008C0567"/>
    <w:rsid w:val="008C6004"/>
    <w:rsid w:val="008D2846"/>
    <w:rsid w:val="008E03BE"/>
    <w:rsid w:val="008E5071"/>
    <w:rsid w:val="008F15B9"/>
    <w:rsid w:val="008F7B19"/>
    <w:rsid w:val="00901F6D"/>
    <w:rsid w:val="00902C16"/>
    <w:rsid w:val="00915CAD"/>
    <w:rsid w:val="009215C6"/>
    <w:rsid w:val="00925869"/>
    <w:rsid w:val="00927261"/>
    <w:rsid w:val="009331B4"/>
    <w:rsid w:val="00934516"/>
    <w:rsid w:val="00936F83"/>
    <w:rsid w:val="00943FF6"/>
    <w:rsid w:val="00944290"/>
    <w:rsid w:val="009459D5"/>
    <w:rsid w:val="0094797B"/>
    <w:rsid w:val="00952743"/>
    <w:rsid w:val="00955F6D"/>
    <w:rsid w:val="009573C2"/>
    <w:rsid w:val="009737B4"/>
    <w:rsid w:val="009759A1"/>
    <w:rsid w:val="009917F0"/>
    <w:rsid w:val="009A301E"/>
    <w:rsid w:val="009A3832"/>
    <w:rsid w:val="009A5E1C"/>
    <w:rsid w:val="009B6A2D"/>
    <w:rsid w:val="009C4F61"/>
    <w:rsid w:val="009D5BAB"/>
    <w:rsid w:val="009E6ED4"/>
    <w:rsid w:val="009E7171"/>
    <w:rsid w:val="009F06CB"/>
    <w:rsid w:val="009F731B"/>
    <w:rsid w:val="009F758B"/>
    <w:rsid w:val="00A3157F"/>
    <w:rsid w:val="00A35BD3"/>
    <w:rsid w:val="00A44954"/>
    <w:rsid w:val="00A45F0D"/>
    <w:rsid w:val="00A5035B"/>
    <w:rsid w:val="00A53711"/>
    <w:rsid w:val="00A601C3"/>
    <w:rsid w:val="00A63B12"/>
    <w:rsid w:val="00A824AF"/>
    <w:rsid w:val="00A83DE0"/>
    <w:rsid w:val="00A86A88"/>
    <w:rsid w:val="00A92667"/>
    <w:rsid w:val="00AB388C"/>
    <w:rsid w:val="00AC4F72"/>
    <w:rsid w:val="00AD20FE"/>
    <w:rsid w:val="00AE0A3D"/>
    <w:rsid w:val="00AE13FE"/>
    <w:rsid w:val="00AE5BAD"/>
    <w:rsid w:val="00AF256D"/>
    <w:rsid w:val="00B019D2"/>
    <w:rsid w:val="00B14023"/>
    <w:rsid w:val="00B20B32"/>
    <w:rsid w:val="00B329F9"/>
    <w:rsid w:val="00B438F2"/>
    <w:rsid w:val="00B45EDF"/>
    <w:rsid w:val="00B70F01"/>
    <w:rsid w:val="00B737FF"/>
    <w:rsid w:val="00B74D9C"/>
    <w:rsid w:val="00B76EA2"/>
    <w:rsid w:val="00B810AC"/>
    <w:rsid w:val="00B9000F"/>
    <w:rsid w:val="00B91D6D"/>
    <w:rsid w:val="00B92FEE"/>
    <w:rsid w:val="00B9460B"/>
    <w:rsid w:val="00BA2CEB"/>
    <w:rsid w:val="00BB7B6E"/>
    <w:rsid w:val="00BD4C5D"/>
    <w:rsid w:val="00BD4D14"/>
    <w:rsid w:val="00BE0DBD"/>
    <w:rsid w:val="00BE6D20"/>
    <w:rsid w:val="00BF78E3"/>
    <w:rsid w:val="00C10CE1"/>
    <w:rsid w:val="00C27475"/>
    <w:rsid w:val="00C348A8"/>
    <w:rsid w:val="00C47BFB"/>
    <w:rsid w:val="00C641CB"/>
    <w:rsid w:val="00C65B7C"/>
    <w:rsid w:val="00C667DF"/>
    <w:rsid w:val="00C67B49"/>
    <w:rsid w:val="00C73BA9"/>
    <w:rsid w:val="00C84589"/>
    <w:rsid w:val="00C8595C"/>
    <w:rsid w:val="00C90D45"/>
    <w:rsid w:val="00CA4212"/>
    <w:rsid w:val="00CA751B"/>
    <w:rsid w:val="00CB248A"/>
    <w:rsid w:val="00CB6AB5"/>
    <w:rsid w:val="00CD2ABF"/>
    <w:rsid w:val="00CD4245"/>
    <w:rsid w:val="00CE5D88"/>
    <w:rsid w:val="00CE70AB"/>
    <w:rsid w:val="00D0160E"/>
    <w:rsid w:val="00D05CFA"/>
    <w:rsid w:val="00D244A7"/>
    <w:rsid w:val="00D30389"/>
    <w:rsid w:val="00D304C8"/>
    <w:rsid w:val="00D30D35"/>
    <w:rsid w:val="00D4144E"/>
    <w:rsid w:val="00D4639F"/>
    <w:rsid w:val="00D65AAE"/>
    <w:rsid w:val="00D70FEC"/>
    <w:rsid w:val="00D74365"/>
    <w:rsid w:val="00D75EC2"/>
    <w:rsid w:val="00D75FE1"/>
    <w:rsid w:val="00D80BD1"/>
    <w:rsid w:val="00D94525"/>
    <w:rsid w:val="00DA2C5B"/>
    <w:rsid w:val="00DC00B2"/>
    <w:rsid w:val="00DC299B"/>
    <w:rsid w:val="00DD532A"/>
    <w:rsid w:val="00DE207A"/>
    <w:rsid w:val="00DF07FB"/>
    <w:rsid w:val="00DF106B"/>
    <w:rsid w:val="00DF2222"/>
    <w:rsid w:val="00DF25A3"/>
    <w:rsid w:val="00E0063E"/>
    <w:rsid w:val="00E01E30"/>
    <w:rsid w:val="00E10C75"/>
    <w:rsid w:val="00E13016"/>
    <w:rsid w:val="00E14C3C"/>
    <w:rsid w:val="00E267E6"/>
    <w:rsid w:val="00E31E41"/>
    <w:rsid w:val="00E32368"/>
    <w:rsid w:val="00E42BBE"/>
    <w:rsid w:val="00E53137"/>
    <w:rsid w:val="00E60548"/>
    <w:rsid w:val="00E63487"/>
    <w:rsid w:val="00E65894"/>
    <w:rsid w:val="00E6786C"/>
    <w:rsid w:val="00E73BA3"/>
    <w:rsid w:val="00E76581"/>
    <w:rsid w:val="00E772C0"/>
    <w:rsid w:val="00E77D40"/>
    <w:rsid w:val="00E86837"/>
    <w:rsid w:val="00E87B8A"/>
    <w:rsid w:val="00E93113"/>
    <w:rsid w:val="00E936F6"/>
    <w:rsid w:val="00EB0968"/>
    <w:rsid w:val="00EC1C57"/>
    <w:rsid w:val="00EC7E0A"/>
    <w:rsid w:val="00ED00AF"/>
    <w:rsid w:val="00ED7949"/>
    <w:rsid w:val="00EE3B7D"/>
    <w:rsid w:val="00EF7293"/>
    <w:rsid w:val="00F14233"/>
    <w:rsid w:val="00F16547"/>
    <w:rsid w:val="00F16840"/>
    <w:rsid w:val="00F20B33"/>
    <w:rsid w:val="00F2103E"/>
    <w:rsid w:val="00F239D6"/>
    <w:rsid w:val="00F25073"/>
    <w:rsid w:val="00F267E0"/>
    <w:rsid w:val="00F27189"/>
    <w:rsid w:val="00F349C6"/>
    <w:rsid w:val="00F37D4B"/>
    <w:rsid w:val="00F37FEE"/>
    <w:rsid w:val="00F443D7"/>
    <w:rsid w:val="00F46717"/>
    <w:rsid w:val="00F6097D"/>
    <w:rsid w:val="00F71990"/>
    <w:rsid w:val="00F77B6D"/>
    <w:rsid w:val="00F77BD9"/>
    <w:rsid w:val="00F816A9"/>
    <w:rsid w:val="00F83629"/>
    <w:rsid w:val="00F87B5D"/>
    <w:rsid w:val="00F97382"/>
    <w:rsid w:val="00FA03CA"/>
    <w:rsid w:val="00FA4DC9"/>
    <w:rsid w:val="00FB08ED"/>
    <w:rsid w:val="00FC16BC"/>
    <w:rsid w:val="00FC2DCE"/>
    <w:rsid w:val="00FC2EDB"/>
    <w:rsid w:val="00FD039C"/>
    <w:rsid w:val="00FF04BC"/>
    <w:rsid w:val="00FF13DA"/>
    <w:rsid w:val="00FF23F1"/>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contextualSpacing/>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54523556">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9869459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10697786">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66277415">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15451937">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RAN2101CN</b:Tag>
    <b:SourceType>ConferenceProceedings</b:SourceType>
    <b:Guid>{4F8C3C6A-E368-4536-8CBB-0DF5DE44D926}</b:Guid>
    <b:Title>RAN2#101, Chairman Notes</b:Title>
    <b:RefOrder>1</b:RefOrder>
  </b:Source>
</b:Sources>
</file>

<file path=customXml/itemProps1.xml><?xml version="1.0" encoding="utf-8"?>
<ds:datastoreItem xmlns:ds="http://schemas.openxmlformats.org/officeDocument/2006/customXml" ds:itemID="{6D06806D-42AB-488E-91C7-4779DD2ED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D69657C-909D-4954-AC96-438360CAA01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4.xml><?xml version="1.0" encoding="utf-8"?>
<ds:datastoreItem xmlns:ds="http://schemas.openxmlformats.org/officeDocument/2006/customXml" ds:itemID="{1184ECD3-12C4-44DC-911B-586859D24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2060</TotalTime>
  <Pages>1</Pages>
  <Words>1067</Words>
  <Characters>5371</Characters>
  <Application>Microsoft Office Word</Application>
  <DocSecurity>0</DocSecurity>
  <Lines>83</Lines>
  <Paragraphs>42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Ansab Ali</cp:lastModifiedBy>
  <cp:revision>235</cp:revision>
  <dcterms:created xsi:type="dcterms:W3CDTF">2017-08-12T02:26:00Z</dcterms:created>
  <dcterms:modified xsi:type="dcterms:W3CDTF">2018-04-06T02:19:00Z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08f9ee45-0c89-4297-b96f-04f24c7e39ee</vt:lpwstr>
  </property>
  <property fmtid="{D5CDD505-2E9C-101B-9397-08002B2CF9AE}" pid="4" name="CTP_BU">
    <vt:lpwstr>NA</vt:lpwstr>
  </property>
  <property fmtid="{D5CDD505-2E9C-101B-9397-08002B2CF9AE}" pid="5" name="CTP_TimeStamp">
    <vt:lpwstr>2018-04-06 02:19:37Z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