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AA9D4" w14:textId="5FFD0A88" w:rsidR="003848A3" w:rsidRPr="00EE6198" w:rsidRDefault="003848A3" w:rsidP="003848A3">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 101</w:t>
      </w:r>
      <w:r w:rsidR="004336D4">
        <w:rPr>
          <w:sz w:val="24"/>
          <w:lang w:val="en-GB" w:eastAsia="zh-CN"/>
        </w:rPr>
        <w:t>bis</w:t>
      </w:r>
      <w:r w:rsidRPr="00EE6198">
        <w:rPr>
          <w:sz w:val="24"/>
          <w:lang w:val="en-GB" w:eastAsia="zh-CN"/>
        </w:rPr>
        <w:tab/>
      </w:r>
      <w:r w:rsidR="00DD5B53" w:rsidRPr="00DD5B53">
        <w:rPr>
          <w:sz w:val="24"/>
          <w:lang w:val="en-GB" w:eastAsia="zh-CN"/>
        </w:rPr>
        <w:t>R2-1805543</w:t>
      </w:r>
      <w:bookmarkStart w:id="0" w:name="_GoBack"/>
      <w:bookmarkEnd w:id="0"/>
    </w:p>
    <w:p w14:paraId="16D5C317" w14:textId="65F6EA85" w:rsidR="009D5BAB" w:rsidRPr="009D56B1" w:rsidRDefault="004336D4" w:rsidP="003848A3">
      <w:pPr>
        <w:pStyle w:val="Header"/>
        <w:tabs>
          <w:tab w:val="right" w:pos="9639"/>
        </w:tabs>
        <w:rPr>
          <w:bCs/>
          <w:i/>
          <w:noProof w:val="0"/>
          <w:sz w:val="24"/>
        </w:rPr>
      </w:pPr>
      <w:r w:rsidRPr="004336D4">
        <w:rPr>
          <w:sz w:val="24"/>
          <w:lang w:eastAsia="zh-CN"/>
        </w:rPr>
        <w:t>Sanya, China, 16th April – 20th April 2018</w:t>
      </w:r>
      <w:r w:rsidR="009D5BAB"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61BCFB17"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DD28DD">
        <w:rPr>
          <w:rFonts w:eastAsia="SimSun" w:cs="Arial"/>
          <w:b/>
          <w:bCs/>
          <w:sz w:val="24"/>
          <w:lang w:val="en-US"/>
        </w:rPr>
        <w:t>9.10.2.</w:t>
      </w:r>
      <w:r w:rsidR="004336D4">
        <w:rPr>
          <w:rFonts w:eastAsia="SimSun" w:cs="Arial"/>
          <w:b/>
          <w:bCs/>
          <w:sz w:val="24"/>
          <w:lang w:val="en-US"/>
        </w:rPr>
        <w:t>1</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2C3DC226"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3455DB">
        <w:rPr>
          <w:rFonts w:ascii="Arial" w:hAnsi="Arial" w:cs="Arial"/>
          <w:b/>
          <w:bCs/>
          <w:sz w:val="24"/>
        </w:rPr>
        <w:t>On carrier selection for CA over PC5</w:t>
      </w:r>
    </w:p>
    <w:p w14:paraId="50A28E98" w14:textId="77777777"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 and Decision</w:t>
      </w:r>
    </w:p>
    <w:p w14:paraId="50A28E99" w14:textId="77777777" w:rsidR="008669B1" w:rsidRPr="00E0063E" w:rsidRDefault="008669B1" w:rsidP="000760CC">
      <w:pPr>
        <w:pStyle w:val="Tdoc"/>
      </w:pPr>
      <w:r w:rsidRPr="00E0063E">
        <w:t>Introduction</w:t>
      </w:r>
      <w:r w:rsidRPr="00E0063E">
        <w:rPr>
          <w:lang w:val="en-GB"/>
        </w:rPr>
        <w:t xml:space="preserve">  </w:t>
      </w:r>
    </w:p>
    <w:p w14:paraId="293B4BCA" w14:textId="74A0F3FA" w:rsidR="003455DB" w:rsidRDefault="003455DB" w:rsidP="007356BA">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t>We have a few unresolved issues and FFS from the last RAN2 meeting on the final details of carrier selection over sidelink, as in the set of agreements below</w:t>
      </w:r>
      <w:r w:rsidR="00E520CB">
        <w:rPr>
          <w:rFonts w:ascii="Times New Roman" w:hAnsi="Times New Roman"/>
          <w:sz w:val="20"/>
          <w:szCs w:val="20"/>
          <w:lang w:eastAsia="zh-CN"/>
        </w:rPr>
        <w:t xml:space="preserve"> </w:t>
      </w:r>
      <w:sdt>
        <w:sdtPr>
          <w:rPr>
            <w:rFonts w:ascii="Times New Roman" w:hAnsi="Times New Roman"/>
            <w:sz w:val="20"/>
            <w:szCs w:val="20"/>
            <w:lang w:eastAsia="zh-CN"/>
          </w:rPr>
          <w:id w:val="1063829789"/>
          <w:citation/>
        </w:sdtPr>
        <w:sdtEndPr/>
        <w:sdtContent>
          <w:r w:rsidR="00E520CB">
            <w:rPr>
              <w:rFonts w:ascii="Times New Roman" w:hAnsi="Times New Roman"/>
              <w:sz w:val="20"/>
              <w:szCs w:val="20"/>
              <w:lang w:eastAsia="zh-CN"/>
            </w:rPr>
            <w:fldChar w:fldCharType="begin"/>
          </w:r>
          <w:r w:rsidR="00E520CB">
            <w:rPr>
              <w:rFonts w:ascii="Times New Roman" w:hAnsi="Times New Roman"/>
              <w:sz w:val="20"/>
              <w:szCs w:val="20"/>
              <w:lang w:eastAsia="zh-CN"/>
            </w:rPr>
            <w:instrText xml:space="preserve"> CITATION RAN2101CN \l 1033 </w:instrText>
          </w:r>
          <w:r w:rsidR="00E520CB">
            <w:rPr>
              <w:rFonts w:ascii="Times New Roman" w:hAnsi="Times New Roman"/>
              <w:sz w:val="20"/>
              <w:szCs w:val="20"/>
              <w:lang w:eastAsia="zh-CN"/>
            </w:rPr>
            <w:fldChar w:fldCharType="separate"/>
          </w:r>
          <w:r w:rsidR="00CA694B" w:rsidRPr="00CA694B">
            <w:rPr>
              <w:rFonts w:ascii="Times New Roman" w:hAnsi="Times New Roman"/>
              <w:noProof/>
              <w:sz w:val="20"/>
              <w:szCs w:val="20"/>
              <w:lang w:eastAsia="zh-CN"/>
            </w:rPr>
            <w:t>[1]</w:t>
          </w:r>
          <w:r w:rsidR="00E520CB">
            <w:rPr>
              <w:rFonts w:ascii="Times New Roman" w:hAnsi="Times New Roman"/>
              <w:sz w:val="20"/>
              <w:szCs w:val="20"/>
              <w:lang w:eastAsia="zh-CN"/>
            </w:rPr>
            <w:fldChar w:fldCharType="end"/>
          </w:r>
        </w:sdtContent>
      </w:sdt>
      <w:r>
        <w:rPr>
          <w:rFonts w:ascii="Times New Roman" w:hAnsi="Times New Roman"/>
          <w:sz w:val="20"/>
          <w:szCs w:val="20"/>
          <w:lang w:eastAsia="zh-CN"/>
        </w:rPr>
        <w:t>:</w:t>
      </w:r>
    </w:p>
    <w:p w14:paraId="042CD22B" w14:textId="77777777" w:rsidR="003455DB" w:rsidRPr="00CA68CF" w:rsidRDefault="003455DB" w:rsidP="003455DB">
      <w:pPr>
        <w:pStyle w:val="Doc-text2"/>
        <w:pBdr>
          <w:top w:val="single" w:sz="4" w:space="1" w:color="auto"/>
          <w:left w:val="single" w:sz="4" w:space="4" w:color="auto"/>
          <w:bottom w:val="single" w:sz="4" w:space="1" w:color="auto"/>
          <w:right w:val="single" w:sz="4" w:space="4" w:color="auto"/>
        </w:pBdr>
        <w:ind w:left="1083"/>
      </w:pPr>
      <w:r w:rsidRPr="00CA68CF">
        <w:t>Agreements</w:t>
      </w:r>
    </w:p>
    <w:p w14:paraId="46877D7C" w14:textId="77777777" w:rsidR="003455DB" w:rsidRPr="00CA68CF" w:rsidRDefault="003455DB" w:rsidP="003455DB">
      <w:pPr>
        <w:pStyle w:val="Doc-text2"/>
        <w:pBdr>
          <w:top w:val="single" w:sz="4" w:space="1" w:color="auto"/>
          <w:left w:val="single" w:sz="4" w:space="4" w:color="auto"/>
          <w:bottom w:val="single" w:sz="4" w:space="1" w:color="auto"/>
          <w:right w:val="single" w:sz="4" w:space="4" w:color="auto"/>
        </w:pBdr>
        <w:ind w:left="1083"/>
      </w:pPr>
      <w:r w:rsidRPr="00CA68CF">
        <w:t>1: When UE performs Tx carrier selection using CBR and PPPP, Tx carrier selection based on a configuration of Rel-14 CBR-PPPP-TxConfigList is used as a baseline.</w:t>
      </w:r>
    </w:p>
    <w:p w14:paraId="56E5CAEC" w14:textId="77777777" w:rsidR="003455DB" w:rsidRPr="00CA68CF" w:rsidRDefault="003455DB" w:rsidP="003455DB">
      <w:pPr>
        <w:pStyle w:val="Doc-text2"/>
        <w:pBdr>
          <w:top w:val="single" w:sz="4" w:space="1" w:color="auto"/>
          <w:left w:val="single" w:sz="4" w:space="4" w:color="auto"/>
          <w:bottom w:val="single" w:sz="4" w:space="1" w:color="auto"/>
          <w:right w:val="single" w:sz="4" w:space="4" w:color="auto"/>
        </w:pBdr>
        <w:ind w:left="1083"/>
      </w:pPr>
      <w:r w:rsidRPr="00CA68CF">
        <w:t>2: Tx carrier selection based on (pre)configuration is performed in MAC layer. FFS on the need of LCP change.</w:t>
      </w:r>
    </w:p>
    <w:p w14:paraId="48A6A783" w14:textId="77777777" w:rsidR="003455DB" w:rsidRPr="00CA68CF" w:rsidRDefault="003455DB" w:rsidP="003455DB">
      <w:pPr>
        <w:pStyle w:val="Doc-text2"/>
        <w:pBdr>
          <w:top w:val="single" w:sz="4" w:space="1" w:color="auto"/>
          <w:left w:val="single" w:sz="4" w:space="4" w:color="auto"/>
          <w:bottom w:val="single" w:sz="4" w:space="1" w:color="auto"/>
          <w:right w:val="single" w:sz="4" w:space="4" w:color="auto"/>
        </w:pBdr>
        <w:ind w:left="1083"/>
      </w:pPr>
      <w:r w:rsidRPr="00CA68CF">
        <w:t>3: For Tx carrier selection, introduce new Rel-15 parameters on top of the Rel-14 CBR-PPPP-TxConfigList.</w:t>
      </w:r>
    </w:p>
    <w:p w14:paraId="3C751605" w14:textId="77777777" w:rsidR="003455DB" w:rsidRPr="00CA68CF" w:rsidRDefault="003455DB" w:rsidP="003455DB">
      <w:pPr>
        <w:pStyle w:val="Doc-text2"/>
        <w:pBdr>
          <w:top w:val="single" w:sz="4" w:space="1" w:color="auto"/>
          <w:left w:val="single" w:sz="4" w:space="4" w:color="auto"/>
          <w:bottom w:val="single" w:sz="4" w:space="1" w:color="auto"/>
          <w:right w:val="single" w:sz="4" w:space="4" w:color="auto"/>
        </w:pBdr>
        <w:ind w:left="1083"/>
      </w:pPr>
      <w:r w:rsidRPr="00CA68CF">
        <w:t xml:space="preserve">4: </w:t>
      </w:r>
      <w:r w:rsidRPr="00C241E8">
        <w:rPr>
          <w:highlight w:val="yellow"/>
          <w:lang w:val="en-US" w:eastAsia="ko-KR"/>
        </w:rPr>
        <w:t>FFS on how to select the final carrier(s) among the multiple candidate carriers in which the UE is capable to transmit. We will decide option out of two (i.e. based on CBR or leaving it to UE implementation) next meeting</w:t>
      </w:r>
      <w:r w:rsidRPr="00CA68CF">
        <w:rPr>
          <w:lang w:val="en-US" w:eastAsia="ko-KR"/>
        </w:rPr>
        <w:t>.</w:t>
      </w:r>
    </w:p>
    <w:p w14:paraId="77CE4A56" w14:textId="77777777" w:rsidR="003455DB" w:rsidRDefault="003455DB" w:rsidP="007356BA">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p>
    <w:p w14:paraId="0F30050A" w14:textId="12228C51" w:rsidR="000F54CA" w:rsidRDefault="003455DB" w:rsidP="007356BA">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t xml:space="preserve">In this contribution, we specifically look at the </w:t>
      </w:r>
      <w:r w:rsidR="009F203E">
        <w:rPr>
          <w:rFonts w:ascii="Times New Roman" w:hAnsi="Times New Roman"/>
          <w:sz w:val="20"/>
          <w:szCs w:val="20"/>
          <w:lang w:eastAsia="zh-CN"/>
        </w:rPr>
        <w:t xml:space="preserve">final FFS, i.e. how to select </w:t>
      </w:r>
      <w:r>
        <w:rPr>
          <w:rFonts w:ascii="Times New Roman" w:hAnsi="Times New Roman"/>
          <w:sz w:val="20"/>
          <w:szCs w:val="20"/>
          <w:lang w:eastAsia="zh-CN"/>
        </w:rPr>
        <w:t>final carrier after application of the selection criteria and present our view.</w:t>
      </w:r>
    </w:p>
    <w:p w14:paraId="5DCEF4FA" w14:textId="6451D6AD" w:rsidR="00555440" w:rsidRPr="001C137C" w:rsidRDefault="000760CC" w:rsidP="00555440">
      <w:pPr>
        <w:pStyle w:val="Tdoc"/>
      </w:pPr>
      <w:r>
        <w:t>Discussion</w:t>
      </w:r>
    </w:p>
    <w:p w14:paraId="0BB3C001" w14:textId="7DA6D482" w:rsidR="009F203E" w:rsidRDefault="007068BC" w:rsidP="007068BC">
      <w:pPr>
        <w:rPr>
          <w:rFonts w:ascii="Times New Roman" w:hAnsi="Times New Roman"/>
          <w:sz w:val="20"/>
        </w:rPr>
      </w:pPr>
      <w:r>
        <w:rPr>
          <w:rFonts w:ascii="Times New Roman" w:hAnsi="Times New Roman"/>
          <w:sz w:val="20"/>
        </w:rPr>
        <w:t>It was agreed in the last meeting that a new Rel-15 parameter would need to be defined in addition to the CBR-PPPP mapping table from Rel-15 for carrier selection. The main motivation was to allow or disallow specific carrier</w:t>
      </w:r>
      <w:r w:rsidR="00E520CB">
        <w:rPr>
          <w:rFonts w:ascii="Times New Roman" w:hAnsi="Times New Roman"/>
          <w:sz w:val="20"/>
        </w:rPr>
        <w:t>(s)</w:t>
      </w:r>
      <w:r>
        <w:rPr>
          <w:rFonts w:ascii="Times New Roman" w:hAnsi="Times New Roman"/>
          <w:sz w:val="20"/>
        </w:rPr>
        <w:t xml:space="preserve"> from selection with a greater </w:t>
      </w:r>
      <w:r w:rsidR="00E520CB">
        <w:rPr>
          <w:rFonts w:ascii="Times New Roman" w:hAnsi="Times New Roman"/>
          <w:sz w:val="20"/>
        </w:rPr>
        <w:t>flexibility than</w:t>
      </w:r>
      <w:r>
        <w:rPr>
          <w:rFonts w:ascii="Times New Roman" w:hAnsi="Times New Roman"/>
          <w:sz w:val="20"/>
        </w:rPr>
        <w:t xml:space="preserve"> what can be achieved by the mapping table (which was originally motivated for L1 parameter selection). We present our view on what the parameter should be in our companion contribution </w:t>
      </w:r>
      <w:sdt>
        <w:sdtPr>
          <w:rPr>
            <w:rFonts w:ascii="Times New Roman" w:hAnsi="Times New Roman"/>
            <w:sz w:val="20"/>
          </w:rPr>
          <w:id w:val="561988447"/>
          <w:citation/>
        </w:sdtPr>
        <w:sdtEndPr/>
        <w:sdtContent>
          <w:r w:rsidR="00E520CB">
            <w:rPr>
              <w:rFonts w:ascii="Times New Roman" w:hAnsi="Times New Roman"/>
              <w:sz w:val="20"/>
            </w:rPr>
            <w:fldChar w:fldCharType="begin"/>
          </w:r>
          <w:r w:rsidR="00E520CB">
            <w:rPr>
              <w:rFonts w:ascii="Times New Roman" w:hAnsi="Times New Roman"/>
              <w:sz w:val="20"/>
            </w:rPr>
            <w:instrText xml:space="preserve"> CITATION IntelRel15parameter \l 1033 </w:instrText>
          </w:r>
          <w:r w:rsidR="00E520CB">
            <w:rPr>
              <w:rFonts w:ascii="Times New Roman" w:hAnsi="Times New Roman"/>
              <w:sz w:val="20"/>
            </w:rPr>
            <w:fldChar w:fldCharType="separate"/>
          </w:r>
          <w:r w:rsidR="00CA694B" w:rsidRPr="00CA694B">
            <w:rPr>
              <w:rFonts w:ascii="Times New Roman" w:hAnsi="Times New Roman"/>
              <w:noProof/>
              <w:sz w:val="20"/>
            </w:rPr>
            <w:t>[2]</w:t>
          </w:r>
          <w:r w:rsidR="00E520CB">
            <w:rPr>
              <w:rFonts w:ascii="Times New Roman" w:hAnsi="Times New Roman"/>
              <w:sz w:val="20"/>
            </w:rPr>
            <w:fldChar w:fldCharType="end"/>
          </w:r>
        </w:sdtContent>
      </w:sdt>
      <w:r>
        <w:rPr>
          <w:rFonts w:ascii="Times New Roman" w:hAnsi="Times New Roman"/>
          <w:sz w:val="20"/>
        </w:rPr>
        <w:t xml:space="preserve">. Regardless, when the carrier selection using both the afore-mentioned factors has been performed and the UE ends up with more than a single carrier applicable for transmission, the question of which one to ultimately </w:t>
      </w:r>
      <w:r w:rsidR="0048351F">
        <w:rPr>
          <w:rFonts w:ascii="Times New Roman" w:hAnsi="Times New Roman"/>
          <w:sz w:val="20"/>
        </w:rPr>
        <w:t xml:space="preserve">choose for actual </w:t>
      </w:r>
      <w:r w:rsidR="002D549E">
        <w:rPr>
          <w:rFonts w:ascii="Times New Roman" w:hAnsi="Times New Roman"/>
          <w:sz w:val="20"/>
        </w:rPr>
        <w:t>transmissions</w:t>
      </w:r>
      <w:r>
        <w:rPr>
          <w:rFonts w:ascii="Times New Roman" w:hAnsi="Times New Roman"/>
          <w:sz w:val="20"/>
        </w:rPr>
        <w:t xml:space="preserve"> </w:t>
      </w:r>
      <w:r w:rsidR="0048351F">
        <w:rPr>
          <w:rFonts w:ascii="Times New Roman" w:hAnsi="Times New Roman"/>
          <w:sz w:val="20"/>
        </w:rPr>
        <w:t>manifests</w:t>
      </w:r>
      <w:r>
        <w:rPr>
          <w:rFonts w:ascii="Times New Roman" w:hAnsi="Times New Roman"/>
          <w:sz w:val="20"/>
        </w:rPr>
        <w:t>.</w:t>
      </w:r>
    </w:p>
    <w:p w14:paraId="5CC7AAD2" w14:textId="0E9A940D" w:rsidR="007068BC" w:rsidRDefault="004C1C03" w:rsidP="007068BC">
      <w:pPr>
        <w:rPr>
          <w:rFonts w:ascii="Times New Roman" w:hAnsi="Times New Roman"/>
          <w:sz w:val="20"/>
        </w:rPr>
      </w:pPr>
      <w:r>
        <w:rPr>
          <w:rFonts w:ascii="Times New Roman" w:hAnsi="Times New Roman"/>
          <w:sz w:val="20"/>
        </w:rPr>
        <w:t>From the two options captured in the chairman notes, it would be worth looking at the two options more closely. For the first case, i.e. choosing the carrier with lowest CBR, while it seems attractive in practice, there are a few aspects that need to further considered. Firstly</w:t>
      </w:r>
      <w:r w:rsidR="000D5D5A">
        <w:rPr>
          <w:rFonts w:ascii="Times New Roman" w:hAnsi="Times New Roman"/>
          <w:sz w:val="20"/>
        </w:rPr>
        <w:t>, the decision to always mandate</w:t>
      </w:r>
      <w:r>
        <w:rPr>
          <w:rFonts w:ascii="Times New Roman" w:hAnsi="Times New Roman"/>
          <w:sz w:val="20"/>
        </w:rPr>
        <w:t xml:space="preserve"> a UE to choose the lowest CBR carrier seems restrictive and leads to the potential issue of ping-pong between different carriers as discussed in </w:t>
      </w:r>
      <w:sdt>
        <w:sdtPr>
          <w:rPr>
            <w:rFonts w:ascii="Times New Roman" w:hAnsi="Times New Roman"/>
            <w:sz w:val="20"/>
          </w:rPr>
          <w:id w:val="1292020469"/>
          <w:citation/>
        </w:sdtPr>
        <w:sdtEndPr/>
        <w:sdtContent>
          <w:r w:rsidR="00E520CB">
            <w:rPr>
              <w:rFonts w:ascii="Times New Roman" w:hAnsi="Times New Roman"/>
              <w:sz w:val="20"/>
            </w:rPr>
            <w:fldChar w:fldCharType="begin"/>
          </w:r>
          <w:r w:rsidR="00E520CB">
            <w:rPr>
              <w:rFonts w:ascii="Times New Roman" w:hAnsi="Times New Roman"/>
              <w:sz w:val="20"/>
            </w:rPr>
            <w:instrText xml:space="preserve"> CITATION carrierReselectionQC \l 1033 </w:instrText>
          </w:r>
          <w:r w:rsidR="00E520CB">
            <w:rPr>
              <w:rFonts w:ascii="Times New Roman" w:hAnsi="Times New Roman"/>
              <w:sz w:val="20"/>
            </w:rPr>
            <w:fldChar w:fldCharType="separate"/>
          </w:r>
          <w:r w:rsidR="00CA694B" w:rsidRPr="00CA694B">
            <w:rPr>
              <w:rFonts w:ascii="Times New Roman" w:hAnsi="Times New Roman"/>
              <w:noProof/>
              <w:sz w:val="20"/>
            </w:rPr>
            <w:t>[3]</w:t>
          </w:r>
          <w:r w:rsidR="00E520CB">
            <w:rPr>
              <w:rFonts w:ascii="Times New Roman" w:hAnsi="Times New Roman"/>
              <w:sz w:val="20"/>
            </w:rPr>
            <w:fldChar w:fldCharType="end"/>
          </w:r>
        </w:sdtContent>
      </w:sdt>
      <w:r>
        <w:rPr>
          <w:rFonts w:ascii="Times New Roman" w:hAnsi="Times New Roman"/>
          <w:sz w:val="20"/>
        </w:rPr>
        <w:t xml:space="preserve">. Of course, some mechanism would need to be defined to counter that issue, leading to further standardization efforts. Moreover, choosing the lowest CBR carrier after pruning set of applicable carriers based on the configured Rel-15 criteria (i.e. CBR threshold) seems </w:t>
      </w:r>
      <w:r w:rsidR="000D5D5A">
        <w:rPr>
          <w:rFonts w:ascii="Times New Roman" w:hAnsi="Times New Roman"/>
          <w:sz w:val="20"/>
        </w:rPr>
        <w:t>somewhat of an over-</w:t>
      </w:r>
      <w:r>
        <w:rPr>
          <w:rFonts w:ascii="Times New Roman" w:hAnsi="Times New Roman"/>
          <w:sz w:val="20"/>
        </w:rPr>
        <w:t>optimization, especially since load balancing is not a primary objective of the WI explicitly (although we agree that it is desirable from a system standpoint). Finally, there is a potentially unresolved aspect f</w:t>
      </w:r>
      <w:r w:rsidR="000D5D5A">
        <w:rPr>
          <w:rFonts w:ascii="Times New Roman" w:hAnsi="Times New Roman"/>
          <w:sz w:val="20"/>
        </w:rPr>
        <w:t xml:space="preserve">rom RAN2#99bis, </w:t>
      </w:r>
      <w:r>
        <w:rPr>
          <w:rFonts w:ascii="Times New Roman" w:hAnsi="Times New Roman"/>
          <w:sz w:val="20"/>
        </w:rPr>
        <w:t>stating that other factors beyond CBR and PPPP are not excluded whe</w:t>
      </w:r>
      <w:r w:rsidR="000D5D5A">
        <w:rPr>
          <w:rFonts w:ascii="Times New Roman" w:hAnsi="Times New Roman"/>
          <w:sz w:val="20"/>
        </w:rPr>
        <w:t xml:space="preserve">n it comes to carrier selection </w:t>
      </w:r>
      <w:sdt>
        <w:sdtPr>
          <w:rPr>
            <w:rFonts w:ascii="Times New Roman" w:hAnsi="Times New Roman"/>
            <w:sz w:val="20"/>
          </w:rPr>
          <w:id w:val="-1855175043"/>
          <w:citation/>
        </w:sdtPr>
        <w:sdtEndPr/>
        <w:sdtContent>
          <w:r w:rsidR="00E520CB">
            <w:rPr>
              <w:rFonts w:ascii="Times New Roman" w:hAnsi="Times New Roman"/>
              <w:sz w:val="20"/>
            </w:rPr>
            <w:fldChar w:fldCharType="begin"/>
          </w:r>
          <w:r w:rsidR="00E520CB">
            <w:rPr>
              <w:rFonts w:ascii="Times New Roman" w:hAnsi="Times New Roman"/>
              <w:sz w:val="20"/>
            </w:rPr>
            <w:instrText xml:space="preserve"> CITATION RAN299bis \l 1033 </w:instrText>
          </w:r>
          <w:r w:rsidR="00E520CB">
            <w:rPr>
              <w:rFonts w:ascii="Times New Roman" w:hAnsi="Times New Roman"/>
              <w:sz w:val="20"/>
            </w:rPr>
            <w:fldChar w:fldCharType="separate"/>
          </w:r>
          <w:r w:rsidR="00CA694B" w:rsidRPr="00CA694B">
            <w:rPr>
              <w:rFonts w:ascii="Times New Roman" w:hAnsi="Times New Roman"/>
              <w:noProof/>
              <w:sz w:val="20"/>
            </w:rPr>
            <w:t>[4]</w:t>
          </w:r>
          <w:r w:rsidR="00E520CB">
            <w:rPr>
              <w:rFonts w:ascii="Times New Roman" w:hAnsi="Times New Roman"/>
              <w:sz w:val="20"/>
            </w:rPr>
            <w:fldChar w:fldCharType="end"/>
          </w:r>
        </w:sdtContent>
      </w:sdt>
      <w:r w:rsidR="00E520CB">
        <w:rPr>
          <w:rFonts w:ascii="Times New Roman" w:hAnsi="Times New Roman"/>
          <w:sz w:val="20"/>
        </w:rPr>
        <w:t>:</w:t>
      </w:r>
    </w:p>
    <w:p w14:paraId="75510531" w14:textId="77777777" w:rsidR="004C1C03" w:rsidRDefault="004C1C03" w:rsidP="004C1C03">
      <w:pPr>
        <w:pStyle w:val="Doc-text2"/>
        <w:pBdr>
          <w:top w:val="single" w:sz="4" w:space="1" w:color="auto"/>
          <w:left w:val="single" w:sz="4" w:space="4" w:color="auto"/>
          <w:bottom w:val="single" w:sz="4" w:space="1" w:color="auto"/>
          <w:right w:val="single" w:sz="4" w:space="4" w:color="auto"/>
        </w:pBdr>
        <w:ind w:left="1083"/>
      </w:pPr>
      <w:r>
        <w:t>Agreements:</w:t>
      </w:r>
    </w:p>
    <w:p w14:paraId="404111EE" w14:textId="77777777" w:rsidR="004C1C03" w:rsidRDefault="004C1C03" w:rsidP="004C1C03">
      <w:pPr>
        <w:pStyle w:val="Doc-text2"/>
        <w:pBdr>
          <w:top w:val="single" w:sz="4" w:space="1" w:color="auto"/>
          <w:left w:val="single" w:sz="4" w:space="4" w:color="auto"/>
          <w:bottom w:val="single" w:sz="4" w:space="1" w:color="auto"/>
          <w:right w:val="single" w:sz="4" w:space="4" w:color="auto"/>
        </w:pBdr>
        <w:ind w:left="720" w:firstLine="0"/>
      </w:pPr>
      <w:r>
        <w:t>1: CBR should be considered for the UEs’ Tx carrier selection in PC5 CA from RAN2 perspective.</w:t>
      </w:r>
    </w:p>
    <w:p w14:paraId="1B599BDF" w14:textId="77777777" w:rsidR="004C1C03" w:rsidRDefault="004C1C03" w:rsidP="004C1C03">
      <w:pPr>
        <w:pStyle w:val="Doc-text2"/>
        <w:pBdr>
          <w:top w:val="single" w:sz="4" w:space="1" w:color="auto"/>
          <w:left w:val="single" w:sz="4" w:space="4" w:color="auto"/>
          <w:bottom w:val="single" w:sz="4" w:space="1" w:color="auto"/>
          <w:right w:val="single" w:sz="4" w:space="4" w:color="auto"/>
        </w:pBdr>
        <w:ind w:left="1083"/>
      </w:pPr>
      <w:r>
        <w:t xml:space="preserve">2: Priority indicated by PPPP should be considered for the UE’s Tx carrier selection in PC5 CA from RAN2 perspective. </w:t>
      </w:r>
      <w:r w:rsidRPr="0017098D">
        <w:rPr>
          <w:highlight w:val="yellow"/>
        </w:rPr>
        <w:t>Not closed for other factors</w:t>
      </w:r>
      <w:r>
        <w:t>.</w:t>
      </w:r>
    </w:p>
    <w:p w14:paraId="57BD8DA1" w14:textId="77777777" w:rsidR="004C1C03" w:rsidRDefault="004C1C03" w:rsidP="004C1C03">
      <w:pPr>
        <w:pStyle w:val="Doc-text2"/>
        <w:pBdr>
          <w:top w:val="single" w:sz="4" w:space="1" w:color="auto"/>
          <w:left w:val="single" w:sz="4" w:space="4" w:color="auto"/>
          <w:bottom w:val="single" w:sz="4" w:space="1" w:color="auto"/>
          <w:right w:val="single" w:sz="4" w:space="4" w:color="auto"/>
        </w:pBdr>
        <w:ind w:left="1083"/>
      </w:pPr>
      <w:r>
        <w:t>3: AS is aware of candidate V2X frequencies for V2X packet transmissions, which configured by upper layers (Same as Rel-14). FFS on the additional need in Rel-15.</w:t>
      </w:r>
    </w:p>
    <w:p w14:paraId="1DEF4E9B" w14:textId="77777777" w:rsidR="004C1C03" w:rsidRDefault="004C1C03" w:rsidP="004C1C03">
      <w:pPr>
        <w:pStyle w:val="Doc-text2"/>
        <w:pBdr>
          <w:top w:val="single" w:sz="4" w:space="1" w:color="auto"/>
          <w:left w:val="single" w:sz="4" w:space="4" w:color="auto"/>
          <w:bottom w:val="single" w:sz="4" w:space="1" w:color="auto"/>
          <w:right w:val="single" w:sz="4" w:space="4" w:color="auto"/>
        </w:pBdr>
        <w:ind w:left="1083"/>
      </w:pPr>
      <w:r>
        <w:t>4: UE capability on PC5 CA should be considered for the UE’s Tx carrier selection from RAN2 perspective. However no additional specification impacts are foreseen at the moment.</w:t>
      </w:r>
    </w:p>
    <w:p w14:paraId="00A7401E" w14:textId="77777777" w:rsidR="004C1C03" w:rsidRDefault="004C1C03" w:rsidP="004C1C03">
      <w:pPr>
        <w:pStyle w:val="Doc-text2"/>
        <w:pBdr>
          <w:top w:val="single" w:sz="4" w:space="1" w:color="auto"/>
          <w:left w:val="single" w:sz="4" w:space="4" w:color="auto"/>
          <w:bottom w:val="single" w:sz="4" w:space="1" w:color="auto"/>
          <w:right w:val="single" w:sz="4" w:space="4" w:color="auto"/>
        </w:pBdr>
        <w:ind w:left="1083"/>
      </w:pPr>
      <w:r>
        <w:t>5: Configuration/Preconfiguration of PC5 carriers (at least one candidate set of PC5 CC) for the UE’s Tx carrier selection (like Rel-14). FFS if further standard changes (including UE behaviors) are needed for Rel-15 eV2X.</w:t>
      </w:r>
    </w:p>
    <w:p w14:paraId="2B536E08" w14:textId="77777777" w:rsidR="004C1C03" w:rsidRDefault="004C1C03" w:rsidP="004C1C03">
      <w:pPr>
        <w:pStyle w:val="Doc-text2"/>
        <w:pBdr>
          <w:top w:val="single" w:sz="4" w:space="1" w:color="auto"/>
          <w:left w:val="single" w:sz="4" w:space="4" w:color="auto"/>
          <w:bottom w:val="single" w:sz="4" w:space="1" w:color="auto"/>
          <w:right w:val="single" w:sz="4" w:space="4" w:color="auto"/>
        </w:pBdr>
        <w:ind w:left="1083"/>
      </w:pPr>
      <w:r>
        <w:t>6: From RAN2 point of view we do NOT need a PCC and SCC.</w:t>
      </w:r>
    </w:p>
    <w:p w14:paraId="3AB0E60D" w14:textId="77777777" w:rsidR="004C1C03" w:rsidRDefault="004C1C03" w:rsidP="004C1C03">
      <w:pPr>
        <w:pStyle w:val="Doc-text2"/>
        <w:pBdr>
          <w:top w:val="single" w:sz="4" w:space="1" w:color="auto"/>
          <w:left w:val="single" w:sz="4" w:space="4" w:color="auto"/>
          <w:bottom w:val="single" w:sz="4" w:space="1" w:color="auto"/>
          <w:right w:val="single" w:sz="4" w:space="4" w:color="auto"/>
        </w:pBdr>
        <w:ind w:left="1083"/>
      </w:pPr>
      <w:r>
        <w:t>7: No need of activation/deactivation mechanism for carriers.</w:t>
      </w:r>
    </w:p>
    <w:p w14:paraId="2F764818" w14:textId="77777777" w:rsidR="004C1C03" w:rsidRPr="00B57C94" w:rsidRDefault="004C1C03" w:rsidP="004C1C03">
      <w:pPr>
        <w:pStyle w:val="Doc-text2"/>
        <w:pBdr>
          <w:top w:val="single" w:sz="4" w:space="1" w:color="auto"/>
          <w:left w:val="single" w:sz="4" w:space="4" w:color="auto"/>
          <w:bottom w:val="single" w:sz="4" w:space="1" w:color="auto"/>
          <w:right w:val="single" w:sz="4" w:space="4" w:color="auto"/>
        </w:pBdr>
        <w:ind w:left="1083"/>
      </w:pPr>
      <w:r>
        <w:t>8: FFS on how to handle Rx limited V2X UE.</w:t>
      </w:r>
    </w:p>
    <w:p w14:paraId="6681BB01" w14:textId="77777777" w:rsidR="004C1C03" w:rsidRPr="007068BC" w:rsidRDefault="004C1C03" w:rsidP="007068BC">
      <w:pPr>
        <w:rPr>
          <w:rFonts w:ascii="Times New Roman" w:hAnsi="Times New Roman"/>
          <w:sz w:val="20"/>
        </w:rPr>
      </w:pPr>
    </w:p>
    <w:p w14:paraId="20CAE84A" w14:textId="5B2E74D6" w:rsidR="0017098D" w:rsidRDefault="0017098D" w:rsidP="00AE0A3D">
      <w:pPr>
        <w:rPr>
          <w:rFonts w:ascii="Times New Roman" w:hAnsi="Times New Roman"/>
          <w:sz w:val="20"/>
        </w:rPr>
      </w:pPr>
      <w:r>
        <w:rPr>
          <w:rFonts w:ascii="Times New Roman" w:hAnsi="Times New Roman"/>
          <w:sz w:val="20"/>
        </w:rPr>
        <w:t xml:space="preserve">While the overall carrier selection design </w:t>
      </w:r>
      <w:r w:rsidR="00D6447A">
        <w:rPr>
          <w:rFonts w:ascii="Times New Roman" w:hAnsi="Times New Roman"/>
          <w:sz w:val="20"/>
        </w:rPr>
        <w:t xml:space="preserve">definitely </w:t>
      </w:r>
      <w:r>
        <w:rPr>
          <w:rFonts w:ascii="Times New Roman" w:hAnsi="Times New Roman"/>
          <w:sz w:val="20"/>
        </w:rPr>
        <w:t xml:space="preserve">matured in the subsequent two meetings, it was never explicitly discussed or agreed whether any other factors besides CBR and PPPP need to be considered. </w:t>
      </w:r>
      <w:r w:rsidR="00E520CB">
        <w:rPr>
          <w:rFonts w:ascii="Times New Roman" w:hAnsi="Times New Roman"/>
          <w:sz w:val="20"/>
        </w:rPr>
        <w:t>So, it would be good to clarify this aspect in RAN2.</w:t>
      </w:r>
    </w:p>
    <w:p w14:paraId="421DF24F" w14:textId="216AA364" w:rsidR="0017098D" w:rsidRDefault="0017098D" w:rsidP="00AE0A3D">
      <w:pPr>
        <w:rPr>
          <w:rFonts w:ascii="Times New Roman" w:hAnsi="Times New Roman"/>
          <w:sz w:val="20"/>
        </w:rPr>
      </w:pPr>
      <w:r>
        <w:rPr>
          <w:rFonts w:ascii="Times New Roman" w:hAnsi="Times New Roman"/>
          <w:sz w:val="20"/>
        </w:rPr>
        <w:t xml:space="preserve">The second option, i.e. leaving the decision of carrier selection up to UE implementation deals with some of these issues </w:t>
      </w:r>
      <w:r w:rsidR="000D5D5A">
        <w:rPr>
          <w:rFonts w:ascii="Times New Roman" w:hAnsi="Times New Roman"/>
          <w:sz w:val="20"/>
        </w:rPr>
        <w:t>a little</w:t>
      </w:r>
      <w:r>
        <w:rPr>
          <w:rFonts w:ascii="Times New Roman" w:hAnsi="Times New Roman"/>
          <w:sz w:val="20"/>
        </w:rPr>
        <w:t xml:space="preserve"> differently. For instance, the ping pong issue as discussed above, while </w:t>
      </w:r>
      <w:r w:rsidR="000D5D5A">
        <w:rPr>
          <w:rFonts w:ascii="Times New Roman" w:hAnsi="Times New Roman"/>
          <w:sz w:val="20"/>
        </w:rPr>
        <w:t xml:space="preserve">still </w:t>
      </w:r>
      <w:r>
        <w:rPr>
          <w:rFonts w:ascii="Times New Roman" w:hAnsi="Times New Roman"/>
          <w:sz w:val="20"/>
        </w:rPr>
        <w:t>present, would not require specification effort</w:t>
      </w:r>
      <w:r w:rsidR="00E520CB">
        <w:rPr>
          <w:rFonts w:ascii="Times New Roman" w:hAnsi="Times New Roman"/>
          <w:sz w:val="20"/>
        </w:rPr>
        <w:t>s and can simply b</w:t>
      </w:r>
      <w:r>
        <w:rPr>
          <w:rFonts w:ascii="Times New Roman" w:hAnsi="Times New Roman"/>
          <w:sz w:val="20"/>
        </w:rPr>
        <w:t xml:space="preserve">e left to the UE implementation to handle, as long it follows the CBR threshold criteria when selecting carrier. Additionally, any other factors not explicitly captured in RAN2 can also be captured in this way by letting the UE implementation decide on which carrier it needs to select at any given time. The main issue with this option however is that no load balancing is provided as the UE might have an affinity for a certain carrier, leading to a greater load on that carrier. </w:t>
      </w:r>
    </w:p>
    <w:p w14:paraId="1AEB8166" w14:textId="0C190DCB" w:rsidR="0017098D" w:rsidRDefault="0017098D" w:rsidP="00AE0A3D">
      <w:pPr>
        <w:rPr>
          <w:rFonts w:ascii="Times New Roman" w:hAnsi="Times New Roman"/>
          <w:sz w:val="20"/>
        </w:rPr>
      </w:pPr>
      <w:r>
        <w:rPr>
          <w:rFonts w:ascii="Times New Roman" w:hAnsi="Times New Roman"/>
          <w:sz w:val="20"/>
        </w:rPr>
        <w:t xml:space="preserve">In summary, we think that the first option can be supported if </w:t>
      </w:r>
      <w:r w:rsidR="000D5D5A">
        <w:rPr>
          <w:rFonts w:ascii="Times New Roman" w:hAnsi="Times New Roman"/>
          <w:sz w:val="20"/>
        </w:rPr>
        <w:t xml:space="preserve">it is agreed that </w:t>
      </w:r>
      <w:r>
        <w:rPr>
          <w:rFonts w:ascii="Times New Roman" w:hAnsi="Times New Roman"/>
          <w:sz w:val="20"/>
        </w:rPr>
        <w:t xml:space="preserve">load balancing is a main goal of this exercise, i.e. the UE always strives to select the lowest CBR carrier and additional restrictions (e.g. hysteresis, timer based) are placed to avoid frequent switching. </w:t>
      </w:r>
      <w:r w:rsidR="000D5D5A">
        <w:rPr>
          <w:rFonts w:ascii="Times New Roman" w:hAnsi="Times New Roman"/>
          <w:sz w:val="20"/>
        </w:rPr>
        <w:t>Moreover</w:t>
      </w:r>
      <w:r>
        <w:rPr>
          <w:rFonts w:ascii="Times New Roman" w:hAnsi="Times New Roman"/>
          <w:sz w:val="20"/>
        </w:rPr>
        <w:t>, it would be helpful to explicitly clarify in RAN2 that no other factors beyond CBR, PPPP (and PPPR for when duplication is enabled) are considered in the overall carrier selection procedure for Rel-15.</w:t>
      </w:r>
      <w:r w:rsidR="000D5D5A">
        <w:rPr>
          <w:rFonts w:ascii="Times New Roman" w:hAnsi="Times New Roman"/>
          <w:sz w:val="20"/>
        </w:rPr>
        <w:t xml:space="preserve"> Once it is clarified, choosing the </w:t>
      </w:r>
      <w:r w:rsidR="00462C79">
        <w:rPr>
          <w:rFonts w:ascii="Times New Roman" w:hAnsi="Times New Roman"/>
          <w:sz w:val="20"/>
        </w:rPr>
        <w:t xml:space="preserve">final </w:t>
      </w:r>
      <w:r w:rsidR="000D5D5A">
        <w:rPr>
          <w:rFonts w:ascii="Times New Roman" w:hAnsi="Times New Roman"/>
          <w:sz w:val="20"/>
        </w:rPr>
        <w:t xml:space="preserve">carrier based on CBR seems more </w:t>
      </w:r>
      <w:r w:rsidR="00A50EB6">
        <w:rPr>
          <w:rFonts w:ascii="Times New Roman" w:hAnsi="Times New Roman"/>
          <w:sz w:val="20"/>
        </w:rPr>
        <w:t xml:space="preserve">clearly motivated and </w:t>
      </w:r>
      <w:r w:rsidR="000D5D5A">
        <w:rPr>
          <w:rFonts w:ascii="Times New Roman" w:hAnsi="Times New Roman"/>
          <w:sz w:val="20"/>
        </w:rPr>
        <w:t>agreeable.</w:t>
      </w:r>
    </w:p>
    <w:p w14:paraId="18F1684C" w14:textId="145C433B" w:rsidR="007F5C58" w:rsidRDefault="007F5C58" w:rsidP="007F5C58">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17098D">
        <w:rPr>
          <w:rFonts w:ascii="Times New Roman" w:eastAsia="Times New Roman" w:hAnsi="Times New Roman"/>
          <w:b/>
          <w:bCs/>
          <w:sz w:val="20"/>
          <w:szCs w:val="20"/>
          <w:u w:val="single"/>
          <w:lang w:val="en-GB" w:eastAsia="zh-CN"/>
        </w:rPr>
        <w:t xml:space="preserve">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17098D">
        <w:rPr>
          <w:rFonts w:ascii="Times New Roman" w:eastAsia="Times New Roman" w:hAnsi="Times New Roman"/>
          <w:bCs/>
          <w:i/>
          <w:sz w:val="20"/>
          <w:szCs w:val="20"/>
          <w:lang w:val="en-GB" w:eastAsia="zh-CN"/>
        </w:rPr>
        <w:t>RAN2 should confirm that no other factors beyond CBR, PPPP (and PPPR if duplication is configured/activated) should be considered for carrier selection procedure for Rel-15 V2X</w:t>
      </w:r>
      <w:r w:rsidR="00F200DB">
        <w:rPr>
          <w:rFonts w:ascii="Times New Roman" w:eastAsia="Times New Roman" w:hAnsi="Times New Roman"/>
          <w:bCs/>
          <w:i/>
          <w:sz w:val="20"/>
          <w:szCs w:val="20"/>
          <w:lang w:val="en-GB" w:eastAsia="zh-CN"/>
        </w:rPr>
        <w:t>.</w:t>
      </w:r>
    </w:p>
    <w:p w14:paraId="328BEC1A" w14:textId="36DC5B75" w:rsidR="0017098D" w:rsidRPr="007F5C58" w:rsidRDefault="0017098D" w:rsidP="0017098D">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If the above is agreeable, </w:t>
      </w:r>
      <w:r w:rsidRPr="0017098D">
        <w:rPr>
          <w:rFonts w:ascii="Times New Roman" w:eastAsia="Times New Roman" w:hAnsi="Times New Roman"/>
          <w:bCs/>
          <w:i/>
          <w:sz w:val="20"/>
          <w:szCs w:val="20"/>
          <w:lang w:val="en-GB" w:eastAsia="zh-CN"/>
        </w:rPr>
        <w:t xml:space="preserve">how to select the final carrier(s) among the multiple candidate carriers in which the UE is capable to </w:t>
      </w:r>
      <w:r>
        <w:rPr>
          <w:rFonts w:ascii="Times New Roman" w:eastAsia="Times New Roman" w:hAnsi="Times New Roman"/>
          <w:bCs/>
          <w:i/>
          <w:sz w:val="20"/>
          <w:szCs w:val="20"/>
          <w:lang w:val="en-GB" w:eastAsia="zh-CN"/>
        </w:rPr>
        <w:t>transmit is based on CBR (i.e. choose one with the lowest measured CBR).</w:t>
      </w:r>
    </w:p>
    <w:p w14:paraId="50A28EC3" w14:textId="77777777" w:rsidR="008669B1" w:rsidRPr="00E0063E" w:rsidRDefault="008669B1" w:rsidP="008669B1">
      <w:pPr>
        <w:pStyle w:val="Tdoc"/>
      </w:pPr>
      <w:r w:rsidRPr="00E0063E">
        <w:t>Conclusion</w:t>
      </w:r>
    </w:p>
    <w:p w14:paraId="50A28EC4" w14:textId="6FFE4B6D"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w:t>
      </w:r>
      <w:r w:rsidR="000D5D5A">
        <w:rPr>
          <w:rFonts w:ascii="Times New Roman" w:eastAsia="Times New Roman" w:hAnsi="Times New Roman"/>
          <w:bCs/>
          <w:sz w:val="20"/>
          <w:szCs w:val="20"/>
          <w:lang w:val="en-GB" w:eastAsia="zh-CN"/>
        </w:rPr>
        <w:t>discusses details of carrier selection over PC5</w:t>
      </w:r>
      <w:r w:rsidR="00150169">
        <w:rPr>
          <w:rFonts w:ascii="Times New Roman" w:eastAsia="Times New Roman" w:hAnsi="Times New Roman"/>
          <w:bCs/>
          <w:sz w:val="20"/>
          <w:szCs w:val="20"/>
          <w:lang w:val="en-GB" w:eastAsia="zh-CN"/>
        </w:rPr>
        <w:t xml:space="preserve"> and makes the following proposal</w:t>
      </w:r>
      <w:r w:rsidR="000D5D5A">
        <w:rPr>
          <w:rFonts w:ascii="Times New Roman" w:eastAsia="Times New Roman" w:hAnsi="Times New Roman"/>
          <w:bCs/>
          <w:sz w:val="20"/>
          <w:szCs w:val="20"/>
          <w:lang w:val="en-GB" w:eastAsia="zh-CN"/>
        </w:rPr>
        <w:t>s</w:t>
      </w:r>
      <w:r w:rsidR="00777344">
        <w:rPr>
          <w:rFonts w:ascii="Times New Roman" w:eastAsia="Times New Roman" w:hAnsi="Times New Roman"/>
          <w:bCs/>
          <w:sz w:val="20"/>
          <w:szCs w:val="20"/>
          <w:lang w:val="en-GB" w:eastAsia="zh-CN"/>
        </w:rPr>
        <w:t>:</w:t>
      </w:r>
    </w:p>
    <w:p w14:paraId="68A44724" w14:textId="77777777" w:rsidR="000D5D5A" w:rsidRDefault="000D5D5A" w:rsidP="000D5D5A">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should confirm that no other factors beyond CBR, PPPP (and PPPR if duplication is configured/activated) should be considered for carrier selection procedure for Rel-15 V2X.</w:t>
      </w:r>
    </w:p>
    <w:p w14:paraId="014A1B28" w14:textId="77777777" w:rsidR="000D5D5A" w:rsidRPr="007F5C58" w:rsidRDefault="000D5D5A" w:rsidP="000D5D5A">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If the above is agreeable, </w:t>
      </w:r>
      <w:r w:rsidRPr="0017098D">
        <w:rPr>
          <w:rFonts w:ascii="Times New Roman" w:eastAsia="Times New Roman" w:hAnsi="Times New Roman"/>
          <w:bCs/>
          <w:i/>
          <w:sz w:val="20"/>
          <w:szCs w:val="20"/>
          <w:lang w:val="en-GB" w:eastAsia="zh-CN"/>
        </w:rPr>
        <w:t xml:space="preserve">how to select the final carrier(s) among the multiple candidate carriers in which the UE is capable to </w:t>
      </w:r>
      <w:r>
        <w:rPr>
          <w:rFonts w:ascii="Times New Roman" w:eastAsia="Times New Roman" w:hAnsi="Times New Roman"/>
          <w:bCs/>
          <w:i/>
          <w:sz w:val="20"/>
          <w:szCs w:val="20"/>
          <w:lang w:val="en-GB" w:eastAsia="zh-CN"/>
        </w:rPr>
        <w:t>transmit is based on CBR (i.e. choose one with the lowest measured CBR).</w:t>
      </w:r>
    </w:p>
    <w:sdt>
      <w:sdtPr>
        <w:rPr>
          <w:rFonts w:ascii="Calibri" w:eastAsia="SimSun" w:hAnsi="Calibri"/>
          <w:noProof w:val="0"/>
          <w:sz w:val="22"/>
          <w:szCs w:val="22"/>
          <w:lang w:eastAsia="en-US"/>
        </w:rPr>
        <w:id w:val="-916171089"/>
        <w:docPartObj>
          <w:docPartGallery w:val="Bibliographies"/>
          <w:docPartUnique/>
        </w:docPartObj>
      </w:sdtPr>
      <w:sdtEndPr/>
      <w:sdtContent>
        <w:p w14:paraId="5084A6A2" w14:textId="5C55DAA9" w:rsidR="003379D6" w:rsidRDefault="003379D6" w:rsidP="003379D6">
          <w:pPr>
            <w:pStyle w:val="Tdoc"/>
          </w:pPr>
          <w:r>
            <w:t>References</w:t>
          </w:r>
        </w:p>
        <w:sdt>
          <w:sdtPr>
            <w:id w:val="-573587230"/>
            <w:bibliography/>
          </w:sdtPr>
          <w:sdtEndPr/>
          <w:sdtContent>
            <w:p w14:paraId="7E4C153E" w14:textId="77777777" w:rsidR="00CA694B" w:rsidRDefault="003379D6">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CA694B" w14:paraId="2B7D28F6" w14:textId="77777777">
                <w:trPr>
                  <w:divId w:val="199443720"/>
                  <w:tblCellSpacing w:w="15" w:type="dxa"/>
                </w:trPr>
                <w:tc>
                  <w:tcPr>
                    <w:tcW w:w="50" w:type="pct"/>
                    <w:hideMark/>
                  </w:tcPr>
                  <w:p w14:paraId="6FEFE8FE" w14:textId="77777777" w:rsidR="00CA694B" w:rsidRDefault="00CA694B">
                    <w:pPr>
                      <w:pStyle w:val="Bibliography"/>
                      <w:rPr>
                        <w:noProof/>
                        <w:sz w:val="24"/>
                        <w:szCs w:val="24"/>
                      </w:rPr>
                    </w:pPr>
                    <w:r>
                      <w:rPr>
                        <w:noProof/>
                      </w:rPr>
                      <w:t xml:space="preserve">[1] </w:t>
                    </w:r>
                  </w:p>
                </w:tc>
                <w:tc>
                  <w:tcPr>
                    <w:tcW w:w="0" w:type="auto"/>
                    <w:hideMark/>
                  </w:tcPr>
                  <w:p w14:paraId="61CA5DCB" w14:textId="77777777" w:rsidR="00CA694B" w:rsidRDefault="00CA694B">
                    <w:pPr>
                      <w:pStyle w:val="Bibliography"/>
                      <w:rPr>
                        <w:noProof/>
                      </w:rPr>
                    </w:pPr>
                    <w:r>
                      <w:rPr>
                        <w:noProof/>
                      </w:rPr>
                      <w:t xml:space="preserve">"RAN2#101, Chairman Notes". </w:t>
                    </w:r>
                  </w:p>
                </w:tc>
              </w:tr>
              <w:tr w:rsidR="00CA694B" w14:paraId="7993FBFA" w14:textId="77777777">
                <w:trPr>
                  <w:divId w:val="199443720"/>
                  <w:tblCellSpacing w:w="15" w:type="dxa"/>
                </w:trPr>
                <w:tc>
                  <w:tcPr>
                    <w:tcW w:w="50" w:type="pct"/>
                    <w:hideMark/>
                  </w:tcPr>
                  <w:p w14:paraId="7B9934A3" w14:textId="77777777" w:rsidR="00CA694B" w:rsidRDefault="00CA694B">
                    <w:pPr>
                      <w:pStyle w:val="Bibliography"/>
                      <w:rPr>
                        <w:noProof/>
                      </w:rPr>
                    </w:pPr>
                    <w:r>
                      <w:rPr>
                        <w:noProof/>
                      </w:rPr>
                      <w:t xml:space="preserve">[2] </w:t>
                    </w:r>
                  </w:p>
                </w:tc>
                <w:tc>
                  <w:tcPr>
                    <w:tcW w:w="0" w:type="auto"/>
                    <w:hideMark/>
                  </w:tcPr>
                  <w:p w14:paraId="3F855829" w14:textId="77777777" w:rsidR="00CA694B" w:rsidRDefault="00CA694B">
                    <w:pPr>
                      <w:pStyle w:val="Bibliography"/>
                      <w:rPr>
                        <w:noProof/>
                      </w:rPr>
                    </w:pPr>
                    <w:r>
                      <w:rPr>
                        <w:noProof/>
                      </w:rPr>
                      <w:t xml:space="preserve">"R2-180xxxx, On additional parameter for carrier selection over PC5, Intel Corporation". </w:t>
                    </w:r>
                  </w:p>
                </w:tc>
              </w:tr>
              <w:tr w:rsidR="00CA694B" w14:paraId="62A5DB77" w14:textId="77777777">
                <w:trPr>
                  <w:divId w:val="199443720"/>
                  <w:tblCellSpacing w:w="15" w:type="dxa"/>
                </w:trPr>
                <w:tc>
                  <w:tcPr>
                    <w:tcW w:w="50" w:type="pct"/>
                    <w:hideMark/>
                  </w:tcPr>
                  <w:p w14:paraId="3D3692EB" w14:textId="77777777" w:rsidR="00CA694B" w:rsidRDefault="00CA694B">
                    <w:pPr>
                      <w:pStyle w:val="Bibliography"/>
                      <w:rPr>
                        <w:noProof/>
                      </w:rPr>
                    </w:pPr>
                    <w:r>
                      <w:rPr>
                        <w:noProof/>
                      </w:rPr>
                      <w:t xml:space="preserve">[3] </w:t>
                    </w:r>
                  </w:p>
                </w:tc>
                <w:tc>
                  <w:tcPr>
                    <w:tcW w:w="0" w:type="auto"/>
                    <w:hideMark/>
                  </w:tcPr>
                  <w:p w14:paraId="71AF06D4" w14:textId="77777777" w:rsidR="00CA694B" w:rsidRDefault="00CA694B">
                    <w:pPr>
                      <w:pStyle w:val="Bibliography"/>
                      <w:rPr>
                        <w:noProof/>
                      </w:rPr>
                    </w:pPr>
                    <w:r>
                      <w:rPr>
                        <w:noProof/>
                      </w:rPr>
                      <w:t xml:space="preserve">"R2-180xxx, Summary of [101#75][eV2x] Additional carrier reselection triggering, Qualcomm". </w:t>
                    </w:r>
                  </w:p>
                </w:tc>
              </w:tr>
              <w:tr w:rsidR="00CA694B" w14:paraId="47A43F33" w14:textId="77777777">
                <w:trPr>
                  <w:divId w:val="199443720"/>
                  <w:tblCellSpacing w:w="15" w:type="dxa"/>
                </w:trPr>
                <w:tc>
                  <w:tcPr>
                    <w:tcW w:w="50" w:type="pct"/>
                    <w:hideMark/>
                  </w:tcPr>
                  <w:p w14:paraId="0FE1462A" w14:textId="77777777" w:rsidR="00CA694B" w:rsidRDefault="00CA694B">
                    <w:pPr>
                      <w:pStyle w:val="Bibliography"/>
                      <w:rPr>
                        <w:noProof/>
                      </w:rPr>
                    </w:pPr>
                    <w:r>
                      <w:rPr>
                        <w:noProof/>
                      </w:rPr>
                      <w:t xml:space="preserve">[4] </w:t>
                    </w:r>
                  </w:p>
                </w:tc>
                <w:tc>
                  <w:tcPr>
                    <w:tcW w:w="0" w:type="auto"/>
                    <w:hideMark/>
                  </w:tcPr>
                  <w:p w14:paraId="504D7C3E" w14:textId="77777777" w:rsidR="00CA694B" w:rsidRDefault="00CA694B">
                    <w:pPr>
                      <w:pStyle w:val="Bibliography"/>
                      <w:rPr>
                        <w:noProof/>
                      </w:rPr>
                    </w:pPr>
                    <w:r>
                      <w:rPr>
                        <w:noProof/>
                      </w:rPr>
                      <w:t xml:space="preserve">"RAN2#99bis, "Chairman Notes"". </w:t>
                    </w:r>
                  </w:p>
                </w:tc>
              </w:tr>
            </w:tbl>
            <w:p w14:paraId="031957DB" w14:textId="77777777" w:rsidR="00CA694B" w:rsidRDefault="00CA694B">
              <w:pPr>
                <w:divId w:val="199443720"/>
                <w:rPr>
                  <w:rFonts w:eastAsia="Times New Roman"/>
                  <w:noProof/>
                </w:rPr>
              </w:pPr>
            </w:p>
            <w:p w14:paraId="4196A02B" w14:textId="20D02B22" w:rsidR="00DF25A3" w:rsidRDefault="003379D6">
              <w:r>
                <w:rPr>
                  <w:b/>
                  <w:bCs/>
                  <w:noProof/>
                </w:rPr>
                <w:fldChar w:fldCharType="end"/>
              </w:r>
            </w:p>
          </w:sdtContent>
        </w:sdt>
      </w:sdtContent>
    </w:sdt>
    <w:bookmarkEnd w:id="1"/>
    <w:p w14:paraId="50A28EEF" w14:textId="75931889" w:rsidR="00E0063E" w:rsidRPr="00AE13FE" w:rsidRDefault="00E0063E" w:rsidP="00F83629">
      <w:pPr>
        <w:pStyle w:val="Tdoc"/>
        <w:numPr>
          <w:ilvl w:val="0"/>
          <w:numId w:val="0"/>
        </w:numPr>
        <w:rPr>
          <w:sz w:val="20"/>
        </w:rPr>
      </w:pPr>
    </w:p>
    <w:sectPr w:rsidR="00E0063E" w:rsidRPr="00AE13FE">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B36E9E" w:rsidRDefault="00B36E9E">
      <w:pPr>
        <w:spacing w:after="0" w:line="240" w:lineRule="auto"/>
      </w:pPr>
      <w:r>
        <w:separator/>
      </w:r>
    </w:p>
  </w:endnote>
  <w:endnote w:type="continuationSeparator" w:id="0">
    <w:p w14:paraId="50A28EF3" w14:textId="77777777" w:rsidR="00B36E9E" w:rsidRDefault="00B36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B36E9E" w:rsidRDefault="00B36E9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41E8">
      <w:rPr>
        <w:rFonts w:ascii="Arial" w:hAnsi="Arial" w:cs="Arial"/>
        <w:b/>
        <w:noProof/>
        <w:sz w:val="18"/>
        <w:szCs w:val="18"/>
      </w:rPr>
      <w:t>1</w:t>
    </w:r>
    <w:r>
      <w:rPr>
        <w:rFonts w:ascii="Arial" w:hAnsi="Arial" w:cs="Arial"/>
        <w:b/>
        <w:sz w:val="18"/>
        <w:szCs w:val="18"/>
      </w:rPr>
      <w:fldChar w:fldCharType="end"/>
    </w:r>
  </w:p>
  <w:p w14:paraId="50A28EF5" w14:textId="77777777" w:rsidR="00B36E9E" w:rsidRDefault="00B36E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B36E9E" w:rsidRDefault="00B36E9E">
      <w:pPr>
        <w:spacing w:after="0" w:line="240" w:lineRule="auto"/>
      </w:pPr>
      <w:r>
        <w:separator/>
      </w:r>
    </w:p>
  </w:footnote>
  <w:footnote w:type="continuationSeparator" w:id="0">
    <w:p w14:paraId="50A28EF1" w14:textId="77777777" w:rsidR="00B36E9E" w:rsidRDefault="00B36E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F842A7"/>
    <w:multiLevelType w:val="hybridMultilevel"/>
    <w:tmpl w:val="15662B9C"/>
    <w:lvl w:ilvl="0" w:tplc="80D615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8"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2234C0"/>
    <w:multiLevelType w:val="hybridMultilevel"/>
    <w:tmpl w:val="43581B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863F17"/>
    <w:multiLevelType w:val="hybridMultilevel"/>
    <w:tmpl w:val="205484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F6A7D9C"/>
    <w:multiLevelType w:val="hybridMultilevel"/>
    <w:tmpl w:val="8E3C37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7"/>
  </w:num>
  <w:num w:numId="3">
    <w:abstractNumId w:val="15"/>
  </w:num>
  <w:num w:numId="4">
    <w:abstractNumId w:val="14"/>
  </w:num>
  <w:num w:numId="5">
    <w:abstractNumId w:val="3"/>
    <w:lvlOverride w:ilvl="0">
      <w:startOverride w:val="1"/>
    </w:lvlOverride>
  </w:num>
  <w:num w:numId="6">
    <w:abstractNumId w:val="6"/>
    <w:lvlOverride w:ilvl="0">
      <w:startOverride w:val="2"/>
    </w:lvlOverride>
  </w:num>
  <w:num w:numId="7">
    <w:abstractNumId w:val="22"/>
  </w:num>
  <w:num w:numId="8">
    <w:abstractNumId w:val="9"/>
  </w:num>
  <w:num w:numId="9">
    <w:abstractNumId w:val="7"/>
  </w:num>
  <w:num w:numId="10">
    <w:abstractNumId w:val="18"/>
  </w:num>
  <w:num w:numId="11">
    <w:abstractNumId w:val="24"/>
  </w:num>
  <w:num w:numId="12">
    <w:abstractNumId w:val="5"/>
  </w:num>
  <w:num w:numId="13">
    <w:abstractNumId w:val="8"/>
  </w:num>
  <w:num w:numId="14">
    <w:abstractNumId w:val="1"/>
  </w:num>
  <w:num w:numId="15">
    <w:abstractNumId w:val="2"/>
  </w:num>
  <w:num w:numId="16">
    <w:abstractNumId w:val="13"/>
  </w:num>
  <w:num w:numId="17">
    <w:abstractNumId w:val="21"/>
  </w:num>
  <w:num w:numId="18">
    <w:abstractNumId w:val="10"/>
  </w:num>
  <w:num w:numId="19">
    <w:abstractNumId w:val="19"/>
  </w:num>
  <w:num w:numId="20">
    <w:abstractNumId w:val="0"/>
  </w:num>
  <w:num w:numId="21">
    <w:abstractNumId w:val="23"/>
  </w:num>
  <w:num w:numId="22">
    <w:abstractNumId w:val="12"/>
  </w:num>
  <w:num w:numId="23">
    <w:abstractNumId w:val="16"/>
  </w:num>
  <w:num w:numId="24">
    <w:abstractNumId w:val="11"/>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17118"/>
    <w:rsid w:val="0002151A"/>
    <w:rsid w:val="00031A47"/>
    <w:rsid w:val="000336C8"/>
    <w:rsid w:val="00053B8A"/>
    <w:rsid w:val="000632AE"/>
    <w:rsid w:val="00066057"/>
    <w:rsid w:val="00071BD0"/>
    <w:rsid w:val="000760CC"/>
    <w:rsid w:val="0007638E"/>
    <w:rsid w:val="00077473"/>
    <w:rsid w:val="00081766"/>
    <w:rsid w:val="0008197A"/>
    <w:rsid w:val="00096596"/>
    <w:rsid w:val="000A09E6"/>
    <w:rsid w:val="000A7E1C"/>
    <w:rsid w:val="000D0A95"/>
    <w:rsid w:val="000D5D5A"/>
    <w:rsid w:val="000E4761"/>
    <w:rsid w:val="000E493C"/>
    <w:rsid w:val="000F1C37"/>
    <w:rsid w:val="000F54CA"/>
    <w:rsid w:val="00100001"/>
    <w:rsid w:val="00111236"/>
    <w:rsid w:val="0011610B"/>
    <w:rsid w:val="00120B9E"/>
    <w:rsid w:val="00122A4A"/>
    <w:rsid w:val="00143F5D"/>
    <w:rsid w:val="00144CD4"/>
    <w:rsid w:val="00147C5C"/>
    <w:rsid w:val="00150169"/>
    <w:rsid w:val="00151E30"/>
    <w:rsid w:val="00154CC9"/>
    <w:rsid w:val="00160710"/>
    <w:rsid w:val="00160D89"/>
    <w:rsid w:val="0016207C"/>
    <w:rsid w:val="0016488C"/>
    <w:rsid w:val="0017098D"/>
    <w:rsid w:val="00171180"/>
    <w:rsid w:val="00175B7F"/>
    <w:rsid w:val="00175DCB"/>
    <w:rsid w:val="00183766"/>
    <w:rsid w:val="00195430"/>
    <w:rsid w:val="00197B45"/>
    <w:rsid w:val="001A793C"/>
    <w:rsid w:val="001B7098"/>
    <w:rsid w:val="001C137C"/>
    <w:rsid w:val="001C6E8B"/>
    <w:rsid w:val="001D28A0"/>
    <w:rsid w:val="001D3C25"/>
    <w:rsid w:val="001E221E"/>
    <w:rsid w:val="001E3A01"/>
    <w:rsid w:val="001E54F9"/>
    <w:rsid w:val="0020567B"/>
    <w:rsid w:val="0020671E"/>
    <w:rsid w:val="00225341"/>
    <w:rsid w:val="002403B8"/>
    <w:rsid w:val="0024165F"/>
    <w:rsid w:val="00253F58"/>
    <w:rsid w:val="00255F2A"/>
    <w:rsid w:val="00260222"/>
    <w:rsid w:val="00263354"/>
    <w:rsid w:val="00265EF0"/>
    <w:rsid w:val="00274F99"/>
    <w:rsid w:val="00276574"/>
    <w:rsid w:val="002769B9"/>
    <w:rsid w:val="00281DB7"/>
    <w:rsid w:val="00283FDE"/>
    <w:rsid w:val="00286053"/>
    <w:rsid w:val="00291433"/>
    <w:rsid w:val="00291DB2"/>
    <w:rsid w:val="00293F66"/>
    <w:rsid w:val="0029495D"/>
    <w:rsid w:val="002A5F0F"/>
    <w:rsid w:val="002A78E6"/>
    <w:rsid w:val="002B17B0"/>
    <w:rsid w:val="002B2F0A"/>
    <w:rsid w:val="002D549E"/>
    <w:rsid w:val="002F04F8"/>
    <w:rsid w:val="002F153B"/>
    <w:rsid w:val="002F432E"/>
    <w:rsid w:val="00330823"/>
    <w:rsid w:val="00332463"/>
    <w:rsid w:val="00332851"/>
    <w:rsid w:val="00336D1D"/>
    <w:rsid w:val="003379D6"/>
    <w:rsid w:val="00337A0E"/>
    <w:rsid w:val="003455DB"/>
    <w:rsid w:val="00345654"/>
    <w:rsid w:val="0035278E"/>
    <w:rsid w:val="00361EF9"/>
    <w:rsid w:val="003848A3"/>
    <w:rsid w:val="00384CB8"/>
    <w:rsid w:val="00385E3E"/>
    <w:rsid w:val="00393AAF"/>
    <w:rsid w:val="00396B24"/>
    <w:rsid w:val="003A766F"/>
    <w:rsid w:val="003B424F"/>
    <w:rsid w:val="003B6208"/>
    <w:rsid w:val="003B6BC4"/>
    <w:rsid w:val="003C2812"/>
    <w:rsid w:val="003D1D55"/>
    <w:rsid w:val="003E1161"/>
    <w:rsid w:val="003E76DD"/>
    <w:rsid w:val="003F0F74"/>
    <w:rsid w:val="0040277F"/>
    <w:rsid w:val="004035EF"/>
    <w:rsid w:val="00404852"/>
    <w:rsid w:val="00411870"/>
    <w:rsid w:val="00412F14"/>
    <w:rsid w:val="00415F96"/>
    <w:rsid w:val="00416235"/>
    <w:rsid w:val="00424635"/>
    <w:rsid w:val="004336D4"/>
    <w:rsid w:val="00433DA4"/>
    <w:rsid w:val="00434F17"/>
    <w:rsid w:val="0043655F"/>
    <w:rsid w:val="00437AB1"/>
    <w:rsid w:val="00440C74"/>
    <w:rsid w:val="00445B7E"/>
    <w:rsid w:val="00453DB6"/>
    <w:rsid w:val="0045665A"/>
    <w:rsid w:val="00460EBA"/>
    <w:rsid w:val="00462C79"/>
    <w:rsid w:val="0046730A"/>
    <w:rsid w:val="00467867"/>
    <w:rsid w:val="004747C6"/>
    <w:rsid w:val="0048351F"/>
    <w:rsid w:val="00483C87"/>
    <w:rsid w:val="004873A1"/>
    <w:rsid w:val="0049247B"/>
    <w:rsid w:val="004941A2"/>
    <w:rsid w:val="004A38AD"/>
    <w:rsid w:val="004A45E2"/>
    <w:rsid w:val="004A5FC6"/>
    <w:rsid w:val="004B2F1A"/>
    <w:rsid w:val="004C1C03"/>
    <w:rsid w:val="004C546C"/>
    <w:rsid w:val="004D44CA"/>
    <w:rsid w:val="004D6C2B"/>
    <w:rsid w:val="004D7A2E"/>
    <w:rsid w:val="004E2339"/>
    <w:rsid w:val="004E3975"/>
    <w:rsid w:val="004E3ED3"/>
    <w:rsid w:val="005067A7"/>
    <w:rsid w:val="00511AF4"/>
    <w:rsid w:val="0051392C"/>
    <w:rsid w:val="005214C0"/>
    <w:rsid w:val="005231DC"/>
    <w:rsid w:val="00523734"/>
    <w:rsid w:val="005279F9"/>
    <w:rsid w:val="00536E65"/>
    <w:rsid w:val="0055379C"/>
    <w:rsid w:val="00555440"/>
    <w:rsid w:val="0055706A"/>
    <w:rsid w:val="00557402"/>
    <w:rsid w:val="00593190"/>
    <w:rsid w:val="005942BF"/>
    <w:rsid w:val="00597FD5"/>
    <w:rsid w:val="005A4656"/>
    <w:rsid w:val="005A7CEA"/>
    <w:rsid w:val="005C158A"/>
    <w:rsid w:val="005C3DFF"/>
    <w:rsid w:val="005D412A"/>
    <w:rsid w:val="005E3E1B"/>
    <w:rsid w:val="005E4E14"/>
    <w:rsid w:val="005F30EF"/>
    <w:rsid w:val="00625D8E"/>
    <w:rsid w:val="00627647"/>
    <w:rsid w:val="00633024"/>
    <w:rsid w:val="00661C20"/>
    <w:rsid w:val="00667231"/>
    <w:rsid w:val="006720DF"/>
    <w:rsid w:val="00673EBD"/>
    <w:rsid w:val="00696FDC"/>
    <w:rsid w:val="006A27E5"/>
    <w:rsid w:val="006A65D5"/>
    <w:rsid w:val="006C65A8"/>
    <w:rsid w:val="006D0058"/>
    <w:rsid w:val="006D512C"/>
    <w:rsid w:val="006D7CC2"/>
    <w:rsid w:val="006E0F37"/>
    <w:rsid w:val="006F631D"/>
    <w:rsid w:val="00705D31"/>
    <w:rsid w:val="007068BC"/>
    <w:rsid w:val="00710503"/>
    <w:rsid w:val="00711B34"/>
    <w:rsid w:val="007158F5"/>
    <w:rsid w:val="00722993"/>
    <w:rsid w:val="00723298"/>
    <w:rsid w:val="00732A41"/>
    <w:rsid w:val="00732CD4"/>
    <w:rsid w:val="007336B5"/>
    <w:rsid w:val="007356BA"/>
    <w:rsid w:val="00740D3E"/>
    <w:rsid w:val="00743313"/>
    <w:rsid w:val="007646CF"/>
    <w:rsid w:val="00777344"/>
    <w:rsid w:val="00781376"/>
    <w:rsid w:val="00786A05"/>
    <w:rsid w:val="00786EC6"/>
    <w:rsid w:val="00791A9C"/>
    <w:rsid w:val="00792327"/>
    <w:rsid w:val="00797358"/>
    <w:rsid w:val="007A2068"/>
    <w:rsid w:val="007A433B"/>
    <w:rsid w:val="007A49CD"/>
    <w:rsid w:val="007B7DD5"/>
    <w:rsid w:val="007C3A70"/>
    <w:rsid w:val="007D042C"/>
    <w:rsid w:val="007D05E3"/>
    <w:rsid w:val="007D32DD"/>
    <w:rsid w:val="007F5C58"/>
    <w:rsid w:val="00813FBF"/>
    <w:rsid w:val="00827742"/>
    <w:rsid w:val="00833E79"/>
    <w:rsid w:val="00835599"/>
    <w:rsid w:val="008418C6"/>
    <w:rsid w:val="0085419F"/>
    <w:rsid w:val="00861C7A"/>
    <w:rsid w:val="008669B1"/>
    <w:rsid w:val="00875F14"/>
    <w:rsid w:val="008775ED"/>
    <w:rsid w:val="00883EF2"/>
    <w:rsid w:val="008848AB"/>
    <w:rsid w:val="00886353"/>
    <w:rsid w:val="008874F5"/>
    <w:rsid w:val="008878EB"/>
    <w:rsid w:val="00897CC2"/>
    <w:rsid w:val="008A1604"/>
    <w:rsid w:val="008A3B9F"/>
    <w:rsid w:val="008A3EC6"/>
    <w:rsid w:val="008B0017"/>
    <w:rsid w:val="008B7DB0"/>
    <w:rsid w:val="008C0567"/>
    <w:rsid w:val="008C6004"/>
    <w:rsid w:val="008D2846"/>
    <w:rsid w:val="008E03BE"/>
    <w:rsid w:val="008E5071"/>
    <w:rsid w:val="008F15B9"/>
    <w:rsid w:val="008F7B19"/>
    <w:rsid w:val="00901F6D"/>
    <w:rsid w:val="00902C16"/>
    <w:rsid w:val="00915CAD"/>
    <w:rsid w:val="009215C6"/>
    <w:rsid w:val="00925869"/>
    <w:rsid w:val="00927261"/>
    <w:rsid w:val="009331B4"/>
    <w:rsid w:val="00934516"/>
    <w:rsid w:val="00936F83"/>
    <w:rsid w:val="00943FF6"/>
    <w:rsid w:val="00944290"/>
    <w:rsid w:val="009459D5"/>
    <w:rsid w:val="0094797B"/>
    <w:rsid w:val="00952743"/>
    <w:rsid w:val="00955F6D"/>
    <w:rsid w:val="009573C2"/>
    <w:rsid w:val="009737B4"/>
    <w:rsid w:val="009759A1"/>
    <w:rsid w:val="009917F0"/>
    <w:rsid w:val="009A301E"/>
    <w:rsid w:val="009A3832"/>
    <w:rsid w:val="009A5E1C"/>
    <w:rsid w:val="009B6A2D"/>
    <w:rsid w:val="009C4F61"/>
    <w:rsid w:val="009D1CD2"/>
    <w:rsid w:val="009D5BAB"/>
    <w:rsid w:val="009E6ED4"/>
    <w:rsid w:val="009E7171"/>
    <w:rsid w:val="009F06CB"/>
    <w:rsid w:val="009F203E"/>
    <w:rsid w:val="009F731B"/>
    <w:rsid w:val="009F758B"/>
    <w:rsid w:val="00A21ECC"/>
    <w:rsid w:val="00A3157F"/>
    <w:rsid w:val="00A35916"/>
    <w:rsid w:val="00A35BD3"/>
    <w:rsid w:val="00A36CCD"/>
    <w:rsid w:val="00A44954"/>
    <w:rsid w:val="00A45F0D"/>
    <w:rsid w:val="00A5035B"/>
    <w:rsid w:val="00A50EB6"/>
    <w:rsid w:val="00A53508"/>
    <w:rsid w:val="00A53711"/>
    <w:rsid w:val="00A601C3"/>
    <w:rsid w:val="00A63B12"/>
    <w:rsid w:val="00A65CB3"/>
    <w:rsid w:val="00A724C4"/>
    <w:rsid w:val="00A824AF"/>
    <w:rsid w:val="00A83DE0"/>
    <w:rsid w:val="00A86A88"/>
    <w:rsid w:val="00A92667"/>
    <w:rsid w:val="00AB388C"/>
    <w:rsid w:val="00AC35D4"/>
    <w:rsid w:val="00AC4F72"/>
    <w:rsid w:val="00AC64FC"/>
    <w:rsid w:val="00AD20FE"/>
    <w:rsid w:val="00AD440B"/>
    <w:rsid w:val="00AE0A3D"/>
    <w:rsid w:val="00AE13FE"/>
    <w:rsid w:val="00AE5BAD"/>
    <w:rsid w:val="00AF256D"/>
    <w:rsid w:val="00B019D2"/>
    <w:rsid w:val="00B11699"/>
    <w:rsid w:val="00B14023"/>
    <w:rsid w:val="00B20B32"/>
    <w:rsid w:val="00B329F9"/>
    <w:rsid w:val="00B36E9E"/>
    <w:rsid w:val="00B438F2"/>
    <w:rsid w:val="00B45EDF"/>
    <w:rsid w:val="00B56FBE"/>
    <w:rsid w:val="00B70F01"/>
    <w:rsid w:val="00B737FF"/>
    <w:rsid w:val="00B74D9C"/>
    <w:rsid w:val="00B76EA2"/>
    <w:rsid w:val="00B810AC"/>
    <w:rsid w:val="00B9000F"/>
    <w:rsid w:val="00B91D6D"/>
    <w:rsid w:val="00B92FEE"/>
    <w:rsid w:val="00B9460B"/>
    <w:rsid w:val="00BA2CEB"/>
    <w:rsid w:val="00BB7B6E"/>
    <w:rsid w:val="00BC4E7C"/>
    <w:rsid w:val="00BD4C5D"/>
    <w:rsid w:val="00BD4D14"/>
    <w:rsid w:val="00BE0DBD"/>
    <w:rsid w:val="00BE6D20"/>
    <w:rsid w:val="00BF78E3"/>
    <w:rsid w:val="00C10CE1"/>
    <w:rsid w:val="00C241E8"/>
    <w:rsid w:val="00C27475"/>
    <w:rsid w:val="00C348A8"/>
    <w:rsid w:val="00C47BFB"/>
    <w:rsid w:val="00C641CB"/>
    <w:rsid w:val="00C65B7C"/>
    <w:rsid w:val="00C667DF"/>
    <w:rsid w:val="00C67B49"/>
    <w:rsid w:val="00C73BA9"/>
    <w:rsid w:val="00C8595C"/>
    <w:rsid w:val="00C90D45"/>
    <w:rsid w:val="00CA3B14"/>
    <w:rsid w:val="00CA4212"/>
    <w:rsid w:val="00CA694B"/>
    <w:rsid w:val="00CA751B"/>
    <w:rsid w:val="00CB248A"/>
    <w:rsid w:val="00CB6AB5"/>
    <w:rsid w:val="00CD2ABF"/>
    <w:rsid w:val="00CD4245"/>
    <w:rsid w:val="00CE5D88"/>
    <w:rsid w:val="00CE70AB"/>
    <w:rsid w:val="00D0160E"/>
    <w:rsid w:val="00D05CFA"/>
    <w:rsid w:val="00D13A00"/>
    <w:rsid w:val="00D244A7"/>
    <w:rsid w:val="00D30389"/>
    <w:rsid w:val="00D304C8"/>
    <w:rsid w:val="00D30D35"/>
    <w:rsid w:val="00D4144E"/>
    <w:rsid w:val="00D4639F"/>
    <w:rsid w:val="00D6447A"/>
    <w:rsid w:val="00D65AAE"/>
    <w:rsid w:val="00D70FEC"/>
    <w:rsid w:val="00D74365"/>
    <w:rsid w:val="00D75EC2"/>
    <w:rsid w:val="00D75FE1"/>
    <w:rsid w:val="00D80BD1"/>
    <w:rsid w:val="00D907A4"/>
    <w:rsid w:val="00D94525"/>
    <w:rsid w:val="00DA2C5B"/>
    <w:rsid w:val="00DC00B2"/>
    <w:rsid w:val="00DC299B"/>
    <w:rsid w:val="00DC3E70"/>
    <w:rsid w:val="00DD28DD"/>
    <w:rsid w:val="00DD532A"/>
    <w:rsid w:val="00DD5B53"/>
    <w:rsid w:val="00DE207A"/>
    <w:rsid w:val="00DE45F9"/>
    <w:rsid w:val="00DF07FB"/>
    <w:rsid w:val="00DF106B"/>
    <w:rsid w:val="00DF2222"/>
    <w:rsid w:val="00DF25A3"/>
    <w:rsid w:val="00E0063E"/>
    <w:rsid w:val="00E01E30"/>
    <w:rsid w:val="00E10C75"/>
    <w:rsid w:val="00E13016"/>
    <w:rsid w:val="00E14C3C"/>
    <w:rsid w:val="00E267E6"/>
    <w:rsid w:val="00E31E41"/>
    <w:rsid w:val="00E32368"/>
    <w:rsid w:val="00E42BBE"/>
    <w:rsid w:val="00E520CB"/>
    <w:rsid w:val="00E53137"/>
    <w:rsid w:val="00E60548"/>
    <w:rsid w:val="00E63487"/>
    <w:rsid w:val="00E65894"/>
    <w:rsid w:val="00E6786C"/>
    <w:rsid w:val="00E73BA3"/>
    <w:rsid w:val="00E76581"/>
    <w:rsid w:val="00E772C0"/>
    <w:rsid w:val="00E77D40"/>
    <w:rsid w:val="00E86837"/>
    <w:rsid w:val="00E87B8A"/>
    <w:rsid w:val="00E93113"/>
    <w:rsid w:val="00E936F6"/>
    <w:rsid w:val="00EB0968"/>
    <w:rsid w:val="00EC1C57"/>
    <w:rsid w:val="00EC7E0A"/>
    <w:rsid w:val="00ED00AF"/>
    <w:rsid w:val="00ED1928"/>
    <w:rsid w:val="00ED7949"/>
    <w:rsid w:val="00EE3B7D"/>
    <w:rsid w:val="00EF7293"/>
    <w:rsid w:val="00F14233"/>
    <w:rsid w:val="00F16547"/>
    <w:rsid w:val="00F16840"/>
    <w:rsid w:val="00F200DB"/>
    <w:rsid w:val="00F20B33"/>
    <w:rsid w:val="00F2103E"/>
    <w:rsid w:val="00F239D6"/>
    <w:rsid w:val="00F25073"/>
    <w:rsid w:val="00F267E0"/>
    <w:rsid w:val="00F27189"/>
    <w:rsid w:val="00F349C6"/>
    <w:rsid w:val="00F37D4B"/>
    <w:rsid w:val="00F37FEE"/>
    <w:rsid w:val="00F443D7"/>
    <w:rsid w:val="00F46717"/>
    <w:rsid w:val="00F6097D"/>
    <w:rsid w:val="00F71990"/>
    <w:rsid w:val="00F77B6D"/>
    <w:rsid w:val="00F77BD9"/>
    <w:rsid w:val="00F816A9"/>
    <w:rsid w:val="00F83629"/>
    <w:rsid w:val="00F87B5D"/>
    <w:rsid w:val="00F97382"/>
    <w:rsid w:val="00FA03CA"/>
    <w:rsid w:val="00FA4DC9"/>
    <w:rsid w:val="00FB08ED"/>
    <w:rsid w:val="00FB53CE"/>
    <w:rsid w:val="00FC16BC"/>
    <w:rsid w:val="00FC2DCE"/>
    <w:rsid w:val="00FC2EDB"/>
    <w:rsid w:val="00FD039C"/>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70469060">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199443720">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2714186">
      <w:bodyDiv w:val="1"/>
      <w:marLeft w:val="0"/>
      <w:marRight w:val="0"/>
      <w:marTop w:val="0"/>
      <w:marBottom w:val="0"/>
      <w:divBdr>
        <w:top w:val="none" w:sz="0" w:space="0" w:color="auto"/>
        <w:left w:val="none" w:sz="0" w:space="0" w:color="auto"/>
        <w:bottom w:val="none" w:sz="0" w:space="0" w:color="auto"/>
        <w:right w:val="none" w:sz="0" w:space="0" w:color="auto"/>
      </w:divBdr>
    </w:div>
    <w:div w:id="228804336">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39360374">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06216983">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3788041">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99896645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1006052">
      <w:bodyDiv w:val="1"/>
      <w:marLeft w:val="0"/>
      <w:marRight w:val="0"/>
      <w:marTop w:val="0"/>
      <w:marBottom w:val="0"/>
      <w:divBdr>
        <w:top w:val="none" w:sz="0" w:space="0" w:color="auto"/>
        <w:left w:val="none" w:sz="0" w:space="0" w:color="auto"/>
        <w:bottom w:val="none" w:sz="0" w:space="0" w:color="auto"/>
        <w:right w:val="none" w:sz="0" w:space="0" w:color="auto"/>
      </w:divBdr>
    </w:div>
    <w:div w:id="1021467582">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1799020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5469281">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6823304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546685">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6334160">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71531872">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RAN2101CN</b:Tag>
    <b:SourceType>ConferenceProceedings</b:SourceType>
    <b:Guid>{4F8C3C6A-E368-4536-8CBB-0DF5DE44D926}</b:Guid>
    <b:Title>RAN2#101, Chairman Notes</b:Title>
    <b:RefOrder>1</b:RefOrder>
  </b:Source>
  <b:Source>
    <b:Tag>IntelRel15parameter</b:Tag>
    <b:SourceType>ConferenceProceedings</b:SourceType>
    <b:Guid>{4202570C-8509-4175-8390-5728FAE5A5B0}</b:Guid>
    <b:Title>R2-180xxxx, On additional parameter for carrier selection over PC5, Intel Corporation</b:Title>
    <b:RefOrder>2</b:RefOrder>
  </b:Source>
  <b:Source>
    <b:Tag>carrierReselectionQC</b:Tag>
    <b:SourceType>ConferenceProceedings</b:SourceType>
    <b:Guid>{F6FCB3E2-60DA-4DF8-96BB-E65E1EBDF066}</b:Guid>
    <b:Title>R2-180xxx, Summary of [101#75][eV2x] Additional carrier reselection triggering, Qualcomm</b:Title>
    <b:RefOrder>3</b:RefOrder>
  </b:Source>
  <b:Source>
    <b:Tag>RAN299bis</b:Tag>
    <b:SourceType>ConferenceProceedings</b:SourceType>
    <b:Guid>{A3CAC475-CEF3-43A8-9756-33397C4A18C2}</b:Guid>
    <b:Title>RAN2#99bis, "Chairman Notes"</b:Title>
    <b:RefOrder>4</b:RefOrder>
  </b:Source>
</b:Sources>
</file>

<file path=customXml/itemProps1.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2.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69657C-909D-4954-AC96-438360CAA015}">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9820A03A-341F-4C36-9768-3511A12AC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2465</TotalTime>
  <Pages>1</Pages>
  <Words>1128</Words>
  <Characters>5849</Characters>
  <Application>Microsoft Office Word</Application>
  <DocSecurity>0</DocSecurity>
  <Lines>97</Lines>
  <Paragraphs>53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269</cp:revision>
  <dcterms:created xsi:type="dcterms:W3CDTF">2017-08-12T02:26:00Z</dcterms:created>
  <dcterms:modified xsi:type="dcterms:W3CDTF">2018-04-06T02:17:00Z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2018-04-06 02:17:17Z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