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143A59B9"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003C4750">
        <w:rPr>
          <w:sz w:val="24"/>
          <w:lang w:val="en-GB" w:eastAsia="zh-CN"/>
        </w:rPr>
        <w:t>bis</w:t>
      </w:r>
      <w:r w:rsidRPr="00EE6198">
        <w:rPr>
          <w:sz w:val="24"/>
          <w:lang w:val="en-GB" w:eastAsia="zh-CN"/>
        </w:rPr>
        <w:tab/>
      </w:r>
      <w:r w:rsidR="00B35BA9" w:rsidRPr="00B35BA9">
        <w:rPr>
          <w:sz w:val="24"/>
          <w:lang w:val="en-GB" w:eastAsia="zh-CN"/>
        </w:rPr>
        <w:t>R2-1805542</w:t>
      </w:r>
      <w:bookmarkStart w:id="0" w:name="_GoBack"/>
      <w:bookmarkEnd w:id="0"/>
    </w:p>
    <w:p w14:paraId="16D5C317" w14:textId="0867917D" w:rsidR="009D5BAB" w:rsidRPr="009D56B1" w:rsidRDefault="005F336A" w:rsidP="003848A3">
      <w:pPr>
        <w:pStyle w:val="Header"/>
        <w:tabs>
          <w:tab w:val="right" w:pos="9639"/>
        </w:tabs>
        <w:rPr>
          <w:bCs/>
          <w:i/>
          <w:noProof w:val="0"/>
          <w:sz w:val="24"/>
        </w:rPr>
      </w:pPr>
      <w:r w:rsidRPr="005F336A">
        <w:rPr>
          <w:sz w:val="24"/>
          <w:lang w:eastAsia="zh-CN"/>
        </w:rPr>
        <w:t>Sanya, China, 16th April – 20th April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033EB6A"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E204D">
        <w:rPr>
          <w:rFonts w:eastAsia="SimSun" w:cs="Arial"/>
          <w:b/>
          <w:bCs/>
          <w:sz w:val="24"/>
          <w:lang w:val="en-US"/>
        </w:rPr>
        <w:t>9.10.2.1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EBDA1A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A65CB3">
        <w:rPr>
          <w:rFonts w:ascii="Arial" w:hAnsi="Arial" w:cs="Arial"/>
          <w:b/>
          <w:bCs/>
          <w:sz w:val="24"/>
        </w:rPr>
        <w:t>Packet duplication for Mode 4 UEs</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0F30050A" w14:textId="45AF2B02" w:rsidR="000F54CA" w:rsidRDefault="00411870"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Following the last RAN2 meeting, an email discussion was initiated for the purpose of capturing detailed aspects of packet duplication and how the newly defined PPPR is used for this purpose for both mode 3 and 4 UEs</w:t>
      </w:r>
      <w:r w:rsidR="007052AE">
        <w:rPr>
          <w:rFonts w:ascii="Times New Roman" w:hAnsi="Times New Roman"/>
          <w:sz w:val="20"/>
          <w:szCs w:val="20"/>
          <w:lang w:eastAsia="zh-CN"/>
        </w:rPr>
        <w:t xml:space="preserve"> </w:t>
      </w:r>
      <w:sdt>
        <w:sdtPr>
          <w:rPr>
            <w:rFonts w:ascii="Times New Roman" w:hAnsi="Times New Roman"/>
            <w:sz w:val="20"/>
            <w:szCs w:val="20"/>
            <w:lang w:eastAsia="zh-CN"/>
          </w:rPr>
          <w:id w:val="293414408"/>
          <w:citation/>
        </w:sdtPr>
        <w:sdtEndPr/>
        <w:sdtContent>
          <w:r w:rsidR="007052AE">
            <w:rPr>
              <w:rFonts w:ascii="Times New Roman" w:hAnsi="Times New Roman"/>
              <w:sz w:val="20"/>
              <w:szCs w:val="20"/>
              <w:lang w:eastAsia="zh-CN"/>
            </w:rPr>
            <w:fldChar w:fldCharType="begin"/>
          </w:r>
          <w:r w:rsidR="007052AE">
            <w:rPr>
              <w:rFonts w:ascii="Times New Roman" w:hAnsi="Times New Roman"/>
              <w:sz w:val="20"/>
              <w:szCs w:val="20"/>
              <w:lang w:eastAsia="zh-CN"/>
            </w:rPr>
            <w:instrText xml:space="preserve"> CITATION PacketDuplicationEricsson \l 1033 </w:instrText>
          </w:r>
          <w:r w:rsidR="007052AE">
            <w:rPr>
              <w:rFonts w:ascii="Times New Roman" w:hAnsi="Times New Roman"/>
              <w:sz w:val="20"/>
              <w:szCs w:val="20"/>
              <w:lang w:eastAsia="zh-CN"/>
            </w:rPr>
            <w:fldChar w:fldCharType="separate"/>
          </w:r>
          <w:r w:rsidR="007052AE" w:rsidRPr="007052AE">
            <w:rPr>
              <w:rFonts w:ascii="Times New Roman" w:hAnsi="Times New Roman"/>
              <w:noProof/>
              <w:sz w:val="20"/>
              <w:szCs w:val="20"/>
              <w:lang w:eastAsia="zh-CN"/>
            </w:rPr>
            <w:t>[1]</w:t>
          </w:r>
          <w:r w:rsidR="007052AE">
            <w:rPr>
              <w:rFonts w:ascii="Times New Roman" w:hAnsi="Times New Roman"/>
              <w:sz w:val="20"/>
              <w:szCs w:val="20"/>
              <w:lang w:eastAsia="zh-CN"/>
            </w:rPr>
            <w:fldChar w:fldCharType="end"/>
          </w:r>
        </w:sdtContent>
      </w:sdt>
      <w:r w:rsidR="00B56FBE">
        <w:rPr>
          <w:rFonts w:ascii="Times New Roman" w:hAnsi="Times New Roman"/>
          <w:sz w:val="20"/>
          <w:szCs w:val="20"/>
          <w:lang w:eastAsia="zh-CN"/>
        </w:rPr>
        <w:t>.</w:t>
      </w:r>
      <w:r>
        <w:rPr>
          <w:rFonts w:ascii="Times New Roman" w:hAnsi="Times New Roman"/>
          <w:sz w:val="20"/>
          <w:szCs w:val="20"/>
          <w:lang w:eastAsia="zh-CN"/>
        </w:rPr>
        <w:t xml:space="preserve"> While many aspects seem to have been addressed, a few aspects still remain controversial and require further discussion in RAN2, specifically on </w:t>
      </w:r>
      <w:r w:rsidR="006D24C0">
        <w:rPr>
          <w:rFonts w:ascii="Times New Roman" w:hAnsi="Times New Roman"/>
          <w:sz w:val="20"/>
          <w:szCs w:val="20"/>
          <w:lang w:eastAsia="zh-CN"/>
        </w:rPr>
        <w:t xml:space="preserve">how </w:t>
      </w:r>
      <w:r>
        <w:rPr>
          <w:rFonts w:ascii="Times New Roman" w:hAnsi="Times New Roman"/>
          <w:sz w:val="20"/>
          <w:szCs w:val="20"/>
          <w:lang w:eastAsia="zh-CN"/>
        </w:rPr>
        <w:t xml:space="preserve">mode 4 </w:t>
      </w:r>
      <w:r w:rsidR="00BC4E7C">
        <w:rPr>
          <w:rFonts w:ascii="Times New Roman" w:hAnsi="Times New Roman"/>
          <w:sz w:val="20"/>
          <w:szCs w:val="20"/>
          <w:lang w:eastAsia="zh-CN"/>
        </w:rPr>
        <w:t>duplication should work. In this contribution, we address this aspect and present our views.</w:t>
      </w:r>
    </w:p>
    <w:p w14:paraId="5DCEF4FA" w14:textId="6451D6AD" w:rsidR="00555440" w:rsidRPr="001C137C" w:rsidRDefault="000760CC" w:rsidP="00555440">
      <w:pPr>
        <w:pStyle w:val="Tdoc"/>
      </w:pPr>
      <w:r>
        <w:t>Discussion</w:t>
      </w:r>
    </w:p>
    <w:p w14:paraId="04E98957" w14:textId="12D1264D" w:rsidR="00BC4E7C" w:rsidRDefault="00BC4E7C" w:rsidP="00AE0A3D">
      <w:pPr>
        <w:rPr>
          <w:rFonts w:ascii="Times New Roman" w:hAnsi="Times New Roman"/>
          <w:sz w:val="20"/>
        </w:rPr>
      </w:pPr>
      <w:r>
        <w:rPr>
          <w:rFonts w:ascii="Times New Roman" w:hAnsi="Times New Roman"/>
          <w:sz w:val="20"/>
        </w:rPr>
        <w:t xml:space="preserve">While mode 3 operation is strictly governed by eNB, the situation is quite different for mode 4 UEs. Similar to how resource selection procedure is entirely autonomous in nature, the duplication procedure is also envisioned to be quite autonomous and governed by the NW through pre-configuration. In this regard, what particular information is required to be considered by the UE to activate/deactivate this duplication was discussed in </w:t>
      </w:r>
      <w:sdt>
        <w:sdtPr>
          <w:rPr>
            <w:rFonts w:ascii="Times New Roman" w:hAnsi="Times New Roman"/>
            <w:sz w:val="20"/>
          </w:rPr>
          <w:id w:val="-795611472"/>
          <w:citation/>
        </w:sdtPr>
        <w:sdtEndPr/>
        <w:sdtContent>
          <w:r w:rsidR="007052AE">
            <w:rPr>
              <w:rFonts w:ascii="Times New Roman" w:hAnsi="Times New Roman"/>
              <w:sz w:val="20"/>
            </w:rPr>
            <w:fldChar w:fldCharType="begin"/>
          </w:r>
          <w:r w:rsidR="007052AE">
            <w:rPr>
              <w:rFonts w:ascii="Times New Roman" w:hAnsi="Times New Roman"/>
              <w:sz w:val="20"/>
            </w:rPr>
            <w:instrText xml:space="preserve"> CITATION PacketDuplicationEricsson \l 1033 </w:instrText>
          </w:r>
          <w:r w:rsidR="007052AE">
            <w:rPr>
              <w:rFonts w:ascii="Times New Roman" w:hAnsi="Times New Roman"/>
              <w:sz w:val="20"/>
            </w:rPr>
            <w:fldChar w:fldCharType="separate"/>
          </w:r>
          <w:r w:rsidR="007052AE" w:rsidRPr="007052AE">
            <w:rPr>
              <w:rFonts w:ascii="Times New Roman" w:hAnsi="Times New Roman"/>
              <w:noProof/>
              <w:sz w:val="20"/>
            </w:rPr>
            <w:t>[1]</w:t>
          </w:r>
          <w:r w:rsidR="007052AE">
            <w:rPr>
              <w:rFonts w:ascii="Times New Roman" w:hAnsi="Times New Roman"/>
              <w:sz w:val="20"/>
            </w:rPr>
            <w:fldChar w:fldCharType="end"/>
          </w:r>
        </w:sdtContent>
      </w:sdt>
      <w:r>
        <w:rPr>
          <w:rFonts w:ascii="Times New Roman" w:hAnsi="Times New Roman"/>
          <w:sz w:val="20"/>
        </w:rPr>
        <w:t>. Of course, a PPPR based criteria configured by the eNB would need to be defined for the mode 4 UE to decide on when to perform such duplication anyway. The main question seems to be whether we need to have an additional</w:t>
      </w:r>
      <w:r w:rsidR="00150169">
        <w:rPr>
          <w:rFonts w:ascii="Times New Roman" w:hAnsi="Times New Roman"/>
          <w:sz w:val="20"/>
        </w:rPr>
        <w:t xml:space="preserve"> criteria based on</w:t>
      </w:r>
      <w:r>
        <w:rPr>
          <w:rFonts w:ascii="Times New Roman" w:hAnsi="Times New Roman"/>
          <w:sz w:val="20"/>
        </w:rPr>
        <w:t xml:space="preserve"> CBR to control the duplication and there seem to be conflicting views among companies between the </w:t>
      </w:r>
      <w:r w:rsidR="00AC35D4">
        <w:rPr>
          <w:rFonts w:ascii="Times New Roman" w:hAnsi="Times New Roman"/>
          <w:sz w:val="20"/>
        </w:rPr>
        <w:t>following</w:t>
      </w:r>
      <w:r>
        <w:rPr>
          <w:rFonts w:ascii="Times New Roman" w:hAnsi="Times New Roman"/>
          <w:sz w:val="20"/>
        </w:rPr>
        <w:t xml:space="preserve"> options:</w:t>
      </w:r>
    </w:p>
    <w:p w14:paraId="186350A6" w14:textId="04E55663" w:rsidR="00BC4E7C" w:rsidRDefault="00BC4E7C" w:rsidP="00BC4E7C">
      <w:pPr>
        <w:pStyle w:val="ListParagraph"/>
        <w:numPr>
          <w:ilvl w:val="0"/>
          <w:numId w:val="24"/>
        </w:numPr>
        <w:rPr>
          <w:rFonts w:ascii="Times New Roman" w:hAnsi="Times New Roman"/>
          <w:sz w:val="20"/>
        </w:rPr>
      </w:pPr>
      <w:r>
        <w:rPr>
          <w:rFonts w:ascii="Times New Roman" w:hAnsi="Times New Roman"/>
          <w:sz w:val="20"/>
        </w:rPr>
        <w:t>Only PPPR criteria (i.e. threshold) is used</w:t>
      </w:r>
    </w:p>
    <w:p w14:paraId="6D2FCA5C" w14:textId="65539F03" w:rsidR="00BC4E7C" w:rsidRDefault="00BC4E7C" w:rsidP="00BC4E7C">
      <w:pPr>
        <w:pStyle w:val="ListParagraph"/>
        <w:numPr>
          <w:ilvl w:val="0"/>
          <w:numId w:val="24"/>
        </w:numPr>
        <w:rPr>
          <w:rFonts w:ascii="Times New Roman" w:hAnsi="Times New Roman"/>
          <w:sz w:val="20"/>
        </w:rPr>
      </w:pPr>
      <w:r>
        <w:rPr>
          <w:rFonts w:ascii="Times New Roman" w:hAnsi="Times New Roman"/>
          <w:sz w:val="20"/>
        </w:rPr>
        <w:t xml:space="preserve">Both PPPR and CBR are considered and a PPPR-CBR mapping table is pre-configured to the UE </w:t>
      </w:r>
    </w:p>
    <w:p w14:paraId="4A741084" w14:textId="518C5D0A" w:rsidR="00BC4E7C" w:rsidRDefault="00BC4E7C" w:rsidP="00BC4E7C">
      <w:pPr>
        <w:pStyle w:val="ListParagraph"/>
        <w:numPr>
          <w:ilvl w:val="0"/>
          <w:numId w:val="24"/>
        </w:numPr>
        <w:rPr>
          <w:rFonts w:ascii="Times New Roman" w:hAnsi="Times New Roman"/>
          <w:sz w:val="20"/>
        </w:rPr>
      </w:pPr>
      <w:r>
        <w:rPr>
          <w:rFonts w:ascii="Times New Roman" w:hAnsi="Times New Roman"/>
          <w:sz w:val="20"/>
        </w:rPr>
        <w:t>A single CBR threshold (applicable for all carriers) is configured in addition to PPPR</w:t>
      </w:r>
    </w:p>
    <w:p w14:paraId="6C300B00" w14:textId="2329F208" w:rsidR="00BC4E7C" w:rsidRDefault="00BC4E7C" w:rsidP="00AE0A3D">
      <w:pPr>
        <w:rPr>
          <w:rFonts w:ascii="Times New Roman" w:hAnsi="Times New Roman"/>
          <w:sz w:val="20"/>
        </w:rPr>
      </w:pPr>
      <w:r>
        <w:rPr>
          <w:rFonts w:ascii="Times New Roman" w:hAnsi="Times New Roman"/>
          <w:sz w:val="20"/>
        </w:rPr>
        <w:t xml:space="preserve">The argument presented by companies supportive of </w:t>
      </w:r>
      <w:r w:rsidR="00404852">
        <w:rPr>
          <w:rFonts w:ascii="Times New Roman" w:hAnsi="Times New Roman"/>
          <w:sz w:val="20"/>
        </w:rPr>
        <w:t>considering</w:t>
      </w:r>
      <w:r w:rsidR="007A433B">
        <w:rPr>
          <w:rFonts w:ascii="Times New Roman" w:hAnsi="Times New Roman"/>
          <w:sz w:val="20"/>
        </w:rPr>
        <w:t xml:space="preserve"> CBR seems to be to ensure that duplicated transmissions </w:t>
      </w:r>
      <w:r w:rsidR="007052AE">
        <w:rPr>
          <w:rFonts w:ascii="Times New Roman" w:hAnsi="Times New Roman"/>
          <w:sz w:val="20"/>
        </w:rPr>
        <w:t>does not</w:t>
      </w:r>
      <w:r w:rsidR="007A433B">
        <w:rPr>
          <w:rFonts w:ascii="Times New Roman" w:hAnsi="Times New Roman"/>
          <w:sz w:val="20"/>
        </w:rPr>
        <w:t xml:space="preserve"> </w:t>
      </w:r>
      <w:r w:rsidR="007052AE">
        <w:rPr>
          <w:rFonts w:ascii="Times New Roman" w:hAnsi="Times New Roman"/>
          <w:sz w:val="20"/>
        </w:rPr>
        <w:t>adversely impact</w:t>
      </w:r>
      <w:r w:rsidR="007A433B">
        <w:rPr>
          <w:rFonts w:ascii="Times New Roman" w:hAnsi="Times New Roman"/>
          <w:sz w:val="20"/>
        </w:rPr>
        <w:t xml:space="preserve"> carrier load and congestion in the system. However, there are two aspects </w:t>
      </w:r>
      <w:r w:rsidR="007052AE">
        <w:rPr>
          <w:rFonts w:ascii="Times New Roman" w:hAnsi="Times New Roman"/>
          <w:sz w:val="20"/>
        </w:rPr>
        <w:t xml:space="preserve">to be considered </w:t>
      </w:r>
      <w:r w:rsidR="007A433B">
        <w:rPr>
          <w:rFonts w:ascii="Times New Roman" w:hAnsi="Times New Roman"/>
          <w:sz w:val="20"/>
        </w:rPr>
        <w:t xml:space="preserve">that address this issue comprehensively. Firstly, we expect </w:t>
      </w:r>
      <w:r w:rsidR="00404852">
        <w:rPr>
          <w:rFonts w:ascii="Times New Roman" w:hAnsi="Times New Roman"/>
          <w:sz w:val="20"/>
        </w:rPr>
        <w:t>a</w:t>
      </w:r>
      <w:r w:rsidR="007A433B">
        <w:rPr>
          <w:rFonts w:ascii="Times New Roman" w:hAnsi="Times New Roman"/>
          <w:sz w:val="20"/>
        </w:rPr>
        <w:t xml:space="preserve"> few V2X services requiring high reliability and duplicated transmissions over multiple carriers over an extended period of time. Depending on what the PPPR criteria for duplication is, a small fraction of packets would be duplicated. So, the degree of duplicated transmissions and </w:t>
      </w:r>
      <w:r w:rsidR="00AC35D4">
        <w:rPr>
          <w:rFonts w:ascii="Times New Roman" w:hAnsi="Times New Roman"/>
          <w:sz w:val="20"/>
        </w:rPr>
        <w:t xml:space="preserve">resultant </w:t>
      </w:r>
      <w:r w:rsidR="007A433B">
        <w:rPr>
          <w:rFonts w:ascii="Times New Roman" w:hAnsi="Times New Roman"/>
          <w:sz w:val="20"/>
        </w:rPr>
        <w:t>impact on channel load is entirely configurable by the NW</w:t>
      </w:r>
      <w:r w:rsidR="00404852">
        <w:rPr>
          <w:rFonts w:ascii="Times New Roman" w:hAnsi="Times New Roman"/>
          <w:sz w:val="20"/>
        </w:rPr>
        <w:t xml:space="preserve"> configuration of </w:t>
      </w:r>
      <w:r w:rsidR="00CA3B14">
        <w:rPr>
          <w:rFonts w:ascii="Times New Roman" w:hAnsi="Times New Roman"/>
          <w:sz w:val="20"/>
        </w:rPr>
        <w:t>PPPR threshold</w:t>
      </w:r>
      <w:r w:rsidR="007A433B">
        <w:rPr>
          <w:rFonts w:ascii="Times New Roman" w:hAnsi="Times New Roman"/>
          <w:sz w:val="20"/>
        </w:rPr>
        <w:t xml:space="preserve">. Secondly, based on the discussion in </w:t>
      </w:r>
      <w:sdt>
        <w:sdtPr>
          <w:rPr>
            <w:rFonts w:ascii="Times New Roman" w:hAnsi="Times New Roman"/>
            <w:sz w:val="20"/>
          </w:rPr>
          <w:id w:val="220564611"/>
          <w:citation/>
        </w:sdtPr>
        <w:sdtEndPr/>
        <w:sdtContent>
          <w:r w:rsidR="007052AE">
            <w:rPr>
              <w:rFonts w:ascii="Times New Roman" w:hAnsi="Times New Roman"/>
              <w:sz w:val="20"/>
            </w:rPr>
            <w:fldChar w:fldCharType="begin"/>
          </w:r>
          <w:r w:rsidR="007052AE">
            <w:rPr>
              <w:rFonts w:ascii="Times New Roman" w:hAnsi="Times New Roman"/>
              <w:sz w:val="20"/>
            </w:rPr>
            <w:instrText xml:space="preserve"> CITATION carrierReselectionQC \l 1033 </w:instrText>
          </w:r>
          <w:r w:rsidR="007052AE">
            <w:rPr>
              <w:rFonts w:ascii="Times New Roman" w:hAnsi="Times New Roman"/>
              <w:sz w:val="20"/>
            </w:rPr>
            <w:fldChar w:fldCharType="separate"/>
          </w:r>
          <w:r w:rsidR="007052AE" w:rsidRPr="007052AE">
            <w:rPr>
              <w:rFonts w:ascii="Times New Roman" w:hAnsi="Times New Roman"/>
              <w:noProof/>
              <w:sz w:val="20"/>
            </w:rPr>
            <w:t>[2]</w:t>
          </w:r>
          <w:r w:rsidR="007052AE">
            <w:rPr>
              <w:rFonts w:ascii="Times New Roman" w:hAnsi="Times New Roman"/>
              <w:sz w:val="20"/>
            </w:rPr>
            <w:fldChar w:fldCharType="end"/>
          </w:r>
        </w:sdtContent>
      </w:sdt>
      <w:r w:rsidR="007A433B">
        <w:rPr>
          <w:rFonts w:ascii="Times New Roman" w:hAnsi="Times New Roman"/>
          <w:sz w:val="20"/>
        </w:rPr>
        <w:t xml:space="preserve">, a comprehensive list of carrier (re)selection triggers have been defined. Based on the CBR threshold configured by the eNB, the UE would perform selection of carriers quite robustly. </w:t>
      </w:r>
      <w:r w:rsidR="00AC35D4">
        <w:rPr>
          <w:rFonts w:ascii="Times New Roman" w:hAnsi="Times New Roman"/>
          <w:sz w:val="20"/>
        </w:rPr>
        <w:t xml:space="preserve">Moreover, this happens independent of whether or not duplication is being performed. </w:t>
      </w:r>
      <w:r w:rsidR="007A433B">
        <w:rPr>
          <w:rFonts w:ascii="Times New Roman" w:hAnsi="Times New Roman"/>
          <w:sz w:val="20"/>
        </w:rPr>
        <w:t xml:space="preserve">So, even if duplicated transmissions do lead to an increase in CBR, the impact UE(s) would be able to reselect to </w:t>
      </w:r>
      <w:r w:rsidR="005D412A">
        <w:rPr>
          <w:rFonts w:ascii="Times New Roman" w:hAnsi="Times New Roman"/>
          <w:sz w:val="20"/>
        </w:rPr>
        <w:t xml:space="preserve">other, </w:t>
      </w:r>
      <w:r w:rsidR="007A433B">
        <w:rPr>
          <w:rFonts w:ascii="Times New Roman" w:hAnsi="Times New Roman"/>
          <w:sz w:val="20"/>
        </w:rPr>
        <w:t xml:space="preserve">less congested carriers </w:t>
      </w:r>
      <w:r w:rsidR="00AC35D4">
        <w:rPr>
          <w:rFonts w:ascii="Times New Roman" w:hAnsi="Times New Roman"/>
          <w:sz w:val="20"/>
        </w:rPr>
        <w:t xml:space="preserve">in a dynamic fashion, </w:t>
      </w:r>
      <w:r w:rsidR="007A433B">
        <w:rPr>
          <w:rFonts w:ascii="Times New Roman" w:hAnsi="Times New Roman"/>
          <w:sz w:val="20"/>
        </w:rPr>
        <w:t xml:space="preserve">without much impact to the overall system performance. </w:t>
      </w:r>
      <w:r w:rsidR="005D412A">
        <w:rPr>
          <w:rFonts w:ascii="Times New Roman" w:hAnsi="Times New Roman"/>
          <w:sz w:val="20"/>
        </w:rPr>
        <w:t>Again</w:t>
      </w:r>
      <w:r w:rsidR="007A433B">
        <w:rPr>
          <w:rFonts w:ascii="Times New Roman" w:hAnsi="Times New Roman"/>
          <w:sz w:val="20"/>
        </w:rPr>
        <w:t>, overall system performance can be easily tuned by proper NW implementation.</w:t>
      </w:r>
    </w:p>
    <w:p w14:paraId="19AF2B56" w14:textId="48713EC5" w:rsidR="00AD440B" w:rsidRDefault="007A433B" w:rsidP="00AE0A3D">
      <w:pPr>
        <w:rPr>
          <w:rFonts w:ascii="Times New Roman" w:hAnsi="Times New Roman"/>
          <w:sz w:val="20"/>
        </w:rPr>
      </w:pPr>
      <w:r>
        <w:rPr>
          <w:rFonts w:ascii="Times New Roman" w:hAnsi="Times New Roman"/>
          <w:sz w:val="20"/>
        </w:rPr>
        <w:t>The alternative 2 and 3, on the other hand, seem to fu</w:t>
      </w:r>
      <w:r w:rsidR="005D412A">
        <w:rPr>
          <w:rFonts w:ascii="Times New Roman" w:hAnsi="Times New Roman"/>
          <w:sz w:val="20"/>
        </w:rPr>
        <w:t>r</w:t>
      </w:r>
      <w:r>
        <w:rPr>
          <w:rFonts w:ascii="Times New Roman" w:hAnsi="Times New Roman"/>
          <w:sz w:val="20"/>
        </w:rPr>
        <w:t xml:space="preserve">ther complicate the procedure by introducing additional signaling/configuration. The use of a PPPR-CBR mapping table (similar to PPPP-CBR mapping table in Rel-14) is not really required since CBR (and PPPP) is taken into account already when the UE (re)selects a new carrier. </w:t>
      </w:r>
      <w:r w:rsidR="00AD440B">
        <w:rPr>
          <w:rFonts w:ascii="Times New Roman" w:hAnsi="Times New Roman"/>
          <w:sz w:val="20"/>
        </w:rPr>
        <w:t>A single CBR threshold for when duplication is allowed to be performed on a given carrier seeks to strike a middle ground but is still not necessary due to the afore-mentioned reasoning. So, we propose to only consider PPPR when performing duplication for mode 4 UEs.</w:t>
      </w:r>
    </w:p>
    <w:p w14:paraId="1FF562F8" w14:textId="0BDE1D78" w:rsidR="006D24C0" w:rsidRDefault="007F5C58" w:rsidP="006D24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052AE">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AD440B">
        <w:rPr>
          <w:rFonts w:ascii="Times New Roman" w:eastAsia="Times New Roman" w:hAnsi="Times New Roman"/>
          <w:bCs/>
          <w:i/>
          <w:sz w:val="20"/>
          <w:szCs w:val="20"/>
          <w:lang w:val="en-GB" w:eastAsia="zh-CN"/>
        </w:rPr>
        <w:t>Only PPPR should be considered by mode 4</w:t>
      </w:r>
      <w:r w:rsidR="00404852">
        <w:rPr>
          <w:rFonts w:ascii="Times New Roman" w:eastAsia="Times New Roman" w:hAnsi="Times New Roman"/>
          <w:bCs/>
          <w:i/>
          <w:sz w:val="20"/>
          <w:szCs w:val="20"/>
          <w:lang w:val="en-GB" w:eastAsia="zh-CN"/>
        </w:rPr>
        <w:t xml:space="preserve"> UE</w:t>
      </w:r>
      <w:r w:rsidR="00AD440B">
        <w:rPr>
          <w:rFonts w:ascii="Times New Roman" w:eastAsia="Times New Roman" w:hAnsi="Times New Roman"/>
          <w:bCs/>
          <w:i/>
          <w:sz w:val="20"/>
          <w:szCs w:val="20"/>
          <w:lang w:val="en-GB" w:eastAsia="zh-CN"/>
        </w:rPr>
        <w:t xml:space="preserve"> to activate/deactivate packet duplication over sidelink</w:t>
      </w:r>
      <w:r w:rsidR="00F200DB">
        <w:rPr>
          <w:rFonts w:ascii="Times New Roman" w:eastAsia="Times New Roman" w:hAnsi="Times New Roman"/>
          <w:bCs/>
          <w:i/>
          <w:sz w:val="20"/>
          <w:szCs w:val="20"/>
          <w:lang w:val="en-GB" w:eastAsia="zh-CN"/>
        </w:rPr>
        <w:t>.</w:t>
      </w:r>
    </w:p>
    <w:p w14:paraId="59D30E5A" w14:textId="197AD948" w:rsidR="006D24C0" w:rsidRDefault="006D24C0" w:rsidP="006D24C0">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An additional aspect to consider is on the aspect of allowing mode 4 UEs to request resources for duplicated transmission. The main use case considered in </w:t>
      </w:r>
      <w:sdt>
        <w:sdtPr>
          <w:rPr>
            <w:rFonts w:ascii="Times New Roman" w:eastAsia="Times New Roman" w:hAnsi="Times New Roman"/>
            <w:bCs/>
            <w:sz w:val="20"/>
            <w:szCs w:val="20"/>
            <w:lang w:val="en-GB" w:eastAsia="zh-CN"/>
          </w:rPr>
          <w:id w:val="-590313315"/>
          <w:citation/>
        </w:sdtPr>
        <w:sdtEndPr/>
        <w:sdtContent>
          <w:r w:rsidR="007052AE">
            <w:rPr>
              <w:rFonts w:ascii="Times New Roman" w:eastAsia="Times New Roman" w:hAnsi="Times New Roman"/>
              <w:bCs/>
              <w:sz w:val="20"/>
              <w:szCs w:val="20"/>
              <w:lang w:val="en-GB" w:eastAsia="zh-CN"/>
            </w:rPr>
            <w:fldChar w:fldCharType="begin"/>
          </w:r>
          <w:r w:rsidR="007052AE">
            <w:rPr>
              <w:rFonts w:ascii="Times New Roman" w:eastAsia="Times New Roman" w:hAnsi="Times New Roman"/>
              <w:bCs/>
              <w:sz w:val="20"/>
              <w:szCs w:val="20"/>
              <w:lang w:eastAsia="zh-CN"/>
            </w:rPr>
            <w:instrText xml:space="preserve"> CITATION NokiaDuplication \l 1033 </w:instrText>
          </w:r>
          <w:r w:rsidR="007052AE">
            <w:rPr>
              <w:rFonts w:ascii="Times New Roman" w:eastAsia="Times New Roman" w:hAnsi="Times New Roman"/>
              <w:bCs/>
              <w:sz w:val="20"/>
              <w:szCs w:val="20"/>
              <w:lang w:val="en-GB" w:eastAsia="zh-CN"/>
            </w:rPr>
            <w:fldChar w:fldCharType="separate"/>
          </w:r>
          <w:r w:rsidR="007052AE" w:rsidRPr="007052AE">
            <w:rPr>
              <w:rFonts w:ascii="Times New Roman" w:eastAsia="Times New Roman" w:hAnsi="Times New Roman"/>
              <w:noProof/>
              <w:sz w:val="20"/>
              <w:szCs w:val="20"/>
              <w:lang w:eastAsia="zh-CN"/>
            </w:rPr>
            <w:t>[3]</w:t>
          </w:r>
          <w:r w:rsidR="007052AE">
            <w:rPr>
              <w:rFonts w:ascii="Times New Roman" w:eastAsia="Times New Roman" w:hAnsi="Times New Roman"/>
              <w:bCs/>
              <w:sz w:val="20"/>
              <w:szCs w:val="20"/>
              <w:lang w:val="en-GB" w:eastAsia="zh-CN"/>
            </w:rPr>
            <w:fldChar w:fldCharType="end"/>
          </w:r>
        </w:sdtContent>
      </w:sdt>
      <w:r w:rsidR="007052AE">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for this scenario is if the mode 4 UE cannot meet the criteria for activating duplication, it can request NW for duplicated transmission. In response, the eNB can either reconfigure the criteria for duplication or allocate dedicated resources for this purpose. While it seems attractive in principle, we view this as more of an enhancement and assume that a careful network implementation should ensure that this use case is unlikely to happen. Additionally, this would only apply to in coverage mode 4 UEs and out of coverage UEs would not benefit from it. So, we propose to not consider this case for mode 4 UEs in Rel-15.</w:t>
      </w:r>
    </w:p>
    <w:p w14:paraId="438D7781" w14:textId="249BE648" w:rsidR="006D24C0" w:rsidRPr="007052AE" w:rsidRDefault="007052AE" w:rsidP="007052A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6D24C0">
        <w:rPr>
          <w:rFonts w:ascii="Times New Roman" w:eastAsia="Times New Roman" w:hAnsi="Times New Roman"/>
          <w:b/>
          <w:bCs/>
          <w:sz w:val="20"/>
          <w:szCs w:val="20"/>
          <w:u w:val="single"/>
          <w:lang w:val="en-GB" w:eastAsia="zh-CN"/>
        </w:rPr>
        <w:t>:</w:t>
      </w:r>
      <w:r w:rsidR="006D24C0">
        <w:rPr>
          <w:rFonts w:ascii="Times New Roman" w:eastAsia="Times New Roman" w:hAnsi="Times New Roman"/>
          <w:b/>
          <w:bCs/>
          <w:sz w:val="20"/>
          <w:szCs w:val="20"/>
          <w:lang w:val="en-GB" w:eastAsia="zh-CN"/>
        </w:rPr>
        <w:tab/>
      </w:r>
      <w:r w:rsidR="006D24C0">
        <w:rPr>
          <w:rFonts w:ascii="Times New Roman" w:eastAsia="Times New Roman" w:hAnsi="Times New Roman"/>
          <w:bCs/>
          <w:i/>
          <w:sz w:val="20"/>
          <w:szCs w:val="20"/>
          <w:lang w:val="en-GB" w:eastAsia="zh-CN"/>
        </w:rPr>
        <w:t>The case of mode 4 UEs requesting NW for duplicated transmissions should not be considered for Rel-15 V2X.</w:t>
      </w:r>
    </w:p>
    <w:p w14:paraId="50A28EC3" w14:textId="77777777" w:rsidR="008669B1" w:rsidRPr="00E0063E" w:rsidRDefault="008669B1" w:rsidP="008669B1">
      <w:pPr>
        <w:pStyle w:val="Tdoc"/>
      </w:pPr>
      <w:r w:rsidRPr="00E0063E">
        <w:t>Conclusion</w:t>
      </w:r>
    </w:p>
    <w:p w14:paraId="50A28EC4" w14:textId="78DAD7A6"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w:t>
      </w:r>
      <w:r w:rsidR="00150169">
        <w:rPr>
          <w:rFonts w:ascii="Times New Roman" w:eastAsia="Times New Roman" w:hAnsi="Times New Roman"/>
          <w:bCs/>
          <w:sz w:val="20"/>
          <w:szCs w:val="20"/>
          <w:lang w:val="en-GB" w:eastAsia="zh-CN"/>
        </w:rPr>
        <w:t>elaborates on the packet duplication aspect for mode 4 UEs and makes the following proposal</w:t>
      </w:r>
      <w:r w:rsidR="00777344">
        <w:rPr>
          <w:rFonts w:ascii="Times New Roman" w:eastAsia="Times New Roman" w:hAnsi="Times New Roman"/>
          <w:bCs/>
          <w:sz w:val="20"/>
          <w:szCs w:val="20"/>
          <w:lang w:val="en-GB" w:eastAsia="zh-CN"/>
        </w:rPr>
        <w:t>:</w:t>
      </w:r>
    </w:p>
    <w:p w14:paraId="471CF4E5" w14:textId="77777777" w:rsidR="007052AE" w:rsidRDefault="007052AE" w:rsidP="007052A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Only PPPR should be considered by mode 4 UE to activate/deactivate packet duplication over sidelink.</w:t>
      </w:r>
    </w:p>
    <w:p w14:paraId="3CEBC956" w14:textId="77777777" w:rsidR="007052AE" w:rsidRPr="007052AE" w:rsidRDefault="007052AE" w:rsidP="007052A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mode 4 UEs requesting NW for duplicated transmissions should not be considered for Rel-15 V2X.</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7960B105" w14:textId="77777777" w:rsidR="007052AE"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052AE" w14:paraId="71ACEA7B" w14:textId="77777777">
                <w:trPr>
                  <w:divId w:val="1044721762"/>
                  <w:tblCellSpacing w:w="15" w:type="dxa"/>
                </w:trPr>
                <w:tc>
                  <w:tcPr>
                    <w:tcW w:w="50" w:type="pct"/>
                    <w:hideMark/>
                  </w:tcPr>
                  <w:p w14:paraId="22CB7323" w14:textId="77777777" w:rsidR="007052AE" w:rsidRDefault="007052AE">
                    <w:pPr>
                      <w:pStyle w:val="Bibliography"/>
                      <w:rPr>
                        <w:noProof/>
                        <w:sz w:val="24"/>
                        <w:szCs w:val="24"/>
                      </w:rPr>
                    </w:pPr>
                    <w:r>
                      <w:rPr>
                        <w:noProof/>
                      </w:rPr>
                      <w:t xml:space="preserve">[1] </w:t>
                    </w:r>
                  </w:p>
                </w:tc>
                <w:tc>
                  <w:tcPr>
                    <w:tcW w:w="0" w:type="auto"/>
                    <w:hideMark/>
                  </w:tcPr>
                  <w:p w14:paraId="720CD74F" w14:textId="77777777" w:rsidR="007052AE" w:rsidRDefault="007052AE">
                    <w:pPr>
                      <w:pStyle w:val="Bibliography"/>
                      <w:rPr>
                        <w:noProof/>
                      </w:rPr>
                    </w:pPr>
                    <w:r>
                      <w:rPr>
                        <w:noProof/>
                      </w:rPr>
                      <w:t xml:space="preserve">"R2-180xxxx, "draft Report from [101#72][LTE/V2X] Packet duplication", Ericsson". </w:t>
                    </w:r>
                  </w:p>
                </w:tc>
              </w:tr>
              <w:tr w:rsidR="007052AE" w14:paraId="1A6F48E9" w14:textId="77777777">
                <w:trPr>
                  <w:divId w:val="1044721762"/>
                  <w:tblCellSpacing w:w="15" w:type="dxa"/>
                </w:trPr>
                <w:tc>
                  <w:tcPr>
                    <w:tcW w:w="50" w:type="pct"/>
                    <w:hideMark/>
                  </w:tcPr>
                  <w:p w14:paraId="11AC6965" w14:textId="77777777" w:rsidR="007052AE" w:rsidRDefault="007052AE">
                    <w:pPr>
                      <w:pStyle w:val="Bibliography"/>
                      <w:rPr>
                        <w:noProof/>
                      </w:rPr>
                    </w:pPr>
                    <w:r>
                      <w:rPr>
                        <w:noProof/>
                      </w:rPr>
                      <w:t xml:space="preserve">[2] </w:t>
                    </w:r>
                  </w:p>
                </w:tc>
                <w:tc>
                  <w:tcPr>
                    <w:tcW w:w="0" w:type="auto"/>
                    <w:hideMark/>
                  </w:tcPr>
                  <w:p w14:paraId="1E541326" w14:textId="77777777" w:rsidR="007052AE" w:rsidRDefault="007052AE">
                    <w:pPr>
                      <w:pStyle w:val="Bibliography"/>
                      <w:rPr>
                        <w:noProof/>
                      </w:rPr>
                    </w:pPr>
                    <w:r>
                      <w:rPr>
                        <w:noProof/>
                      </w:rPr>
                      <w:t xml:space="preserve">"R2-180xxx, Summary of [101#75][eV2x] Additional carrier reselection triggering, Qualcomm". </w:t>
                    </w:r>
                  </w:p>
                </w:tc>
              </w:tr>
              <w:tr w:rsidR="007052AE" w14:paraId="78DFDFE1" w14:textId="77777777">
                <w:trPr>
                  <w:divId w:val="1044721762"/>
                  <w:tblCellSpacing w:w="15" w:type="dxa"/>
                </w:trPr>
                <w:tc>
                  <w:tcPr>
                    <w:tcW w:w="50" w:type="pct"/>
                    <w:hideMark/>
                  </w:tcPr>
                  <w:p w14:paraId="3A4CDDA6" w14:textId="77777777" w:rsidR="007052AE" w:rsidRDefault="007052AE">
                    <w:pPr>
                      <w:pStyle w:val="Bibliography"/>
                      <w:rPr>
                        <w:noProof/>
                      </w:rPr>
                    </w:pPr>
                    <w:r>
                      <w:rPr>
                        <w:noProof/>
                      </w:rPr>
                      <w:t xml:space="preserve">[3] </w:t>
                    </w:r>
                  </w:p>
                </w:tc>
                <w:tc>
                  <w:tcPr>
                    <w:tcW w:w="0" w:type="auto"/>
                    <w:hideMark/>
                  </w:tcPr>
                  <w:p w14:paraId="31DFFC54" w14:textId="77777777" w:rsidR="007052AE" w:rsidRDefault="007052AE">
                    <w:pPr>
                      <w:pStyle w:val="Bibliography"/>
                      <w:rPr>
                        <w:noProof/>
                      </w:rPr>
                    </w:pPr>
                    <w:r>
                      <w:rPr>
                        <w:noProof/>
                      </w:rPr>
                      <w:t xml:space="preserve">"R2-1712942, "Discussion on activation of duplication", Nokia, Nokia Shanghai Bell". </w:t>
                    </w:r>
                  </w:p>
                </w:tc>
              </w:tr>
            </w:tbl>
            <w:p w14:paraId="3F9CB1E0" w14:textId="77777777" w:rsidR="007052AE" w:rsidRDefault="007052AE">
              <w:pPr>
                <w:divId w:val="1044721762"/>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B36E9E" w:rsidRDefault="00B36E9E">
      <w:pPr>
        <w:spacing w:after="0" w:line="240" w:lineRule="auto"/>
      </w:pPr>
      <w:r>
        <w:separator/>
      </w:r>
    </w:p>
  </w:endnote>
  <w:endnote w:type="continuationSeparator" w:id="0">
    <w:p w14:paraId="50A28EF3" w14:textId="77777777" w:rsidR="00B36E9E" w:rsidRDefault="00B3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B36E9E" w:rsidRDefault="00B36E9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3FB5">
      <w:rPr>
        <w:rFonts w:ascii="Arial" w:hAnsi="Arial" w:cs="Arial"/>
        <w:b/>
        <w:noProof/>
        <w:sz w:val="18"/>
        <w:szCs w:val="18"/>
      </w:rPr>
      <w:t>2</w:t>
    </w:r>
    <w:r>
      <w:rPr>
        <w:rFonts w:ascii="Arial" w:hAnsi="Arial" w:cs="Arial"/>
        <w:b/>
        <w:sz w:val="18"/>
        <w:szCs w:val="18"/>
      </w:rPr>
      <w:fldChar w:fldCharType="end"/>
    </w:r>
  </w:p>
  <w:p w14:paraId="50A28EF5" w14:textId="77777777" w:rsidR="00B36E9E" w:rsidRDefault="00B36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B36E9E" w:rsidRDefault="00B36E9E">
      <w:pPr>
        <w:spacing w:after="0" w:line="240" w:lineRule="auto"/>
      </w:pPr>
      <w:r>
        <w:separator/>
      </w:r>
    </w:p>
  </w:footnote>
  <w:footnote w:type="continuationSeparator" w:id="0">
    <w:p w14:paraId="50A28EF1" w14:textId="77777777" w:rsidR="00B36E9E" w:rsidRDefault="00B36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234C0"/>
    <w:multiLevelType w:val="hybridMultilevel"/>
    <w:tmpl w:val="43581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63F17"/>
    <w:multiLevelType w:val="hybridMultilevel"/>
    <w:tmpl w:val="20548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F6A7D9C"/>
    <w:multiLevelType w:val="hybridMultilevel"/>
    <w:tmpl w:val="8E3C37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4"/>
  </w:num>
  <w:num w:numId="4">
    <w:abstractNumId w:val="13"/>
  </w:num>
  <w:num w:numId="5">
    <w:abstractNumId w:val="3"/>
    <w:lvlOverride w:ilvl="0">
      <w:startOverride w:val="1"/>
    </w:lvlOverride>
  </w:num>
  <w:num w:numId="6">
    <w:abstractNumId w:val="5"/>
    <w:lvlOverride w:ilvl="0">
      <w:startOverride w:val="2"/>
    </w:lvlOverride>
  </w:num>
  <w:num w:numId="7">
    <w:abstractNumId w:val="21"/>
  </w:num>
  <w:num w:numId="8">
    <w:abstractNumId w:val="8"/>
  </w:num>
  <w:num w:numId="9">
    <w:abstractNumId w:val="6"/>
  </w:num>
  <w:num w:numId="10">
    <w:abstractNumId w:val="17"/>
  </w:num>
  <w:num w:numId="11">
    <w:abstractNumId w:val="23"/>
  </w:num>
  <w:num w:numId="12">
    <w:abstractNumId w:val="4"/>
  </w:num>
  <w:num w:numId="13">
    <w:abstractNumId w:val="7"/>
  </w:num>
  <w:num w:numId="14">
    <w:abstractNumId w:val="1"/>
  </w:num>
  <w:num w:numId="15">
    <w:abstractNumId w:val="2"/>
  </w:num>
  <w:num w:numId="16">
    <w:abstractNumId w:val="12"/>
  </w:num>
  <w:num w:numId="17">
    <w:abstractNumId w:val="20"/>
  </w:num>
  <w:num w:numId="18">
    <w:abstractNumId w:val="9"/>
  </w:num>
  <w:num w:numId="19">
    <w:abstractNumId w:val="18"/>
  </w:num>
  <w:num w:numId="20">
    <w:abstractNumId w:val="0"/>
  </w:num>
  <w:num w:numId="21">
    <w:abstractNumId w:val="22"/>
  </w:num>
  <w:num w:numId="22">
    <w:abstractNumId w:val="11"/>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17118"/>
    <w:rsid w:val="0002151A"/>
    <w:rsid w:val="00031A47"/>
    <w:rsid w:val="000336C8"/>
    <w:rsid w:val="00053B8A"/>
    <w:rsid w:val="000632AE"/>
    <w:rsid w:val="00066057"/>
    <w:rsid w:val="00071BD0"/>
    <w:rsid w:val="000760CC"/>
    <w:rsid w:val="0007638E"/>
    <w:rsid w:val="00077473"/>
    <w:rsid w:val="00081766"/>
    <w:rsid w:val="0008197A"/>
    <w:rsid w:val="00096596"/>
    <w:rsid w:val="000A09E6"/>
    <w:rsid w:val="000A7E1C"/>
    <w:rsid w:val="000D0A95"/>
    <w:rsid w:val="000E4761"/>
    <w:rsid w:val="000E493C"/>
    <w:rsid w:val="000F1C37"/>
    <w:rsid w:val="000F54CA"/>
    <w:rsid w:val="00100001"/>
    <w:rsid w:val="00111236"/>
    <w:rsid w:val="0011610B"/>
    <w:rsid w:val="00120B9E"/>
    <w:rsid w:val="00122A4A"/>
    <w:rsid w:val="00143F5D"/>
    <w:rsid w:val="00144CD4"/>
    <w:rsid w:val="00147C5C"/>
    <w:rsid w:val="00150169"/>
    <w:rsid w:val="00151E30"/>
    <w:rsid w:val="00154CC9"/>
    <w:rsid w:val="00160710"/>
    <w:rsid w:val="0016207C"/>
    <w:rsid w:val="0016488C"/>
    <w:rsid w:val="00171180"/>
    <w:rsid w:val="00175B7F"/>
    <w:rsid w:val="00175DCB"/>
    <w:rsid w:val="00183766"/>
    <w:rsid w:val="00195430"/>
    <w:rsid w:val="00197B45"/>
    <w:rsid w:val="001A793C"/>
    <w:rsid w:val="001B7098"/>
    <w:rsid w:val="001C137C"/>
    <w:rsid w:val="001C6E8B"/>
    <w:rsid w:val="001D28A0"/>
    <w:rsid w:val="001E221E"/>
    <w:rsid w:val="001E3A01"/>
    <w:rsid w:val="001E54F9"/>
    <w:rsid w:val="0020567B"/>
    <w:rsid w:val="0020671E"/>
    <w:rsid w:val="00225341"/>
    <w:rsid w:val="002403B8"/>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30823"/>
    <w:rsid w:val="00332463"/>
    <w:rsid w:val="00332851"/>
    <w:rsid w:val="00336D1D"/>
    <w:rsid w:val="003379D6"/>
    <w:rsid w:val="00337A0E"/>
    <w:rsid w:val="00345654"/>
    <w:rsid w:val="0035278E"/>
    <w:rsid w:val="00361EF9"/>
    <w:rsid w:val="003848A3"/>
    <w:rsid w:val="00384CB8"/>
    <w:rsid w:val="00385E3E"/>
    <w:rsid w:val="00393AAF"/>
    <w:rsid w:val="00396B24"/>
    <w:rsid w:val="003A766F"/>
    <w:rsid w:val="003B424F"/>
    <w:rsid w:val="003B6208"/>
    <w:rsid w:val="003B6BC4"/>
    <w:rsid w:val="003C2812"/>
    <w:rsid w:val="003C4750"/>
    <w:rsid w:val="003D1D55"/>
    <w:rsid w:val="003E1161"/>
    <w:rsid w:val="003E76DD"/>
    <w:rsid w:val="003F0F74"/>
    <w:rsid w:val="0040277F"/>
    <w:rsid w:val="004035EF"/>
    <w:rsid w:val="00404852"/>
    <w:rsid w:val="00411870"/>
    <w:rsid w:val="00412F14"/>
    <w:rsid w:val="00415F96"/>
    <w:rsid w:val="00416235"/>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38AD"/>
    <w:rsid w:val="004A45E2"/>
    <w:rsid w:val="004A5FC6"/>
    <w:rsid w:val="004B2F1A"/>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36E65"/>
    <w:rsid w:val="0055379C"/>
    <w:rsid w:val="00555440"/>
    <w:rsid w:val="0055706A"/>
    <w:rsid w:val="00557402"/>
    <w:rsid w:val="00593190"/>
    <w:rsid w:val="005942BF"/>
    <w:rsid w:val="00597FD5"/>
    <w:rsid w:val="005A4656"/>
    <w:rsid w:val="005A7CEA"/>
    <w:rsid w:val="005C158A"/>
    <w:rsid w:val="005C3DFF"/>
    <w:rsid w:val="005D412A"/>
    <w:rsid w:val="005E3E1B"/>
    <w:rsid w:val="005E4E14"/>
    <w:rsid w:val="005F30EF"/>
    <w:rsid w:val="005F336A"/>
    <w:rsid w:val="00625D8E"/>
    <w:rsid w:val="00627647"/>
    <w:rsid w:val="00633024"/>
    <w:rsid w:val="00661C20"/>
    <w:rsid w:val="00667231"/>
    <w:rsid w:val="006720DF"/>
    <w:rsid w:val="00673EBD"/>
    <w:rsid w:val="00696FDC"/>
    <w:rsid w:val="006A27E5"/>
    <w:rsid w:val="006A65D5"/>
    <w:rsid w:val="006C65A8"/>
    <w:rsid w:val="006D0058"/>
    <w:rsid w:val="006D24C0"/>
    <w:rsid w:val="006D512C"/>
    <w:rsid w:val="006D7CC2"/>
    <w:rsid w:val="006E0F37"/>
    <w:rsid w:val="006F631D"/>
    <w:rsid w:val="007052AE"/>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33B"/>
    <w:rsid w:val="007A49CD"/>
    <w:rsid w:val="007B7DD5"/>
    <w:rsid w:val="007C3A70"/>
    <w:rsid w:val="007D042C"/>
    <w:rsid w:val="007D05E3"/>
    <w:rsid w:val="007D32DD"/>
    <w:rsid w:val="007F5C58"/>
    <w:rsid w:val="00813FBF"/>
    <w:rsid w:val="00827742"/>
    <w:rsid w:val="00833E79"/>
    <w:rsid w:val="00835599"/>
    <w:rsid w:val="008418C6"/>
    <w:rsid w:val="0085419F"/>
    <w:rsid w:val="00861C7A"/>
    <w:rsid w:val="008669B1"/>
    <w:rsid w:val="00875F14"/>
    <w:rsid w:val="008775ED"/>
    <w:rsid w:val="00883EF2"/>
    <w:rsid w:val="008848AB"/>
    <w:rsid w:val="00886353"/>
    <w:rsid w:val="008874F5"/>
    <w:rsid w:val="008878EB"/>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1CD2"/>
    <w:rsid w:val="009D5BAB"/>
    <w:rsid w:val="009E6ED4"/>
    <w:rsid w:val="009E7171"/>
    <w:rsid w:val="009F06CB"/>
    <w:rsid w:val="009F731B"/>
    <w:rsid w:val="009F758B"/>
    <w:rsid w:val="00A21ECC"/>
    <w:rsid w:val="00A3157F"/>
    <w:rsid w:val="00A35916"/>
    <w:rsid w:val="00A35BD3"/>
    <w:rsid w:val="00A36CCD"/>
    <w:rsid w:val="00A44954"/>
    <w:rsid w:val="00A45F0D"/>
    <w:rsid w:val="00A5035B"/>
    <w:rsid w:val="00A53508"/>
    <w:rsid w:val="00A53711"/>
    <w:rsid w:val="00A601C3"/>
    <w:rsid w:val="00A63B12"/>
    <w:rsid w:val="00A65CB3"/>
    <w:rsid w:val="00A724C4"/>
    <w:rsid w:val="00A824AF"/>
    <w:rsid w:val="00A83DE0"/>
    <w:rsid w:val="00A86A88"/>
    <w:rsid w:val="00A92667"/>
    <w:rsid w:val="00AB388C"/>
    <w:rsid w:val="00AC35D4"/>
    <w:rsid w:val="00AC4F72"/>
    <w:rsid w:val="00AC64FC"/>
    <w:rsid w:val="00AD20FE"/>
    <w:rsid w:val="00AD440B"/>
    <w:rsid w:val="00AE0A3D"/>
    <w:rsid w:val="00AE13FE"/>
    <w:rsid w:val="00AE5BAD"/>
    <w:rsid w:val="00AF256D"/>
    <w:rsid w:val="00B019D2"/>
    <w:rsid w:val="00B11699"/>
    <w:rsid w:val="00B14023"/>
    <w:rsid w:val="00B20B32"/>
    <w:rsid w:val="00B329F9"/>
    <w:rsid w:val="00B35BA9"/>
    <w:rsid w:val="00B36E9E"/>
    <w:rsid w:val="00B438F2"/>
    <w:rsid w:val="00B45EDF"/>
    <w:rsid w:val="00B56FBE"/>
    <w:rsid w:val="00B70F01"/>
    <w:rsid w:val="00B737FF"/>
    <w:rsid w:val="00B74D9C"/>
    <w:rsid w:val="00B76EA2"/>
    <w:rsid w:val="00B810AC"/>
    <w:rsid w:val="00B9000F"/>
    <w:rsid w:val="00B91D6D"/>
    <w:rsid w:val="00B92FEE"/>
    <w:rsid w:val="00B9460B"/>
    <w:rsid w:val="00BA2CEB"/>
    <w:rsid w:val="00BB7B6E"/>
    <w:rsid w:val="00BC4E7C"/>
    <w:rsid w:val="00BD4C5D"/>
    <w:rsid w:val="00BD4D14"/>
    <w:rsid w:val="00BD6644"/>
    <w:rsid w:val="00BE0DBD"/>
    <w:rsid w:val="00BE6D20"/>
    <w:rsid w:val="00BF78E3"/>
    <w:rsid w:val="00C10CE1"/>
    <w:rsid w:val="00C27475"/>
    <w:rsid w:val="00C348A8"/>
    <w:rsid w:val="00C47BFB"/>
    <w:rsid w:val="00C641CB"/>
    <w:rsid w:val="00C65B7C"/>
    <w:rsid w:val="00C667DF"/>
    <w:rsid w:val="00C67B49"/>
    <w:rsid w:val="00C73BA9"/>
    <w:rsid w:val="00C8595C"/>
    <w:rsid w:val="00C90D45"/>
    <w:rsid w:val="00CA3B14"/>
    <w:rsid w:val="00CA4212"/>
    <w:rsid w:val="00CA751B"/>
    <w:rsid w:val="00CB248A"/>
    <w:rsid w:val="00CB6AB5"/>
    <w:rsid w:val="00CD2ABF"/>
    <w:rsid w:val="00CD4245"/>
    <w:rsid w:val="00CE5D88"/>
    <w:rsid w:val="00CE70AB"/>
    <w:rsid w:val="00D0160E"/>
    <w:rsid w:val="00D05CFA"/>
    <w:rsid w:val="00D13A00"/>
    <w:rsid w:val="00D244A7"/>
    <w:rsid w:val="00D30389"/>
    <w:rsid w:val="00D304C8"/>
    <w:rsid w:val="00D30D35"/>
    <w:rsid w:val="00D4144E"/>
    <w:rsid w:val="00D4639F"/>
    <w:rsid w:val="00D63FB5"/>
    <w:rsid w:val="00D65AAE"/>
    <w:rsid w:val="00D70FEC"/>
    <w:rsid w:val="00D74365"/>
    <w:rsid w:val="00D75EC2"/>
    <w:rsid w:val="00D75FE1"/>
    <w:rsid w:val="00D80BD1"/>
    <w:rsid w:val="00D907A4"/>
    <w:rsid w:val="00D94525"/>
    <w:rsid w:val="00DA2C5B"/>
    <w:rsid w:val="00DC00B2"/>
    <w:rsid w:val="00DC299B"/>
    <w:rsid w:val="00DC3E70"/>
    <w:rsid w:val="00DD28DD"/>
    <w:rsid w:val="00DD532A"/>
    <w:rsid w:val="00DE204D"/>
    <w:rsid w:val="00DE207A"/>
    <w:rsid w:val="00DE45F9"/>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1928"/>
    <w:rsid w:val="00ED7949"/>
    <w:rsid w:val="00EE3B7D"/>
    <w:rsid w:val="00EF7293"/>
    <w:rsid w:val="00F14233"/>
    <w:rsid w:val="00F16547"/>
    <w:rsid w:val="00F16840"/>
    <w:rsid w:val="00F200DB"/>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B53CE"/>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2714186">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56533545">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5020">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429312">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99896645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1006052">
      <w:bodyDiv w:val="1"/>
      <w:marLeft w:val="0"/>
      <w:marRight w:val="0"/>
      <w:marTop w:val="0"/>
      <w:marBottom w:val="0"/>
      <w:divBdr>
        <w:top w:val="none" w:sz="0" w:space="0" w:color="auto"/>
        <w:left w:val="none" w:sz="0" w:space="0" w:color="auto"/>
        <w:bottom w:val="none" w:sz="0" w:space="0" w:color="auto"/>
        <w:right w:val="none" w:sz="0" w:space="0" w:color="auto"/>
      </w:divBdr>
    </w:div>
    <w:div w:id="10214675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44721762">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32958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6823304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12988080">
      <w:bodyDiv w:val="1"/>
      <w:marLeft w:val="0"/>
      <w:marRight w:val="0"/>
      <w:marTop w:val="0"/>
      <w:marBottom w:val="0"/>
      <w:divBdr>
        <w:top w:val="none" w:sz="0" w:space="0" w:color="auto"/>
        <w:left w:val="none" w:sz="0" w:space="0" w:color="auto"/>
        <w:bottom w:val="none" w:sz="0" w:space="0" w:color="auto"/>
        <w:right w:val="none" w:sz="0" w:space="0" w:color="auto"/>
      </w:divBdr>
    </w:div>
    <w:div w:id="1836334160">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07838213">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31955131">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3628808">
      <w:bodyDiv w:val="1"/>
      <w:marLeft w:val="0"/>
      <w:marRight w:val="0"/>
      <w:marTop w:val="0"/>
      <w:marBottom w:val="0"/>
      <w:divBdr>
        <w:top w:val="none" w:sz="0" w:space="0" w:color="auto"/>
        <w:left w:val="none" w:sz="0" w:space="0" w:color="auto"/>
        <w:bottom w:val="none" w:sz="0" w:space="0" w:color="auto"/>
        <w:right w:val="none" w:sz="0" w:space="0" w:color="auto"/>
      </w:divBdr>
    </w:div>
    <w:div w:id="2092307824">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PacketDuplicationEricsson</b:Tag>
    <b:SourceType>ConferenceProceedings</b:SourceType>
    <b:Guid>{E2E4C6C5-3116-43EC-A3D2-061FD2BA9855}</b:Guid>
    <b:Title>R2-180xxxx, "draft Report from [101#72][LTE/V2X] Packet duplication", Ericsson</b:Title>
    <b:RefOrder>1</b:RefOrder>
  </b:Source>
  <b:Source>
    <b:Tag>carrierReselectionQC</b:Tag>
    <b:SourceType>ConferenceProceedings</b:SourceType>
    <b:Guid>{F6FCB3E2-60DA-4DF8-96BB-E65E1EBDF066}</b:Guid>
    <b:Title>R2-180xxx, Summary of [101#75][eV2x] Additional carrier reselection triggering, Qualcomm</b:Title>
    <b:RefOrder>2</b:RefOrder>
  </b:Source>
  <b:Source>
    <b:Tag>NokiaDuplication</b:Tag>
    <b:SourceType>ConferenceProceedings</b:SourceType>
    <b:Guid>{681D85EF-847C-43EE-9CDE-3CA3860FF3EC}</b:Guid>
    <b:Title>R2-1712942, "Discussion on activation of duplication", Nokia, Nokia Shanghai Bell</b:Title>
    <b:RefOrder>3</b:RefOrder>
  </b:Source>
</b:Sources>
</file>

<file path=customXml/itemProps1.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119E68-676E-4279-BF00-EAD7B359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1</Pages>
  <Words>872</Words>
  <Characters>4625</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262</cp:revision>
  <dcterms:created xsi:type="dcterms:W3CDTF">2017-08-12T02:26:00Z</dcterms:created>
  <dcterms:modified xsi:type="dcterms:W3CDTF">2018-04-06T02:16:00Z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2018-04-06 02:16:38Z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