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D6957" w14:textId="198D3B0F" w:rsidR="002C523E" w:rsidRPr="001A443D" w:rsidRDefault="002C523E" w:rsidP="002C523E">
      <w:pPr>
        <w:widowControl w:val="0"/>
        <w:tabs>
          <w:tab w:val="left" w:pos="1701"/>
          <w:tab w:val="right" w:pos="9026"/>
        </w:tabs>
        <w:spacing w:before="120" w:after="0" w:line="240" w:lineRule="auto"/>
        <w:rPr>
          <w:rFonts w:ascii="Arial" w:eastAsia="MS Mincho" w:hAnsi="Arial" w:cs="Times New Roman"/>
          <w:b/>
          <w:sz w:val="24"/>
          <w:szCs w:val="24"/>
          <w:lang w:eastAsia="x-none"/>
        </w:rPr>
      </w:pPr>
      <w:r w:rsidRPr="001A443D">
        <w:rPr>
          <w:rFonts w:ascii="Arial" w:eastAsia="MS Mincho" w:hAnsi="Arial" w:cs="Times New Roman"/>
          <w:b/>
          <w:sz w:val="24"/>
          <w:szCs w:val="24"/>
          <w:lang w:eastAsia="x-none"/>
        </w:rPr>
        <w:t>3GPP TSG-RAN WG2 Meeting #101bis</w:t>
      </w:r>
      <w:r w:rsidRPr="001A443D">
        <w:rPr>
          <w:rFonts w:ascii="Arial" w:eastAsia="MS Mincho" w:hAnsi="Arial" w:cs="Times New Roman"/>
          <w:b/>
          <w:sz w:val="24"/>
          <w:szCs w:val="24"/>
          <w:lang w:eastAsia="x-none"/>
        </w:rPr>
        <w:tab/>
      </w:r>
      <w:r w:rsidR="007D2B20" w:rsidRPr="007D2B20">
        <w:rPr>
          <w:rFonts w:ascii="Arial" w:eastAsia="MS Mincho" w:hAnsi="Arial" w:cs="Times New Roman"/>
          <w:b/>
          <w:sz w:val="24"/>
          <w:szCs w:val="24"/>
          <w:lang w:eastAsia="x-none"/>
        </w:rPr>
        <w:t>R2-1805047</w:t>
      </w:r>
    </w:p>
    <w:p w14:paraId="364D6958" w14:textId="77777777" w:rsidR="002C523E" w:rsidRDefault="002C523E" w:rsidP="002C523E">
      <w:pPr>
        <w:pStyle w:val="3GPPHeader"/>
        <w:rPr>
          <w:sz w:val="22"/>
          <w:szCs w:val="22"/>
          <w:lang w:val="sv-SE"/>
        </w:rPr>
      </w:pPr>
      <w:proofErr w:type="spellStart"/>
      <w:r w:rsidRPr="001A443D">
        <w:rPr>
          <w:rFonts w:eastAsia="MS Mincho"/>
          <w:szCs w:val="24"/>
          <w:lang w:eastAsia="x-none"/>
        </w:rPr>
        <w:t>Sanya</w:t>
      </w:r>
      <w:proofErr w:type="spellEnd"/>
      <w:r w:rsidRPr="001A443D">
        <w:rPr>
          <w:rFonts w:eastAsia="MS Mincho"/>
          <w:szCs w:val="24"/>
          <w:lang w:eastAsia="x-none"/>
        </w:rPr>
        <w:t>, China, 16th - 20th April 2018</w:t>
      </w:r>
    </w:p>
    <w:p w14:paraId="364D6959" w14:textId="77777777" w:rsidR="002C523E" w:rsidRDefault="002C523E" w:rsidP="002C523E">
      <w:pPr>
        <w:pStyle w:val="3GPPHeader"/>
        <w:rPr>
          <w:sz w:val="22"/>
          <w:szCs w:val="22"/>
          <w:lang w:val="sv-SE"/>
        </w:rPr>
      </w:pPr>
    </w:p>
    <w:p w14:paraId="364D695A" w14:textId="77777777" w:rsidR="002C523E" w:rsidRPr="007730BD" w:rsidRDefault="002C523E" w:rsidP="002C523E">
      <w:pPr>
        <w:pStyle w:val="3GPPHeader"/>
        <w:rPr>
          <w:sz w:val="22"/>
          <w:szCs w:val="22"/>
          <w:lang w:val="sv-SE"/>
        </w:rPr>
      </w:pPr>
      <w:r w:rsidRPr="007730BD">
        <w:rPr>
          <w:sz w:val="22"/>
          <w:szCs w:val="22"/>
          <w:lang w:val="sv-SE"/>
        </w:rPr>
        <w:t>Agenda Item:</w:t>
      </w:r>
      <w:r w:rsidRPr="007730BD">
        <w:rPr>
          <w:sz w:val="22"/>
          <w:szCs w:val="22"/>
          <w:lang w:val="sv-SE"/>
        </w:rPr>
        <w:tab/>
      </w:r>
      <w:r w:rsidR="005F08DB" w:rsidRPr="005F08DB">
        <w:rPr>
          <w:sz w:val="22"/>
          <w:szCs w:val="22"/>
          <w:lang w:val="sv-SE"/>
        </w:rPr>
        <w:t>10.2.8</w:t>
      </w:r>
    </w:p>
    <w:p w14:paraId="364D695B" w14:textId="77777777" w:rsidR="002C523E" w:rsidRPr="00CE0424" w:rsidRDefault="002C523E" w:rsidP="002C523E">
      <w:pPr>
        <w:pStyle w:val="3GPPHeader"/>
        <w:rPr>
          <w:sz w:val="22"/>
          <w:szCs w:val="22"/>
        </w:rPr>
      </w:pPr>
      <w:r>
        <w:rPr>
          <w:sz w:val="22"/>
          <w:szCs w:val="22"/>
        </w:rPr>
        <w:t>Source:</w:t>
      </w:r>
      <w:r w:rsidRPr="00CE0424">
        <w:rPr>
          <w:sz w:val="22"/>
          <w:szCs w:val="22"/>
        </w:rPr>
        <w:tab/>
      </w:r>
      <w:r>
        <w:rPr>
          <w:sz w:val="22"/>
          <w:szCs w:val="22"/>
        </w:rPr>
        <w:t>Intel Corporation</w:t>
      </w:r>
    </w:p>
    <w:p w14:paraId="364D695C" w14:textId="77777777" w:rsidR="002C523E" w:rsidRPr="00CE0424" w:rsidRDefault="002C523E" w:rsidP="002C523E">
      <w:pPr>
        <w:pStyle w:val="3GPPHeader"/>
        <w:rPr>
          <w:sz w:val="22"/>
          <w:szCs w:val="22"/>
        </w:rPr>
      </w:pPr>
      <w:r>
        <w:rPr>
          <w:sz w:val="22"/>
          <w:szCs w:val="22"/>
        </w:rPr>
        <w:t>Title:</w:t>
      </w:r>
      <w:r w:rsidRPr="00CE0424">
        <w:rPr>
          <w:sz w:val="22"/>
          <w:szCs w:val="22"/>
        </w:rPr>
        <w:tab/>
      </w:r>
      <w:r w:rsidR="00180302">
        <w:t xml:space="preserve">NG-EN-DC </w:t>
      </w:r>
      <w:r w:rsidR="005F08DB">
        <w:t>architecture discussion</w:t>
      </w:r>
    </w:p>
    <w:p w14:paraId="364D695D" w14:textId="77777777" w:rsidR="002C523E" w:rsidRDefault="002C523E" w:rsidP="002C523E">
      <w:pPr>
        <w:pStyle w:val="3GPPHeader"/>
        <w:rPr>
          <w:sz w:val="22"/>
          <w:szCs w:val="22"/>
        </w:rPr>
      </w:pPr>
      <w:r w:rsidRPr="00CE0424">
        <w:rPr>
          <w:sz w:val="22"/>
          <w:szCs w:val="22"/>
        </w:rPr>
        <w:t>Document for:</w:t>
      </w:r>
      <w:r w:rsidRPr="00CE0424">
        <w:rPr>
          <w:sz w:val="22"/>
          <w:szCs w:val="22"/>
        </w:rPr>
        <w:tab/>
      </w:r>
      <w:r>
        <w:rPr>
          <w:sz w:val="22"/>
          <w:szCs w:val="22"/>
        </w:rPr>
        <w:t>Discussion</w:t>
      </w:r>
    </w:p>
    <w:p w14:paraId="364D695E" w14:textId="77777777" w:rsidR="002C523E" w:rsidRDefault="002C523E" w:rsidP="002C523E">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364D695F" w14:textId="162A9F6F" w:rsidR="001E1C0F" w:rsidRDefault="00180302">
      <w:r>
        <w:t xml:space="preserve">EN-DC solution </w:t>
      </w:r>
      <w:r w:rsidR="00307763">
        <w:t xml:space="preserve">introduced </w:t>
      </w:r>
      <w:r w:rsidR="00BE7FF8">
        <w:t xml:space="preserve">in Dec can be re-used for NG-EN-DC with the changes needed to support 5G-C.  </w:t>
      </w:r>
      <w:r w:rsidR="00553907">
        <w:t xml:space="preserve">Changes introduced for </w:t>
      </w:r>
      <w:proofErr w:type="spellStart"/>
      <w:r w:rsidR="00553907">
        <w:t>eLTE</w:t>
      </w:r>
      <w:proofErr w:type="spellEnd"/>
      <w:r w:rsidR="00553907">
        <w:t xml:space="preserve"> for option </w:t>
      </w:r>
      <w:r w:rsidR="00930C79">
        <w:t xml:space="preserve">5 </w:t>
      </w:r>
      <w:r w:rsidR="00553907">
        <w:t xml:space="preserve">also can be adopted for NG-EN-DC.  Between these </w:t>
      </w:r>
      <w:r w:rsidR="0062739F">
        <w:t>most of the changes needed for NG-EN</w:t>
      </w:r>
      <w:r w:rsidR="00930C79">
        <w:t>-</w:t>
      </w:r>
      <w:r w:rsidR="0062739F">
        <w:t xml:space="preserve">DC can </w:t>
      </w:r>
      <w:r w:rsidR="00163AD6">
        <w:t xml:space="preserve">be expected to </w:t>
      </w:r>
      <w:r w:rsidR="0092644E">
        <w:t xml:space="preserve">be </w:t>
      </w:r>
      <w:r w:rsidR="00163AD6">
        <w:t>met</w:t>
      </w:r>
      <w:r w:rsidR="00BE61BA">
        <w:t xml:space="preserve"> and can be considered after the </w:t>
      </w:r>
      <w:r w:rsidR="0092644E">
        <w:t xml:space="preserve">NR SA and </w:t>
      </w:r>
      <w:proofErr w:type="spellStart"/>
      <w:r w:rsidR="0092644E">
        <w:t>eLTE</w:t>
      </w:r>
      <w:proofErr w:type="spellEnd"/>
      <w:r w:rsidR="0092644E">
        <w:t xml:space="preserve"> specifications are more mature</w:t>
      </w:r>
      <w:r w:rsidR="00163AD6">
        <w:t xml:space="preserve">.  </w:t>
      </w:r>
    </w:p>
    <w:p w14:paraId="364D6960" w14:textId="77777777" w:rsidR="00BE61BA" w:rsidRDefault="00163AD6">
      <w:r>
        <w:t xml:space="preserve">The main additional </w:t>
      </w:r>
      <w:r w:rsidR="00BE61BA">
        <w:t xml:space="preserve">specification work needed is for DRB handling with dual connectivity with 5G QoS.  As agreed in RAN plenary, this is to be discussed in RAN3 first.  </w:t>
      </w:r>
    </w:p>
    <w:p w14:paraId="364D6961" w14:textId="77777777" w:rsidR="001E1C0F" w:rsidRDefault="00BE61BA">
      <w:r>
        <w:t xml:space="preserve">The remaining topic </w:t>
      </w:r>
      <w:r w:rsidR="001E1C0F">
        <w:t>as identified during RAN plenary discussions is the</w:t>
      </w:r>
      <w:r w:rsidR="00BE7FF8">
        <w:t xml:space="preserve"> </w:t>
      </w:r>
      <w:r w:rsidR="00553907">
        <w:t>early SCG configuration from Inactive</w:t>
      </w:r>
      <w:r w:rsidR="001E1C0F">
        <w:t>.  This document examines the potential impacts from such early SCG configuration.</w:t>
      </w:r>
    </w:p>
    <w:p w14:paraId="364D6962" w14:textId="77777777" w:rsidR="001E1C0F" w:rsidRDefault="001E1C0F" w:rsidP="001E1C0F">
      <w:pPr>
        <w:pStyle w:val="Heading1"/>
      </w:pPr>
      <w:r>
        <w:t>Discussion</w:t>
      </w:r>
    </w:p>
    <w:p w14:paraId="364D6963" w14:textId="77777777" w:rsidR="001E1C0F" w:rsidRDefault="00D27065" w:rsidP="001E1C0F">
      <w:r>
        <w:t xml:space="preserve">With EN-DC, SCG RB configuration is retained during Suspend and SCG configuration (i.e., lower layer) configuration is released.  </w:t>
      </w:r>
      <w:r w:rsidR="005E5A99">
        <w:t>With Inactive and 5GC, the same concept for SCG RB configuration can be re-used.</w:t>
      </w:r>
    </w:p>
    <w:p w14:paraId="364D6964" w14:textId="77777777" w:rsidR="005E5A99" w:rsidRPr="008956D4" w:rsidRDefault="005E5A99" w:rsidP="001E1C0F">
      <w:pPr>
        <w:rPr>
          <w:b/>
        </w:rPr>
      </w:pPr>
      <w:r w:rsidRPr="008956D4">
        <w:rPr>
          <w:b/>
        </w:rPr>
        <w:t>Proposal #1: SCG RB configuration is retained in RRC Inactive</w:t>
      </w:r>
    </w:p>
    <w:p w14:paraId="364D6965" w14:textId="77777777" w:rsidR="0016569F" w:rsidRDefault="005E5A99" w:rsidP="001E1C0F">
      <w:r>
        <w:t>There are different options to configure SCG configuration</w:t>
      </w:r>
      <w:r w:rsidR="0016569F">
        <w:t>.</w:t>
      </w:r>
    </w:p>
    <w:p w14:paraId="364D6966" w14:textId="77777777" w:rsidR="0016569F" w:rsidRDefault="0016569F" w:rsidP="00040C7C">
      <w:pPr>
        <w:pStyle w:val="ListParagraph"/>
        <w:numPr>
          <w:ilvl w:val="0"/>
          <w:numId w:val="6"/>
        </w:numPr>
      </w:pPr>
      <w:r>
        <w:t>SCG configuration is provided in Resume message itself: This offers the “quickest” way to establish the SCG configuration to allow data transmission over SCG.  However, there are several challenges:</w:t>
      </w:r>
    </w:p>
    <w:p w14:paraId="364D6967" w14:textId="77777777" w:rsidR="005E5A99" w:rsidRDefault="00B323D3" w:rsidP="00040C7C">
      <w:pPr>
        <w:pStyle w:val="ListParagraph"/>
        <w:numPr>
          <w:ilvl w:val="0"/>
          <w:numId w:val="2"/>
        </w:numPr>
        <w:ind w:left="1080"/>
      </w:pPr>
      <w:r>
        <w:t>Need to contact SCG and retrieve an SCG configuration delays Resume message and hence delays the initial data transmission over MCG.  In certain scenarios, it will be more useful to start sending data over MCG with minimal delay rather than set up a wider bandwidth with additional delay.</w:t>
      </w:r>
    </w:p>
    <w:p w14:paraId="364D6968" w14:textId="77777777" w:rsidR="00B323D3" w:rsidRDefault="00B323D3" w:rsidP="00040C7C">
      <w:pPr>
        <w:pStyle w:val="ListParagraph"/>
        <w:numPr>
          <w:ilvl w:val="0"/>
          <w:numId w:val="2"/>
        </w:numPr>
        <w:ind w:left="1080"/>
      </w:pPr>
      <w:r>
        <w:t xml:space="preserve">Network does not have measurements or knowledge if the </w:t>
      </w:r>
      <w:r w:rsidR="001C6BE4">
        <w:t xml:space="preserve">SCG configuration is valid.  There are </w:t>
      </w:r>
      <w:r w:rsidR="008956D4">
        <w:t>couple of way around</w:t>
      </w:r>
      <w:r w:rsidR="001C6BE4">
        <w:t xml:space="preserve"> for this:</w:t>
      </w:r>
    </w:p>
    <w:p w14:paraId="364D6969" w14:textId="77777777" w:rsidR="001C6BE4" w:rsidRDefault="001C6BE4" w:rsidP="00040C7C">
      <w:pPr>
        <w:pStyle w:val="ListParagraph"/>
        <w:numPr>
          <w:ilvl w:val="0"/>
          <w:numId w:val="4"/>
        </w:numPr>
        <w:ind w:left="1440"/>
      </w:pPr>
      <w:r>
        <w:t xml:space="preserve">Blind SCG addition: this is normally feasible when the MCG and SCG cells are co-located and </w:t>
      </w:r>
      <w:r w:rsidR="00B1066F">
        <w:t xml:space="preserve">the coverage areas are similar (e.g., when the bands are the same).  Applicability to small SCG cells </w:t>
      </w:r>
      <w:r w:rsidR="006A1C75">
        <w:t>should be considered.  Further wrong choice of SCG cell can lead to SCG failure and additional disruption.</w:t>
      </w:r>
    </w:p>
    <w:p w14:paraId="364D696A" w14:textId="77777777" w:rsidR="00B1066F" w:rsidRDefault="00B1066F" w:rsidP="00040C7C">
      <w:pPr>
        <w:pStyle w:val="ListParagraph"/>
        <w:numPr>
          <w:ilvl w:val="0"/>
          <w:numId w:val="4"/>
        </w:numPr>
        <w:ind w:left="1440"/>
      </w:pPr>
      <w:r>
        <w:t>UE provides some indication on whether the UE has moved and if old SCG is still valid in Resume request.  This can be a one bit indication based on, for example, UE Idle measurements of the cell it is camping on.  While not accurate, it can a</w:t>
      </w:r>
      <w:r w:rsidR="00855DA2">
        <w:t xml:space="preserve">void </w:t>
      </w:r>
      <w:r w:rsidR="00855DA2">
        <w:lastRenderedPageBreak/>
        <w:t xml:space="preserve">additional UE measurements.  It is also possible to provide this information in a size critical Resume Request message.  </w:t>
      </w:r>
      <w:r w:rsidR="00794CB8">
        <w:t xml:space="preserve"> However, there is still a small possibility of wrong choice of SCG cell that can lead to SCG failure and additional disruption.</w:t>
      </w:r>
    </w:p>
    <w:p w14:paraId="364D696B" w14:textId="77777777" w:rsidR="00040C7C" w:rsidRDefault="00040C7C" w:rsidP="00040C7C">
      <w:pPr>
        <w:pStyle w:val="ListParagraph"/>
        <w:numPr>
          <w:ilvl w:val="0"/>
          <w:numId w:val="6"/>
        </w:numPr>
      </w:pPr>
      <w:r>
        <w:t>SCG addition is done immediately after completion of Resume procedure:</w:t>
      </w:r>
    </w:p>
    <w:p w14:paraId="364D696C" w14:textId="77777777" w:rsidR="00855DA2" w:rsidRDefault="00040C7C" w:rsidP="00040C7C">
      <w:pPr>
        <w:ind w:left="720"/>
      </w:pPr>
      <w:r>
        <w:t xml:space="preserve">For this option, </w:t>
      </w:r>
      <w:r w:rsidR="00855DA2">
        <w:t xml:space="preserve">UE provides measurements immediately after Resume procedure.  UE performs SCG measurements even when it is Inactive (perhaps with lower performance requirements) and these are available to be sent to network immediately after resumption.  </w:t>
      </w:r>
      <w:r w:rsidR="006A1C75">
        <w:t xml:space="preserve">This provides most accurate information for SCG configuration.  </w:t>
      </w:r>
      <w:r w:rsidR="0087034A">
        <w:t xml:space="preserve">Use of message 3.5 can provide earlier availability of SCG measurements at the network to reduce delay.   </w:t>
      </w:r>
      <w:r w:rsidR="006A1C75">
        <w:t xml:space="preserve">However, it can result in additional battery usage for SCG measurements in Inactive.  The SCG setup happens only after completion of the resumption procedure and is hence not as quick as the </w:t>
      </w:r>
      <w:r w:rsidR="00794CB8">
        <w:t xml:space="preserve">previous </w:t>
      </w:r>
      <w:r>
        <w:t>option</w:t>
      </w:r>
      <w:r w:rsidR="00794CB8">
        <w:t>.</w:t>
      </w:r>
    </w:p>
    <w:p w14:paraId="5A1F6AEA" w14:textId="3ACE0094" w:rsidR="007D2B20" w:rsidRDefault="007D2B20" w:rsidP="001E1C0F">
      <w:r>
        <w:t>Storing the SCG configuration in the UE itself does not help without a solution for the network configuration.  Storing the configuration in UE only serves the purpose of delta configuration and hence reducing the signalling.</w:t>
      </w:r>
    </w:p>
    <w:p w14:paraId="364D696D" w14:textId="77777777" w:rsidR="00794CB8" w:rsidRDefault="00794CB8" w:rsidP="001E1C0F">
      <w:r>
        <w:t>As seen in the discussion above, there are several options with pros and cons with performance and battery life impli</w:t>
      </w:r>
      <w:bookmarkStart w:id="0" w:name="_GoBack"/>
      <w:bookmarkEnd w:id="0"/>
      <w:r>
        <w:t>cations.  These should be evaluated in more detail before an option is chosen.</w:t>
      </w:r>
    </w:p>
    <w:p w14:paraId="364D696E" w14:textId="54D4653F" w:rsidR="00794CB8" w:rsidRPr="007C0F16" w:rsidRDefault="00794CB8" w:rsidP="001E1C0F">
      <w:pPr>
        <w:rPr>
          <w:b/>
        </w:rPr>
      </w:pPr>
      <w:r w:rsidRPr="007C0F16">
        <w:rPr>
          <w:b/>
        </w:rPr>
        <w:t>Proposal: RAN2 should evaluate the impact on performance and battery before deciding on the option for early SCG addition</w:t>
      </w:r>
      <w:r w:rsidR="000A01C8">
        <w:rPr>
          <w:b/>
        </w:rPr>
        <w:t xml:space="preserve"> in Resume</w:t>
      </w:r>
      <w:r w:rsidRPr="007C0F16">
        <w:rPr>
          <w:b/>
        </w:rPr>
        <w:t>.</w:t>
      </w:r>
    </w:p>
    <w:p w14:paraId="364D696F" w14:textId="77777777" w:rsidR="00B12D32" w:rsidRDefault="00040C7C" w:rsidP="00040C7C">
      <w:pPr>
        <w:pStyle w:val="Heading1"/>
      </w:pPr>
      <w:r>
        <w:t>Summary and proposal</w:t>
      </w:r>
    </w:p>
    <w:p w14:paraId="364D6970" w14:textId="77777777" w:rsidR="00040C7C" w:rsidRDefault="00040C7C" w:rsidP="00040C7C">
      <w:r>
        <w:t xml:space="preserve">This document examined </w:t>
      </w:r>
      <w:r w:rsidR="003B4583">
        <w:t xml:space="preserve">how to progress NG-EN-DC architecture.  Most of this depend on solutions for </w:t>
      </w:r>
      <w:proofErr w:type="spellStart"/>
      <w:r w:rsidR="003B4583">
        <w:t>eLTE</w:t>
      </w:r>
      <w:proofErr w:type="spellEnd"/>
      <w:r w:rsidR="003B4583">
        <w:t xml:space="preserve"> and SA NR.  5G QoS bearer handling is to be discussed in RAN3 first.  For RAN2, a main topic is early SCG addition during resumption from Inactive.  The following proposal is made:</w:t>
      </w:r>
    </w:p>
    <w:p w14:paraId="364D6971" w14:textId="7DA3C1D8" w:rsidR="003B4583" w:rsidRPr="007C0F16" w:rsidRDefault="003B4583" w:rsidP="003B4583">
      <w:pPr>
        <w:rPr>
          <w:b/>
        </w:rPr>
      </w:pPr>
      <w:r w:rsidRPr="007C0F16">
        <w:rPr>
          <w:b/>
        </w:rPr>
        <w:t>Proposal: RAN2 should evaluate the impact on performance and battery before deciding on the option for early SCG addition</w:t>
      </w:r>
      <w:r w:rsidR="000A01C8">
        <w:rPr>
          <w:b/>
        </w:rPr>
        <w:t xml:space="preserve"> in Resume</w:t>
      </w:r>
      <w:r w:rsidRPr="007C0F16">
        <w:rPr>
          <w:b/>
        </w:rPr>
        <w:t>.</w:t>
      </w:r>
    </w:p>
    <w:p w14:paraId="364D6972" w14:textId="77777777" w:rsidR="003B4583" w:rsidRPr="00040C7C" w:rsidRDefault="003B4583" w:rsidP="00040C7C"/>
    <w:sectPr w:rsidR="003B4583" w:rsidRPr="0004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35F72"/>
    <w:multiLevelType w:val="hybridMultilevel"/>
    <w:tmpl w:val="0B867A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0958E6"/>
    <w:multiLevelType w:val="hybridMultilevel"/>
    <w:tmpl w:val="CB0C4728"/>
    <w:lvl w:ilvl="0" w:tplc="FD30A2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834AD8"/>
    <w:multiLevelType w:val="hybridMultilevel"/>
    <w:tmpl w:val="120E0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D24DD8"/>
    <w:multiLevelType w:val="hybridMultilevel"/>
    <w:tmpl w:val="3DC4FB9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2A37C18"/>
    <w:multiLevelType w:val="hybridMultilevel"/>
    <w:tmpl w:val="9C38AF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3A68C9"/>
    <w:multiLevelType w:val="hybridMultilevel"/>
    <w:tmpl w:val="5A2A5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7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1C8"/>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F90"/>
    <w:rsid w:val="00152274"/>
    <w:rsid w:val="00152315"/>
    <w:rsid w:val="0015254C"/>
    <w:rsid w:val="001539C6"/>
    <w:rsid w:val="00153AE1"/>
    <w:rsid w:val="00154A26"/>
    <w:rsid w:val="00156F72"/>
    <w:rsid w:val="0016368A"/>
    <w:rsid w:val="00163AD6"/>
    <w:rsid w:val="00164CF9"/>
    <w:rsid w:val="0016569F"/>
    <w:rsid w:val="00171235"/>
    <w:rsid w:val="00172FC5"/>
    <w:rsid w:val="00175A92"/>
    <w:rsid w:val="0017787C"/>
    <w:rsid w:val="00180302"/>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BE4"/>
    <w:rsid w:val="001C6CEB"/>
    <w:rsid w:val="001C6F55"/>
    <w:rsid w:val="001D1718"/>
    <w:rsid w:val="001D1C57"/>
    <w:rsid w:val="001D2345"/>
    <w:rsid w:val="001D24BC"/>
    <w:rsid w:val="001D25F9"/>
    <w:rsid w:val="001D33A9"/>
    <w:rsid w:val="001D3C86"/>
    <w:rsid w:val="001D5B46"/>
    <w:rsid w:val="001D72BF"/>
    <w:rsid w:val="001D7312"/>
    <w:rsid w:val="001E1C0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8B2"/>
    <w:rsid w:val="00270E8A"/>
    <w:rsid w:val="00272E11"/>
    <w:rsid w:val="00273390"/>
    <w:rsid w:val="00273746"/>
    <w:rsid w:val="0027555F"/>
    <w:rsid w:val="002758FE"/>
    <w:rsid w:val="00276AC0"/>
    <w:rsid w:val="002778AB"/>
    <w:rsid w:val="002803B1"/>
    <w:rsid w:val="002845C5"/>
    <w:rsid w:val="00286C2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23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7141"/>
    <w:rsid w:val="00307763"/>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304"/>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583"/>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2F4"/>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907"/>
    <w:rsid w:val="00553F1E"/>
    <w:rsid w:val="00554481"/>
    <w:rsid w:val="0055481C"/>
    <w:rsid w:val="00554AC3"/>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A99"/>
    <w:rsid w:val="005E5F42"/>
    <w:rsid w:val="005E71C4"/>
    <w:rsid w:val="005F00EE"/>
    <w:rsid w:val="005F08DB"/>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39F"/>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1C75"/>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5262"/>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CB8"/>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F16"/>
    <w:rsid w:val="007C1094"/>
    <w:rsid w:val="007C11EC"/>
    <w:rsid w:val="007C40E9"/>
    <w:rsid w:val="007C4AF4"/>
    <w:rsid w:val="007C5A03"/>
    <w:rsid w:val="007C5A3B"/>
    <w:rsid w:val="007D01A9"/>
    <w:rsid w:val="007D0F8B"/>
    <w:rsid w:val="007D2012"/>
    <w:rsid w:val="007D23EB"/>
    <w:rsid w:val="007D2B20"/>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BE4"/>
    <w:rsid w:val="00850AC0"/>
    <w:rsid w:val="00851CAE"/>
    <w:rsid w:val="00855703"/>
    <w:rsid w:val="00855DA2"/>
    <w:rsid w:val="00856631"/>
    <w:rsid w:val="00856968"/>
    <w:rsid w:val="00860AA1"/>
    <w:rsid w:val="008642B8"/>
    <w:rsid w:val="00864726"/>
    <w:rsid w:val="00864B1E"/>
    <w:rsid w:val="00865C64"/>
    <w:rsid w:val="00866011"/>
    <w:rsid w:val="00867B6F"/>
    <w:rsid w:val="0087034A"/>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56D4"/>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4E"/>
    <w:rsid w:val="00926478"/>
    <w:rsid w:val="009272FA"/>
    <w:rsid w:val="009276ED"/>
    <w:rsid w:val="00927D31"/>
    <w:rsid w:val="00927D6F"/>
    <w:rsid w:val="00930C79"/>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31"/>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66F"/>
    <w:rsid w:val="00B12D32"/>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3D3"/>
    <w:rsid w:val="00B3269D"/>
    <w:rsid w:val="00B34B55"/>
    <w:rsid w:val="00B35470"/>
    <w:rsid w:val="00B35688"/>
    <w:rsid w:val="00B36871"/>
    <w:rsid w:val="00B37060"/>
    <w:rsid w:val="00B3756B"/>
    <w:rsid w:val="00B403A6"/>
    <w:rsid w:val="00B41FDA"/>
    <w:rsid w:val="00B42FA0"/>
    <w:rsid w:val="00B44C5F"/>
    <w:rsid w:val="00B467DE"/>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BA"/>
    <w:rsid w:val="00BE637D"/>
    <w:rsid w:val="00BE67B4"/>
    <w:rsid w:val="00BE6B49"/>
    <w:rsid w:val="00BE7965"/>
    <w:rsid w:val="00BE7EA9"/>
    <w:rsid w:val="00BE7FF8"/>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065"/>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A0"/>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6957"/>
  <w15:chartTrackingRefBased/>
  <w15:docId w15:val="{3EE9C54B-F319-4F17-8787-E7CB75D2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523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523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523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C523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C523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C523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C523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523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C523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23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C523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C523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523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523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523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523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52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523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2C523E"/>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8956D4"/>
    <w:pPr>
      <w:ind w:left="720"/>
      <w:contextualSpacing/>
    </w:pPr>
  </w:style>
  <w:style w:type="character" w:styleId="CommentReference">
    <w:name w:val="annotation reference"/>
    <w:basedOn w:val="DefaultParagraphFont"/>
    <w:uiPriority w:val="99"/>
    <w:semiHidden/>
    <w:unhideWhenUsed/>
    <w:rsid w:val="00930C79"/>
    <w:rPr>
      <w:sz w:val="16"/>
      <w:szCs w:val="16"/>
    </w:rPr>
  </w:style>
  <w:style w:type="paragraph" w:styleId="CommentText">
    <w:name w:val="annotation text"/>
    <w:basedOn w:val="Normal"/>
    <w:link w:val="CommentTextChar"/>
    <w:uiPriority w:val="99"/>
    <w:semiHidden/>
    <w:unhideWhenUsed/>
    <w:rsid w:val="00930C79"/>
    <w:pPr>
      <w:spacing w:line="240" w:lineRule="auto"/>
    </w:pPr>
    <w:rPr>
      <w:sz w:val="20"/>
      <w:szCs w:val="20"/>
    </w:rPr>
  </w:style>
  <w:style w:type="character" w:customStyle="1" w:styleId="CommentTextChar">
    <w:name w:val="Comment Text Char"/>
    <w:basedOn w:val="DefaultParagraphFont"/>
    <w:link w:val="CommentText"/>
    <w:uiPriority w:val="99"/>
    <w:semiHidden/>
    <w:rsid w:val="00930C79"/>
    <w:rPr>
      <w:sz w:val="20"/>
      <w:szCs w:val="20"/>
    </w:rPr>
  </w:style>
  <w:style w:type="paragraph" w:styleId="CommentSubject">
    <w:name w:val="annotation subject"/>
    <w:basedOn w:val="CommentText"/>
    <w:next w:val="CommentText"/>
    <w:link w:val="CommentSubjectChar"/>
    <w:uiPriority w:val="99"/>
    <w:semiHidden/>
    <w:unhideWhenUsed/>
    <w:rsid w:val="00930C79"/>
    <w:rPr>
      <w:b/>
      <w:bCs/>
    </w:rPr>
  </w:style>
  <w:style w:type="character" w:customStyle="1" w:styleId="CommentSubjectChar">
    <w:name w:val="Comment Subject Char"/>
    <w:basedOn w:val="CommentTextChar"/>
    <w:link w:val="CommentSubject"/>
    <w:uiPriority w:val="99"/>
    <w:semiHidden/>
    <w:rsid w:val="00930C79"/>
    <w:rPr>
      <w:b/>
      <w:bCs/>
      <w:sz w:val="20"/>
      <w:szCs w:val="20"/>
    </w:rPr>
  </w:style>
  <w:style w:type="paragraph" w:styleId="BalloonText">
    <w:name w:val="Balloon Text"/>
    <w:basedOn w:val="Normal"/>
    <w:link w:val="BalloonTextChar"/>
    <w:uiPriority w:val="99"/>
    <w:semiHidden/>
    <w:unhideWhenUsed/>
    <w:rsid w:val="00930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26FE0-AECE-4DA6-A9A5-B54BB8931B5A}">
  <ds:schemaRefs>
    <ds:schemaRef ds:uri="http://schemas.microsoft.com/sharepoint/v3/contenttype/forms"/>
  </ds:schemaRefs>
</ds:datastoreItem>
</file>

<file path=customXml/itemProps2.xml><?xml version="1.0" encoding="utf-8"?>
<ds:datastoreItem xmlns:ds="http://schemas.openxmlformats.org/officeDocument/2006/customXml" ds:itemID="{F5ECE432-1164-4388-B770-4751D9FA7E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12B21B5-E718-4552-A58A-172CC7A5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2018-04-05T22:25:00Z</dcterms:created>
  <dcterms:modified xsi:type="dcterms:W3CDTF">2018-04-05T22:25:00Z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3159dc75-acc8-41b3-a46e-47597da73a43</vt:lpwstr>
  </property>
  <property fmtid="{D5CDD505-2E9C-101B-9397-08002B2CF9AE}" pid="3" name="CTP_TimeStamp">
    <vt:lpwstr>2018-04-02 23:52:53Z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