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B8B4F84"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#101</w:t>
      </w:r>
      <w:r w:rsidR="00D20E67">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C57D1B">
        <w:rPr>
          <w:i/>
          <w:color w:val="auto"/>
          <w:sz w:val="24"/>
          <w:lang w:eastAsia="zh-CN"/>
        </w:rPr>
        <w:t>5018</w:t>
      </w:r>
    </w:p>
    <w:p w14:paraId="2AE6D983" w14:textId="2A90D85B" w:rsidR="007E1DEE" w:rsidRPr="00C036E6" w:rsidRDefault="00D20E67" w:rsidP="007E1DEE">
      <w:pPr>
        <w:pStyle w:val="Header"/>
        <w:tabs>
          <w:tab w:val="left" w:pos="6521"/>
        </w:tabs>
        <w:jc w:val="both"/>
        <w:rPr>
          <w:color w:val="auto"/>
          <w:sz w:val="24"/>
          <w:lang w:eastAsia="zh-CN"/>
        </w:rPr>
      </w:pPr>
      <w:r>
        <w:rPr>
          <w:color w:val="auto"/>
          <w:sz w:val="24"/>
          <w:lang w:eastAsia="zh-CN"/>
        </w:rPr>
        <w:t>Sanya</w:t>
      </w:r>
      <w:r w:rsidR="007E1DEE" w:rsidRPr="00943E97">
        <w:rPr>
          <w:color w:val="auto"/>
          <w:sz w:val="24"/>
        </w:rPr>
        <w:t xml:space="preserve">, </w:t>
      </w:r>
      <w:r>
        <w:rPr>
          <w:color w:val="auto"/>
          <w:sz w:val="24"/>
        </w:rPr>
        <w:t>China</w:t>
      </w:r>
      <w:r w:rsidR="007E1DEE" w:rsidRPr="00943E97">
        <w:rPr>
          <w:color w:val="auto"/>
          <w:sz w:val="24"/>
        </w:rPr>
        <w:t>,</w:t>
      </w:r>
      <w:r>
        <w:rPr>
          <w:color w:val="auto"/>
          <w:sz w:val="24"/>
        </w:rPr>
        <w:t xml:space="preserve"> 16 April</w:t>
      </w:r>
      <w:r w:rsidR="00B60530">
        <w:rPr>
          <w:color w:val="auto"/>
          <w:sz w:val="24"/>
        </w:rPr>
        <w:t xml:space="preserve"> – 2</w:t>
      </w:r>
      <w:r>
        <w:rPr>
          <w:color w:val="auto"/>
          <w:sz w:val="24"/>
        </w:rPr>
        <w:t>0 April</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CB4E40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86AFD">
        <w:rPr>
          <w:rFonts w:ascii="Arial" w:hAnsi="Arial"/>
          <w:b/>
          <w:sz w:val="24"/>
          <w:lang w:val="en-US" w:eastAsia="zh-CN"/>
        </w:rPr>
        <w:t>11.2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CD1FC7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6E65F4">
        <w:rPr>
          <w:rFonts w:ascii="Arial" w:hAnsi="Arial"/>
          <w:b/>
          <w:sz w:val="24"/>
          <w:lang w:val="en-US"/>
        </w:rPr>
        <w:t>High level analysis on t</w:t>
      </w:r>
      <w:r w:rsidR="00C57D1B">
        <w:rPr>
          <w:rFonts w:ascii="Arial" w:hAnsi="Arial"/>
          <w:b/>
          <w:sz w:val="24"/>
          <w:lang w:val="en-US"/>
        </w:rPr>
        <w:t>he deployments for NR unlicensed access</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E333A2" w14:textId="50B6AD77" w:rsidR="00D20E67" w:rsidRDefault="00B00E68" w:rsidP="006E65F4">
      <w:pPr>
        <w:rPr>
          <w:rFonts w:eastAsia="Batang" w:cstheme="minorHAnsi"/>
          <w:lang w:eastAsia="zh-CN"/>
        </w:rPr>
      </w:pPr>
      <w:r>
        <w:t>In RAN#75, a new SI was approved to study</w:t>
      </w:r>
      <w:r w:rsidRPr="00B00E68">
        <w:rPr>
          <w:rFonts w:eastAsia="Batang" w:cstheme="minorHAnsi"/>
          <w:lang w:eastAsia="zh-CN"/>
        </w:rPr>
        <w:t xml:space="preserve"> </w:t>
      </w:r>
      <w:r>
        <w:rPr>
          <w:rFonts w:eastAsia="Batang" w:cstheme="minorHAnsi"/>
          <w:lang w:eastAsia="zh-CN"/>
        </w:rPr>
        <w:t>NR access to unlicensed s</w:t>
      </w:r>
      <w:r w:rsidRPr="00B00E68">
        <w:rPr>
          <w:rFonts w:eastAsia="Batang" w:cstheme="minorHAnsi"/>
          <w:lang w:eastAsia="zh-CN"/>
        </w:rPr>
        <w:t>pectrum</w:t>
      </w:r>
      <w:r>
        <w:rPr>
          <w:rFonts w:eastAsia="Batang" w:cstheme="minorHAnsi"/>
          <w:lang w:eastAsia="zh-CN"/>
        </w:rPr>
        <w:t>. On the deployment aspect, there is the following statement in the justification of the SI:</w:t>
      </w:r>
    </w:p>
    <w:p w14:paraId="6F02A611" w14:textId="1434E9C3" w:rsidR="00B00E68" w:rsidRDefault="00B00E68" w:rsidP="00B00E68">
      <w:pPr>
        <w:ind w:left="720"/>
      </w:pPr>
      <w:r w:rsidRPr="00B00E68">
        <w:rPr>
          <w:rFonts w:ascii="Times New Roman" w:eastAsia="Times New Roman" w:hAnsi="Times New Roman" w:cs="Times New Roman"/>
          <w:sz w:val="20"/>
          <w:szCs w:val="20"/>
        </w:rPr>
        <w:t>In the same vein, the study should look into scenarios and solutions where NR-LAA is anchored to a legacy LTE carrier by dual-connectivity (DC) similar to the NSA mode of regular NR operation, as well as CA based aggregation with a 5G NR anchor. Furthermore, it is beneficial to consider standalone operation of NR in unlicensed spectrum at an early stage and the study should address this.</w:t>
      </w:r>
    </w:p>
    <w:p w14:paraId="0F408FF1" w14:textId="7230366F" w:rsidR="00D20E67" w:rsidRDefault="00B00E68" w:rsidP="005F1B8A">
      <w:r>
        <w:t xml:space="preserve">More specifically, RAN2 is asked to study the architectural </w:t>
      </w:r>
      <w:r w:rsidR="005D01F1">
        <w:t>scenario for the following:</w:t>
      </w:r>
    </w:p>
    <w:p w14:paraId="48982052" w14:textId="77777777" w:rsidR="005D01F1" w:rsidRPr="005D01F1" w:rsidRDefault="005D01F1" w:rsidP="005D01F1">
      <w:pPr>
        <w:numPr>
          <w:ilvl w:val="1"/>
          <w:numId w:val="42"/>
        </w:numPr>
        <w:overflowPunct w:val="0"/>
        <w:autoSpaceDE w:val="0"/>
        <w:autoSpaceDN w:val="0"/>
        <w:adjustRightInd w:val="0"/>
        <w:spacing w:after="180" w:line="240" w:lineRule="auto"/>
        <w:ind w:right="1035"/>
        <w:jc w:val="both"/>
        <w:textAlignment w:val="baseline"/>
        <w:rPr>
          <w:rFonts w:ascii="Times New Roman" w:eastAsia="Times New Roman" w:hAnsi="Times New Roman" w:cs="Times New Roman"/>
          <w:sz w:val="20"/>
          <w:szCs w:val="20"/>
          <w:lang w:val="en-US"/>
        </w:rPr>
      </w:pPr>
      <w:r w:rsidRPr="005D01F1">
        <w:rPr>
          <w:rFonts w:ascii="Times New Roman" w:eastAsia="Times New Roman" w:hAnsi="Times New Roman" w:cs="Times New Roman"/>
          <w:sz w:val="20"/>
          <w:szCs w:val="20"/>
          <w:lang w:val="en-US"/>
        </w:rPr>
        <w:t>An NR-based LAA cell(s) connects with an LTE or NR anchor cell operating in licensed spectrum</w:t>
      </w:r>
    </w:p>
    <w:p w14:paraId="0F1CC61B" w14:textId="77777777" w:rsidR="005D01F1" w:rsidRPr="005D01F1" w:rsidRDefault="005D01F1" w:rsidP="005D01F1">
      <w:pPr>
        <w:numPr>
          <w:ilvl w:val="2"/>
          <w:numId w:val="42"/>
        </w:numPr>
        <w:overflowPunct w:val="0"/>
        <w:autoSpaceDE w:val="0"/>
        <w:autoSpaceDN w:val="0"/>
        <w:adjustRightInd w:val="0"/>
        <w:spacing w:after="180" w:line="240" w:lineRule="auto"/>
        <w:ind w:right="1035"/>
        <w:jc w:val="both"/>
        <w:textAlignment w:val="baseline"/>
        <w:rPr>
          <w:rFonts w:ascii="Times New Roman" w:eastAsia="Times New Roman" w:hAnsi="Times New Roman" w:cs="Times New Roman"/>
          <w:sz w:val="20"/>
          <w:szCs w:val="20"/>
          <w:lang w:val="en-US"/>
        </w:rPr>
      </w:pPr>
      <w:r w:rsidRPr="005D01F1">
        <w:rPr>
          <w:rFonts w:ascii="Times New Roman" w:eastAsia="Times New Roman" w:hAnsi="Times New Roman" w:cs="Times New Roman"/>
          <w:sz w:val="20"/>
          <w:szCs w:val="20"/>
          <w:lang w:val="en-US"/>
        </w:rPr>
        <w:t>The study assumes the techniques for linking between Pcell (LTE or NR licensed CC) and Scell (NR unlicensed CCs) according to the NR WI</w:t>
      </w:r>
    </w:p>
    <w:p w14:paraId="5DE8A4E4" w14:textId="77777777" w:rsidR="005D01F1" w:rsidRPr="005D01F1" w:rsidRDefault="005D01F1" w:rsidP="005D01F1">
      <w:pPr>
        <w:numPr>
          <w:ilvl w:val="1"/>
          <w:numId w:val="42"/>
        </w:numPr>
        <w:overflowPunct w:val="0"/>
        <w:autoSpaceDE w:val="0"/>
        <w:autoSpaceDN w:val="0"/>
        <w:adjustRightInd w:val="0"/>
        <w:spacing w:after="180" w:line="240" w:lineRule="auto"/>
        <w:ind w:right="1035"/>
        <w:jc w:val="both"/>
        <w:textAlignment w:val="baseline"/>
        <w:rPr>
          <w:rFonts w:ascii="Times New Roman" w:eastAsia="Times New Roman" w:hAnsi="Times New Roman" w:cs="Times New Roman"/>
          <w:sz w:val="20"/>
          <w:szCs w:val="20"/>
          <w:lang w:val="en-US"/>
        </w:rPr>
      </w:pPr>
      <w:r w:rsidRPr="005D01F1">
        <w:rPr>
          <w:rFonts w:ascii="Times New Roman" w:eastAsia="Times New Roman" w:hAnsi="Times New Roman" w:cs="Times New Roman"/>
          <w:sz w:val="20"/>
          <w:szCs w:val="20"/>
          <w:lang w:val="en-US"/>
        </w:rPr>
        <w:t xml:space="preserve">An NR-based cell operating standalone in unlicensed spectrum, connected to a 5G-CN network with priority on frequency bands above 6GHz, e.g., for private network deployments; </w:t>
      </w:r>
    </w:p>
    <w:p w14:paraId="07BF0354" w14:textId="6083AC12" w:rsidR="005F1B8A" w:rsidRDefault="005F1B8A" w:rsidP="005F1B8A">
      <w:r>
        <w:t>In this contribution</w:t>
      </w:r>
      <w:r w:rsidR="002B38B3">
        <w:t>, the</w:t>
      </w:r>
      <w:r w:rsidR="004F7C60">
        <w:t xml:space="preserve"> high level analysis of impact to RAN2 is presented.</w:t>
      </w:r>
    </w:p>
    <w:p w14:paraId="2AE6D98D" w14:textId="77777777" w:rsidR="003E1A61" w:rsidRDefault="003E1A61" w:rsidP="00F13226">
      <w:pPr>
        <w:pStyle w:val="Heading1"/>
      </w:pPr>
      <w:r>
        <w:t>Discussion</w:t>
      </w:r>
    </w:p>
    <w:p w14:paraId="7B46C4E5" w14:textId="7C5D9450" w:rsidR="00D814ED" w:rsidRDefault="002146FE" w:rsidP="005540AC">
      <w:r>
        <w:t xml:space="preserve">Based on the SI, the </w:t>
      </w:r>
      <w:r w:rsidR="007C3348">
        <w:t>scenario</w:t>
      </w:r>
      <w:r w:rsidR="007E7E3B">
        <w:t>s</w:t>
      </w:r>
      <w:r w:rsidR="007C3348">
        <w:t xml:space="preserve"> to be studied can be one of the following:</w:t>
      </w:r>
    </w:p>
    <w:p w14:paraId="52513552" w14:textId="7CC5BFFC" w:rsidR="0037177D" w:rsidRPr="00764808" w:rsidRDefault="00CD79FE" w:rsidP="007C3348">
      <w:pPr>
        <w:numPr>
          <w:ilvl w:val="0"/>
          <w:numId w:val="43"/>
        </w:numPr>
      </w:pPr>
      <w:r w:rsidRPr="007C3348">
        <w:rPr>
          <w:lang w:val="en-US"/>
        </w:rPr>
        <w:t xml:space="preserve">Scenario1: NR licensed PCell and NR unlicensed </w:t>
      </w:r>
      <w:r w:rsidR="00764808">
        <w:rPr>
          <w:lang w:val="en-US"/>
        </w:rPr>
        <w:t>SCell with CA</w:t>
      </w:r>
    </w:p>
    <w:p w14:paraId="51C4D6FD" w14:textId="2D43ABA6" w:rsidR="00C42E29" w:rsidRPr="007C3348" w:rsidRDefault="00C42E29" w:rsidP="00C42E29">
      <w:pPr>
        <w:numPr>
          <w:ilvl w:val="0"/>
          <w:numId w:val="43"/>
        </w:numPr>
      </w:pPr>
      <w:r>
        <w:rPr>
          <w:lang w:val="en-US"/>
        </w:rPr>
        <w:t>Scenario2</w:t>
      </w:r>
      <w:r w:rsidRPr="007C3348">
        <w:rPr>
          <w:lang w:val="en-US"/>
        </w:rPr>
        <w:t>:</w:t>
      </w:r>
      <w:r>
        <w:rPr>
          <w:lang w:val="en-US"/>
        </w:rPr>
        <w:t xml:space="preserve"> LTE licensed PCell and NR unlicensed PSCell with DC</w:t>
      </w:r>
    </w:p>
    <w:p w14:paraId="31DA0566" w14:textId="20BB6C0E" w:rsidR="00764808" w:rsidRPr="007C3348" w:rsidRDefault="00C42E29" w:rsidP="007C3348">
      <w:pPr>
        <w:numPr>
          <w:ilvl w:val="0"/>
          <w:numId w:val="43"/>
        </w:numPr>
      </w:pPr>
      <w:r>
        <w:rPr>
          <w:lang w:val="en-US"/>
        </w:rPr>
        <w:t>Scenario3</w:t>
      </w:r>
      <w:r w:rsidR="00764808">
        <w:rPr>
          <w:lang w:val="en-US"/>
        </w:rPr>
        <w:t>: NR licensed PCell and NR unlicensed PSCell with DC</w:t>
      </w:r>
    </w:p>
    <w:p w14:paraId="4F9B8350" w14:textId="67CB35E8" w:rsidR="007C3348" w:rsidRPr="007C3348" w:rsidRDefault="00764808" w:rsidP="007C3348">
      <w:pPr>
        <w:numPr>
          <w:ilvl w:val="0"/>
          <w:numId w:val="43"/>
        </w:numPr>
      </w:pPr>
      <w:r>
        <w:t xml:space="preserve">Scenario4: Standalone NR unlicensed PCell </w:t>
      </w:r>
    </w:p>
    <w:p w14:paraId="262DECFA" w14:textId="6E3EC1CD" w:rsidR="002146FE" w:rsidRDefault="00764808" w:rsidP="005540AC">
      <w:r>
        <w:t>The same set of scenarios has also been agreed in RAN1 as follow</w:t>
      </w:r>
      <w:r w:rsidR="00FE51DE">
        <w:t>s</w:t>
      </w:r>
      <w:r>
        <w:t>.  In addition, RAN1 has also included another scenario where a NR cell is unlicensed in the DL but licensed in the UL.</w:t>
      </w:r>
    </w:p>
    <w:p w14:paraId="7939F708" w14:textId="77777777" w:rsidR="000952DD" w:rsidRDefault="000952DD" w:rsidP="00C57D1B">
      <w:pPr>
        <w:ind w:left="720"/>
        <w:rPr>
          <w:lang w:val="en-US" w:eastAsia="x-none"/>
        </w:rPr>
      </w:pPr>
      <w:r w:rsidRPr="00F55764">
        <w:rPr>
          <w:highlight w:val="green"/>
          <w:lang w:val="en-US" w:eastAsia="x-none"/>
        </w:rPr>
        <w:t>Agreement:</w:t>
      </w:r>
    </w:p>
    <w:p w14:paraId="3FC6EF4F" w14:textId="77777777" w:rsidR="000952DD" w:rsidRDefault="000952DD" w:rsidP="00C57D1B">
      <w:pPr>
        <w:ind w:left="720"/>
        <w:rPr>
          <w:lang w:val="en-US" w:eastAsia="x-none"/>
        </w:rPr>
      </w:pPr>
      <w:r>
        <w:rPr>
          <w:lang w:val="en-US" w:eastAsia="x-none"/>
        </w:rPr>
        <w:t xml:space="preserve">Study the additional functionality needed beyond the specifications for operation in licensed spectrum in the following deployment scenarios. </w:t>
      </w:r>
    </w:p>
    <w:p w14:paraId="4DD777D9" w14:textId="77777777" w:rsidR="000952DD" w:rsidRPr="00373EDE" w:rsidRDefault="000952DD" w:rsidP="00C57D1B">
      <w:pPr>
        <w:numPr>
          <w:ilvl w:val="0"/>
          <w:numId w:val="42"/>
        </w:numPr>
        <w:spacing w:after="0" w:line="240" w:lineRule="auto"/>
        <w:ind w:left="1080"/>
        <w:rPr>
          <w:lang w:val="en-US" w:eastAsia="x-none"/>
        </w:rPr>
      </w:pPr>
      <w:r w:rsidRPr="00373EDE">
        <w:rPr>
          <w:lang w:val="en-US" w:eastAsia="x-none"/>
        </w:rPr>
        <w:t>Carrier aggregation between licensed band NR (PCell) and NR-U (SCell)</w:t>
      </w:r>
    </w:p>
    <w:p w14:paraId="5E1DAAFA" w14:textId="77777777" w:rsidR="000952DD" w:rsidRPr="00373EDE" w:rsidRDefault="000952DD" w:rsidP="00C57D1B">
      <w:pPr>
        <w:numPr>
          <w:ilvl w:val="1"/>
          <w:numId w:val="42"/>
        </w:numPr>
        <w:spacing w:after="0" w:line="240" w:lineRule="auto"/>
        <w:ind w:left="1800"/>
        <w:rPr>
          <w:lang w:val="en-US" w:eastAsia="x-none"/>
        </w:rPr>
      </w:pPr>
      <w:r w:rsidRPr="00373EDE">
        <w:rPr>
          <w:lang w:val="en-US" w:eastAsia="x-none"/>
        </w:rPr>
        <w:lastRenderedPageBreak/>
        <w:t>NR-U SCell may have both DL and UL, or DL-only.</w:t>
      </w:r>
    </w:p>
    <w:p w14:paraId="33352F48" w14:textId="77777777" w:rsidR="000952DD" w:rsidRPr="00373EDE" w:rsidRDefault="000952DD" w:rsidP="00C57D1B">
      <w:pPr>
        <w:numPr>
          <w:ilvl w:val="0"/>
          <w:numId w:val="42"/>
        </w:numPr>
        <w:spacing w:after="0" w:line="240" w:lineRule="auto"/>
        <w:ind w:left="1080"/>
        <w:rPr>
          <w:lang w:val="en-US" w:eastAsia="x-none"/>
        </w:rPr>
      </w:pPr>
      <w:r w:rsidRPr="00373EDE">
        <w:rPr>
          <w:lang w:val="en-US" w:eastAsia="x-none"/>
        </w:rPr>
        <w:t xml:space="preserve">Dual connectivity </w:t>
      </w:r>
      <w:bookmarkStart w:id="2" w:name="_Hlk500847868"/>
      <w:r w:rsidRPr="00373EDE">
        <w:rPr>
          <w:lang w:val="en-US" w:eastAsia="x-none"/>
        </w:rPr>
        <w:t>between licensed band LTE (PCell) and NR-U (PSCell)</w:t>
      </w:r>
      <w:bookmarkEnd w:id="2"/>
    </w:p>
    <w:p w14:paraId="1A63BDAB" w14:textId="77777777" w:rsidR="000952DD" w:rsidRDefault="000952DD" w:rsidP="00C57D1B">
      <w:pPr>
        <w:numPr>
          <w:ilvl w:val="0"/>
          <w:numId w:val="42"/>
        </w:numPr>
        <w:spacing w:after="0" w:line="240" w:lineRule="auto"/>
        <w:ind w:left="1080"/>
        <w:rPr>
          <w:lang w:val="en-US" w:eastAsia="x-none"/>
        </w:rPr>
      </w:pPr>
      <w:r w:rsidRPr="00373EDE">
        <w:rPr>
          <w:lang w:val="en-US" w:eastAsia="x-none"/>
        </w:rPr>
        <w:t>Stand-alone NR-U</w:t>
      </w:r>
    </w:p>
    <w:p w14:paraId="7F6FFACC" w14:textId="415718F1" w:rsidR="000952DD" w:rsidRPr="002313EF" w:rsidRDefault="000952DD" w:rsidP="00C57D1B">
      <w:pPr>
        <w:numPr>
          <w:ilvl w:val="0"/>
          <w:numId w:val="42"/>
        </w:numPr>
        <w:spacing w:after="0" w:line="240" w:lineRule="auto"/>
        <w:ind w:left="1080"/>
        <w:rPr>
          <w:lang w:val="en-US" w:eastAsia="x-none"/>
        </w:rPr>
      </w:pPr>
      <w:r>
        <w:rPr>
          <w:lang w:val="en-US" w:eastAsia="x-none"/>
        </w:rPr>
        <w:t>An NR cell with DL in unlicensed band and UL in licensed band</w:t>
      </w:r>
    </w:p>
    <w:p w14:paraId="05F54E5D" w14:textId="77777777" w:rsidR="000952DD" w:rsidRDefault="000952DD" w:rsidP="00C57D1B">
      <w:pPr>
        <w:numPr>
          <w:ilvl w:val="0"/>
          <w:numId w:val="42"/>
        </w:numPr>
        <w:spacing w:after="0" w:line="240" w:lineRule="auto"/>
        <w:ind w:left="1080"/>
        <w:rPr>
          <w:lang w:val="en-US" w:eastAsia="x-none"/>
        </w:rPr>
      </w:pPr>
      <w:bookmarkStart w:id="3" w:name="_Hlk500847837"/>
      <w:r w:rsidRPr="00373EDE">
        <w:rPr>
          <w:lang w:val="en-US" w:eastAsia="x-none"/>
        </w:rPr>
        <w:t>Dual connectivity between licensed band NR (PCell) and NR-U (PSCell</w:t>
      </w:r>
      <w:bookmarkEnd w:id="3"/>
      <w:r w:rsidRPr="00373EDE">
        <w:rPr>
          <w:lang w:val="en-US" w:eastAsia="x-none"/>
        </w:rPr>
        <w:t>)</w:t>
      </w:r>
    </w:p>
    <w:p w14:paraId="3C1418EF" w14:textId="77777777" w:rsidR="006E7F4A" w:rsidRDefault="006E7F4A" w:rsidP="006E7F4A">
      <w:pPr>
        <w:spacing w:after="0" w:line="240" w:lineRule="auto"/>
        <w:rPr>
          <w:lang w:val="en-US" w:eastAsia="x-none"/>
        </w:rPr>
      </w:pPr>
    </w:p>
    <w:p w14:paraId="43F6D200" w14:textId="4C621FC7" w:rsidR="00E2727B" w:rsidRDefault="00E2727B" w:rsidP="006E7F4A">
      <w:pPr>
        <w:spacing w:after="0" w:line="240" w:lineRule="auto"/>
        <w:rPr>
          <w:lang w:val="en-US" w:eastAsia="x-none"/>
        </w:rPr>
      </w:pPr>
      <w:r>
        <w:rPr>
          <w:lang w:val="en-US" w:eastAsia="x-none"/>
        </w:rPr>
        <w:t>In the subsequent section, the deployment ‘An NR cell with DL in unlicensed band and UL in licensed band’ is also called Scenario5.</w:t>
      </w:r>
    </w:p>
    <w:p w14:paraId="4564B815" w14:textId="77777777" w:rsidR="00E2727B" w:rsidRDefault="00E2727B" w:rsidP="006E7F4A">
      <w:pPr>
        <w:spacing w:after="0" w:line="240" w:lineRule="auto"/>
        <w:rPr>
          <w:lang w:val="en-US" w:eastAsia="x-none"/>
        </w:rPr>
      </w:pPr>
    </w:p>
    <w:p w14:paraId="6A0D697B" w14:textId="542A49E7" w:rsidR="006E7F4A" w:rsidRDefault="006E7F4A" w:rsidP="006E7F4A">
      <w:pPr>
        <w:spacing w:after="0" w:line="240" w:lineRule="auto"/>
        <w:rPr>
          <w:lang w:val="en-US" w:eastAsia="x-none"/>
        </w:rPr>
      </w:pPr>
      <w:r>
        <w:rPr>
          <w:lang w:val="en-US" w:eastAsia="x-none"/>
        </w:rPr>
        <w:t>In the following section, a high level of the effort to fulfil each of the scenario</w:t>
      </w:r>
      <w:r w:rsidR="00537F6E">
        <w:rPr>
          <w:lang w:val="en-US" w:eastAsia="x-none"/>
        </w:rPr>
        <w:t xml:space="preserve"> is analyzed.</w:t>
      </w:r>
    </w:p>
    <w:p w14:paraId="6E7C9639" w14:textId="77777777" w:rsidR="00764808" w:rsidRDefault="00764808" w:rsidP="005540AC"/>
    <w:p w14:paraId="49552B20" w14:textId="77777777" w:rsidR="000952DD" w:rsidRPr="00764808" w:rsidRDefault="000952DD" w:rsidP="000952DD">
      <w:pPr>
        <w:pStyle w:val="Heading2"/>
      </w:pPr>
      <w:r w:rsidRPr="000952DD">
        <w:rPr>
          <w:lang w:val="en-US"/>
        </w:rPr>
        <w:t>Scenario1: NR licensed PCell and NR unlicensed SCell with CA</w:t>
      </w:r>
    </w:p>
    <w:p w14:paraId="0FF2C265" w14:textId="0B2986A6" w:rsidR="004F7C60" w:rsidRDefault="006E7F4A" w:rsidP="005540AC">
      <w:r>
        <w:t xml:space="preserve">Scenario 1 </w:t>
      </w:r>
      <w:r w:rsidR="000952DD" w:rsidRPr="000952DD">
        <w:t xml:space="preserve">provides the simplest approach (like in LTE LAA) to improve network capacity by exploiting unlicensed spectrum with ideal backhaul between the </w:t>
      </w:r>
      <w:r w:rsidR="00FE51DE" w:rsidRPr="000952DD">
        <w:t>PCell</w:t>
      </w:r>
      <w:r w:rsidR="000952DD" w:rsidRPr="000952DD">
        <w:t xml:space="preserve"> in licensed carrier and SCell(s) in unlicensed.</w:t>
      </w:r>
      <w:r>
        <w:t xml:space="preserve"> The </w:t>
      </w:r>
      <w:r w:rsidR="001D3BF5">
        <w:t xml:space="preserve">RAN2 </w:t>
      </w:r>
      <w:r>
        <w:t>effort</w:t>
      </w:r>
      <w:r w:rsidR="001D3BF5">
        <w:t xml:space="preserve"> related to this scenario</w:t>
      </w:r>
      <w:r>
        <w:t xml:space="preserve"> can be categorised as follow:</w:t>
      </w:r>
    </w:p>
    <w:p w14:paraId="2678E754" w14:textId="508E7FC8" w:rsidR="006E7F4A" w:rsidRDefault="006E7F4A" w:rsidP="005540AC">
      <w:r>
        <w:t>On the DL, there is a need to improve the reference signal for RRM measurement to take</w:t>
      </w:r>
      <w:r w:rsidR="00537F6E">
        <w:t xml:space="preserve"> into consideration the effect of performing </w:t>
      </w:r>
      <w:r>
        <w:t>LBT</w:t>
      </w:r>
      <w:r w:rsidR="00537F6E">
        <w:t xml:space="preserve"> on the reference signal and the UE when taking RRM measurement will have to know whether the reference signal is being sent. Other than measurement for RRM measurement, the network may also confi</w:t>
      </w:r>
      <w:r w:rsidR="001D3BF5">
        <w:t>gure the UE with measurement</w:t>
      </w:r>
      <w:r w:rsidR="00FE51DE">
        <w:t>s</w:t>
      </w:r>
      <w:r w:rsidR="001D3BF5">
        <w:t xml:space="preserve"> to detect </w:t>
      </w:r>
      <w:r w:rsidR="00FE51DE">
        <w:t xml:space="preserve">the </w:t>
      </w:r>
      <w:r w:rsidR="001D3BF5">
        <w:t xml:space="preserve">hidden node issue (e.g. RSSI measurement and channel occupancy measurement </w:t>
      </w:r>
      <w:r w:rsidR="00FE51DE">
        <w:t xml:space="preserve">as </w:t>
      </w:r>
      <w:r w:rsidR="001D3BF5">
        <w:t>in LTE may still be needed). Also hardware sharing issue may also happen due to UE sharing the same hardware (e.g. antenna) e.g. between NR unlicensed and WiFi.</w:t>
      </w:r>
    </w:p>
    <w:p w14:paraId="4B2C9B3E" w14:textId="465C7E67" w:rsidR="001D3BF5" w:rsidRDefault="001D3BF5" w:rsidP="005540AC">
      <w:r>
        <w:t>On the UL</w:t>
      </w:r>
      <w:r w:rsidR="0013056A">
        <w:t>, the main effort will be on the configured UL grant enhancement over unlicensed carrier.  There is a need to allow for more flexible retransmission timing for a HARQ process, as opposed to the fix association between the slot and a HARQ process. As configured UL grant mechanism is without PDCCH allocating the UL grant, it may not be possible to assign the LBT priority class for the UL, UE needs to decide on its LBT priority class. Other smaller impact is</w:t>
      </w:r>
      <w:r w:rsidR="00025F85">
        <w:t>sues</w:t>
      </w:r>
      <w:r w:rsidR="0013056A">
        <w:t xml:space="preserve"> to decide on whether scheduling combination of DL being self-schedu</w:t>
      </w:r>
      <w:r w:rsidR="00C62B0C">
        <w:t>ling while UL being</w:t>
      </w:r>
      <w:r w:rsidR="0013056A">
        <w:t xml:space="preserve"> cross-scheduled</w:t>
      </w:r>
      <w:r w:rsidR="00C62B0C">
        <w:t xml:space="preserve"> by a licensed serving cell</w:t>
      </w:r>
      <w:r w:rsidR="0013056A">
        <w:t xml:space="preserve"> is needed as in LTE. RACH may or may not be needed depending on the deployment. If only small cell is considered, then RACH is not needed.</w:t>
      </w:r>
    </w:p>
    <w:p w14:paraId="6F186598" w14:textId="33D0B42D" w:rsidR="004F7C60" w:rsidRDefault="0013056A" w:rsidP="005540AC">
      <w:r>
        <w:t xml:space="preserve">All of the above effort </w:t>
      </w:r>
      <w:r w:rsidR="00C62B0C">
        <w:t>for this scenario are</w:t>
      </w:r>
      <w:r>
        <w:t xml:space="preserve"> also</w:t>
      </w:r>
      <w:r w:rsidR="00C62B0C">
        <w:t xml:space="preserve"> needed</w:t>
      </w:r>
      <w:r>
        <w:t xml:space="preserve"> for </w:t>
      </w:r>
      <w:r w:rsidR="00C62B0C">
        <w:t>all the other scenarios</w:t>
      </w:r>
      <w:r w:rsidR="002C55B6">
        <w:t>, except for the scenario where an NR cell with DL in unlicensed band and UL in licensed band, in which the UL effort is not needed.</w:t>
      </w:r>
      <w:r w:rsidR="00C62B0C">
        <w:t xml:space="preserve"> </w:t>
      </w:r>
    </w:p>
    <w:p w14:paraId="6E051D13" w14:textId="66FCFB21" w:rsidR="002C55B6" w:rsidRDefault="002C55B6" w:rsidP="002C55B6">
      <w:r w:rsidRPr="002C55B6">
        <w:rPr>
          <w:b/>
        </w:rPr>
        <w:t>Observation#1:</w:t>
      </w:r>
      <w:r>
        <w:t xml:space="preserve"> The effort for NR licensed PCell and NR unlicensed SCell with CA</w:t>
      </w:r>
      <w:r w:rsidR="00C42E29">
        <w:t xml:space="preserve"> (Scenario1)</w:t>
      </w:r>
      <w:r>
        <w:t xml:space="preserve"> is required for all other scenarios, except for the scenario where an NR cell with DL in unlicensed band and UL in licensed band, in which the UL effort is not needed.</w:t>
      </w:r>
    </w:p>
    <w:p w14:paraId="0B4B1A7A" w14:textId="77777777" w:rsidR="002555C5" w:rsidRDefault="002555C5" w:rsidP="002C55B6"/>
    <w:p w14:paraId="3B44F395" w14:textId="7289FEDC" w:rsidR="00C42E29" w:rsidRDefault="00C42E29" w:rsidP="002C55B6">
      <w:pPr>
        <w:pStyle w:val="Heading2"/>
        <w:rPr>
          <w:lang w:val="en-US"/>
        </w:rPr>
      </w:pPr>
      <w:r>
        <w:t xml:space="preserve">Scenario2: </w:t>
      </w:r>
      <w:r>
        <w:rPr>
          <w:lang w:val="en-US"/>
        </w:rPr>
        <w:t>LTE licensed PCell and NR unlicensed PSCell with DC</w:t>
      </w:r>
      <w:r w:rsidR="00E2727B">
        <w:rPr>
          <w:lang w:val="en-US"/>
        </w:rPr>
        <w:t xml:space="preserve"> connected</w:t>
      </w:r>
    </w:p>
    <w:p w14:paraId="54696270" w14:textId="77777777" w:rsidR="00C42E29" w:rsidRDefault="00C42E29" w:rsidP="00C42E29">
      <w:pPr>
        <w:rPr>
          <w:rFonts w:cstheme="minorHAnsi"/>
          <w:szCs w:val="20"/>
          <w:lang w:eastAsia="ko-KR"/>
        </w:rPr>
      </w:pPr>
      <w:r w:rsidRPr="00C42E29">
        <w:rPr>
          <w:rFonts w:cstheme="minorHAnsi"/>
          <w:szCs w:val="20"/>
          <w:lang w:eastAsia="ko-KR"/>
        </w:rPr>
        <w:t xml:space="preserve">Scenario2 is particularly useful for operators to leverage existing licensed LTE deployment without the need for NR licensed spectrum using the NR-unlicensed technology. </w:t>
      </w:r>
    </w:p>
    <w:p w14:paraId="0C8D5548" w14:textId="66D7ECA1" w:rsidR="00C42E29" w:rsidRDefault="00C42E29" w:rsidP="00C42E29">
      <w:pPr>
        <w:rPr>
          <w:rFonts w:cstheme="minorHAnsi"/>
          <w:szCs w:val="20"/>
          <w:lang w:eastAsia="ko-KR"/>
        </w:rPr>
      </w:pPr>
      <w:r>
        <w:rPr>
          <w:szCs w:val="20"/>
          <w:lang w:eastAsia="ko-KR"/>
        </w:rPr>
        <w:t>On top of the effort for Scenario1, enhancement for PRACH/RACH over unlicensed carrier is essential for performing UL synchronisation and also for synchronized reconfiguration.  Furthermore, UL control signalling is required to provide CSI reporting, HARQ ACK/NACK and also SR.</w:t>
      </w:r>
      <w:r w:rsidR="00D3129E" w:rsidRPr="00D3129E">
        <w:rPr>
          <w:szCs w:val="20"/>
          <w:lang w:eastAsia="ko-KR"/>
        </w:rPr>
        <w:t xml:space="preserve"> </w:t>
      </w:r>
      <w:r w:rsidR="00D3129E">
        <w:rPr>
          <w:szCs w:val="20"/>
          <w:lang w:eastAsia="ko-KR"/>
        </w:rPr>
        <w:t xml:space="preserve">Also, RLM over </w:t>
      </w:r>
      <w:r w:rsidR="00D3129E">
        <w:rPr>
          <w:szCs w:val="20"/>
          <w:lang w:eastAsia="ko-KR"/>
        </w:rPr>
        <w:lastRenderedPageBreak/>
        <w:t>unlicensed PSCell is also needed.</w:t>
      </w:r>
      <w:r>
        <w:rPr>
          <w:szCs w:val="20"/>
          <w:lang w:eastAsia="ko-KR"/>
        </w:rPr>
        <w:t xml:space="preserve"> All these effort is needed also for Standalone NR unlicensed PCell</w:t>
      </w:r>
      <w:r w:rsidR="00116F6A">
        <w:rPr>
          <w:szCs w:val="20"/>
          <w:lang w:eastAsia="ko-KR"/>
        </w:rPr>
        <w:t xml:space="preserve"> (Scenario4)</w:t>
      </w:r>
      <w:r w:rsidR="00D3129E">
        <w:rPr>
          <w:szCs w:val="20"/>
          <w:lang w:eastAsia="ko-KR"/>
        </w:rPr>
        <w:t xml:space="preserve">. </w:t>
      </w:r>
    </w:p>
    <w:p w14:paraId="733E0386" w14:textId="3F6C8BBC" w:rsidR="00C42E29" w:rsidRDefault="00C42E29" w:rsidP="00C42E29">
      <w:pPr>
        <w:rPr>
          <w:rFonts w:eastAsia="Malgun Gothic" w:cstheme="minorHAnsi"/>
          <w:szCs w:val="20"/>
          <w:lang w:eastAsia="zh-CN"/>
        </w:rPr>
      </w:pPr>
      <w:r w:rsidRPr="00C42E29">
        <w:rPr>
          <w:rFonts w:cstheme="minorHAnsi"/>
          <w:szCs w:val="20"/>
          <w:lang w:eastAsia="ko-KR"/>
        </w:rPr>
        <w:t xml:space="preserve">From an architectural standpoint, </w:t>
      </w:r>
      <w:r w:rsidRPr="00C42E29">
        <w:rPr>
          <w:rFonts w:eastAsia="Malgun Gothic" w:cstheme="minorHAnsi"/>
          <w:szCs w:val="20"/>
          <w:lang w:val="en-US" w:eastAsia="zh-CN"/>
        </w:rPr>
        <w:t>regardless of whether th</w:t>
      </w:r>
      <w:r>
        <w:rPr>
          <w:rFonts w:eastAsia="Malgun Gothic" w:cstheme="minorHAnsi"/>
          <w:szCs w:val="20"/>
          <w:lang w:val="en-US" w:eastAsia="zh-CN"/>
        </w:rPr>
        <w:t xml:space="preserve">e backhaul is ideal or not, the </w:t>
      </w:r>
      <w:r w:rsidR="00E2727B">
        <w:rPr>
          <w:rFonts w:eastAsia="Malgun Gothic" w:cstheme="minorHAnsi"/>
          <w:szCs w:val="20"/>
          <w:lang w:val="en-US" w:eastAsia="zh-CN"/>
        </w:rPr>
        <w:t xml:space="preserve">network </w:t>
      </w:r>
      <w:r>
        <w:rPr>
          <w:rFonts w:eastAsia="Malgun Gothic" w:cstheme="minorHAnsi"/>
          <w:szCs w:val="20"/>
          <w:lang w:val="en-US" w:eastAsia="zh-CN"/>
        </w:rPr>
        <w:t>interface</w:t>
      </w:r>
      <w:r w:rsidR="00E2727B">
        <w:rPr>
          <w:rFonts w:eastAsia="Malgun Gothic" w:cstheme="minorHAnsi"/>
          <w:szCs w:val="20"/>
          <w:lang w:val="en-US" w:eastAsia="zh-CN"/>
        </w:rPr>
        <w:t xml:space="preserve"> and RRC</w:t>
      </w:r>
      <w:r>
        <w:rPr>
          <w:rFonts w:eastAsia="Malgun Gothic" w:cstheme="minorHAnsi"/>
          <w:szCs w:val="20"/>
          <w:lang w:val="en-US" w:eastAsia="zh-CN"/>
        </w:rPr>
        <w:t xml:space="preserve"> signaling of this</w:t>
      </w:r>
      <w:r w:rsidRPr="00C42E29">
        <w:rPr>
          <w:rFonts w:eastAsia="Malgun Gothic" w:cstheme="minorHAnsi"/>
          <w:szCs w:val="20"/>
          <w:lang w:val="en-US" w:eastAsia="zh-CN"/>
        </w:rPr>
        <w:t xml:space="preserve"> scenario can be supported </w:t>
      </w:r>
      <w:r w:rsidR="0045528D">
        <w:rPr>
          <w:rFonts w:eastAsia="Malgun Gothic" w:cstheme="minorHAnsi"/>
          <w:szCs w:val="20"/>
          <w:lang w:val="en-US" w:eastAsia="zh-CN"/>
        </w:rPr>
        <w:t xml:space="preserve">largely </w:t>
      </w:r>
      <w:r w:rsidRPr="00C42E29">
        <w:rPr>
          <w:rFonts w:eastAsia="Malgun Gothic" w:cstheme="minorHAnsi"/>
          <w:szCs w:val="20"/>
          <w:lang w:val="en-US" w:eastAsia="zh-CN"/>
        </w:rPr>
        <w:t xml:space="preserve">by the EN-DC framework from </w:t>
      </w:r>
      <w:r>
        <w:rPr>
          <w:rFonts w:eastAsia="Malgun Gothic" w:cstheme="minorHAnsi"/>
          <w:szCs w:val="20"/>
          <w:lang w:val="en-US" w:eastAsia="zh-CN"/>
        </w:rPr>
        <w:t>RAN2</w:t>
      </w:r>
      <w:r w:rsidRPr="00C42E29">
        <w:rPr>
          <w:rFonts w:eastAsia="Malgun Gothic" w:cstheme="minorHAnsi"/>
          <w:szCs w:val="20"/>
          <w:lang w:val="en-US" w:eastAsia="zh-CN"/>
        </w:rPr>
        <w:t xml:space="preserve"> point of view. With </w:t>
      </w:r>
      <w:r>
        <w:rPr>
          <w:rFonts w:eastAsia="Malgun Gothic" w:cstheme="minorHAnsi"/>
          <w:szCs w:val="20"/>
          <w:lang w:val="en-US" w:eastAsia="zh-CN"/>
        </w:rPr>
        <w:t>EN-DC framework</w:t>
      </w:r>
      <w:r w:rsidRPr="00C42E29">
        <w:rPr>
          <w:rFonts w:eastAsia="Malgun Gothic" w:cstheme="minorHAnsi"/>
          <w:szCs w:val="20"/>
          <w:lang w:val="en-US" w:eastAsia="zh-CN"/>
        </w:rPr>
        <w:t xml:space="preserve">, </w:t>
      </w:r>
      <w:r w:rsidRPr="00C42E29">
        <w:rPr>
          <w:rFonts w:eastAsia="Malgun Gothic" w:cstheme="minorHAnsi"/>
          <w:szCs w:val="20"/>
          <w:lang w:eastAsia="zh-CN"/>
        </w:rPr>
        <w:t>LTE RRC does not need to understand NR L1/L2 configuration and the design will be simpler if NR part is transparent to LTE, where the NR configuration is encapsulated within a container.</w:t>
      </w:r>
      <w:r w:rsidR="00116F6A">
        <w:rPr>
          <w:rFonts w:eastAsia="Malgun Gothic" w:cstheme="minorHAnsi"/>
          <w:szCs w:val="20"/>
          <w:lang w:eastAsia="zh-CN"/>
        </w:rPr>
        <w:t xml:space="preserve"> At least for the EPC case, this is already included as part of the EN-DC drop</w:t>
      </w:r>
      <w:r w:rsidR="004B29D4">
        <w:rPr>
          <w:rFonts w:eastAsia="Malgun Gothic" w:cstheme="minorHAnsi"/>
          <w:szCs w:val="20"/>
          <w:lang w:eastAsia="zh-CN"/>
        </w:rPr>
        <w:t xml:space="preserve"> in December/March 2017.</w:t>
      </w:r>
      <w:r w:rsidR="0045528D">
        <w:rPr>
          <w:rFonts w:eastAsia="Malgun Gothic" w:cstheme="minorHAnsi"/>
          <w:szCs w:val="20"/>
          <w:lang w:eastAsia="zh-CN"/>
        </w:rPr>
        <w:t xml:space="preserve"> </w:t>
      </w:r>
      <w:r w:rsidR="0045528D">
        <w:rPr>
          <w:rFonts w:eastAsia="Malgun Gothic" w:cstheme="minorHAnsi"/>
          <w:szCs w:val="20"/>
          <w:lang w:val="en-US" w:eastAsia="zh-CN"/>
        </w:rPr>
        <w:t>There may be additional MN-SN signaling that maybe needed for the scenario on top of the EN-DC framework</w:t>
      </w:r>
      <w:r w:rsidR="002555C5">
        <w:rPr>
          <w:rFonts w:eastAsia="Malgun Gothic" w:cstheme="minorHAnsi"/>
          <w:szCs w:val="20"/>
          <w:lang w:val="en-US" w:eastAsia="zh-CN"/>
        </w:rPr>
        <w:t>, but this may not be significant</w:t>
      </w:r>
      <w:r w:rsidR="0045528D">
        <w:rPr>
          <w:rFonts w:eastAsia="Malgun Gothic" w:cstheme="minorHAnsi"/>
          <w:szCs w:val="20"/>
          <w:lang w:val="en-US" w:eastAsia="zh-CN"/>
        </w:rPr>
        <w:t>.</w:t>
      </w:r>
      <w:r w:rsidR="0045528D" w:rsidRPr="00C42E29">
        <w:rPr>
          <w:rFonts w:eastAsia="Malgun Gothic" w:cstheme="minorHAnsi"/>
          <w:szCs w:val="20"/>
          <w:lang w:val="en-US" w:eastAsia="zh-CN"/>
        </w:rPr>
        <w:t xml:space="preserve"> </w:t>
      </w:r>
    </w:p>
    <w:p w14:paraId="39C92260" w14:textId="3C70F46B" w:rsidR="00C42E29" w:rsidRPr="00C42E29" w:rsidRDefault="00C42E29" w:rsidP="00C42E29">
      <w:pPr>
        <w:rPr>
          <w:rFonts w:cstheme="minorHAnsi"/>
          <w:lang w:val="en-US"/>
        </w:rPr>
      </w:pPr>
      <w:r w:rsidRPr="00C42E29">
        <w:rPr>
          <w:rFonts w:eastAsia="Malgun Gothic" w:cstheme="minorHAnsi"/>
          <w:b/>
          <w:szCs w:val="20"/>
          <w:lang w:eastAsia="zh-CN"/>
        </w:rPr>
        <w:t>Observation#2:</w:t>
      </w:r>
      <w:r>
        <w:rPr>
          <w:rFonts w:eastAsia="Malgun Gothic" w:cstheme="minorHAnsi"/>
          <w:szCs w:val="20"/>
          <w:lang w:eastAsia="zh-CN"/>
        </w:rPr>
        <w:t xml:space="preserve"> The effort for </w:t>
      </w:r>
      <w:r>
        <w:rPr>
          <w:lang w:val="en-US"/>
        </w:rPr>
        <w:t>LTE licensed PCell and NR unlicensed PSCell with DC (Scenario2) is needed also for standalone NR unlicensed</w:t>
      </w:r>
      <w:r w:rsidR="00E2727B">
        <w:rPr>
          <w:lang w:val="en-US"/>
        </w:rPr>
        <w:t xml:space="preserve">. Also the network interface and RRC signaling of this scenario can </w:t>
      </w:r>
      <w:r w:rsidR="004D3520">
        <w:rPr>
          <w:lang w:val="en-US"/>
        </w:rPr>
        <w:t xml:space="preserve">largely </w:t>
      </w:r>
      <w:r w:rsidR="00E2727B">
        <w:rPr>
          <w:lang w:val="en-US"/>
        </w:rPr>
        <w:t>reuse from the EN-DC framework</w:t>
      </w:r>
      <w:r w:rsidR="00116F6A">
        <w:rPr>
          <w:lang w:val="en-US"/>
        </w:rPr>
        <w:t xml:space="preserve"> (at least for the EPC case)</w:t>
      </w:r>
      <w:r w:rsidR="005F3406">
        <w:rPr>
          <w:lang w:val="en-US"/>
        </w:rPr>
        <w:t>.</w:t>
      </w:r>
    </w:p>
    <w:p w14:paraId="28B9122D" w14:textId="77777777" w:rsidR="00C42E29" w:rsidRPr="00C42E29" w:rsidRDefault="00C42E29" w:rsidP="00C42E29">
      <w:pPr>
        <w:rPr>
          <w:lang w:val="en-US"/>
        </w:rPr>
      </w:pPr>
    </w:p>
    <w:p w14:paraId="689CFB23" w14:textId="3638C75C" w:rsidR="002C55B6" w:rsidRDefault="002C55B6" w:rsidP="002C55B6">
      <w:pPr>
        <w:pStyle w:val="Heading2"/>
      </w:pPr>
      <w:r>
        <w:t>Scenar</w:t>
      </w:r>
      <w:r w:rsidR="00C42E29">
        <w:t>io3</w:t>
      </w:r>
      <w:r>
        <w:t>: NR licensed PCell and NR unlicensed PSCell/SCell with DC</w:t>
      </w:r>
    </w:p>
    <w:p w14:paraId="2AE6A8E5" w14:textId="2002FE32" w:rsidR="00524A10" w:rsidRDefault="00C42E29" w:rsidP="005540AC">
      <w:pPr>
        <w:rPr>
          <w:szCs w:val="20"/>
          <w:lang w:eastAsia="ko-KR"/>
        </w:rPr>
      </w:pPr>
      <w:r>
        <w:rPr>
          <w:szCs w:val="20"/>
          <w:lang w:eastAsia="ko-KR"/>
        </w:rPr>
        <w:t>Scenario3</w:t>
      </w:r>
      <w:r w:rsidR="002C55B6">
        <w:rPr>
          <w:szCs w:val="20"/>
          <w:lang w:eastAsia="ko-KR"/>
        </w:rPr>
        <w:t xml:space="preserve"> can extend the possible network deployments</w:t>
      </w:r>
      <w:r>
        <w:rPr>
          <w:szCs w:val="20"/>
          <w:lang w:eastAsia="ko-KR"/>
        </w:rPr>
        <w:t xml:space="preserve"> of Scenario1</w:t>
      </w:r>
      <w:r w:rsidR="002C55B6">
        <w:rPr>
          <w:szCs w:val="20"/>
          <w:lang w:eastAsia="ko-KR"/>
        </w:rPr>
        <w:t xml:space="preserve"> by encompassing the non-ideal backhaul scenarios between licensed cell(s) and unlicensed cell(s). In other words, the support of DC unleashes the deployment of unlicensed cells in </w:t>
      </w:r>
      <w:r w:rsidR="002C55B6" w:rsidRPr="000438E5">
        <w:rPr>
          <w:szCs w:val="20"/>
          <w:lang w:eastAsia="ko-KR"/>
        </w:rPr>
        <w:t xml:space="preserve">a way that is unconstrained by the topology of the licensed </w:t>
      </w:r>
      <w:r w:rsidR="002C55B6">
        <w:rPr>
          <w:szCs w:val="20"/>
          <w:lang w:eastAsia="ko-KR"/>
        </w:rPr>
        <w:t>cells</w:t>
      </w:r>
      <w:r w:rsidR="002C55B6" w:rsidRPr="000438E5">
        <w:rPr>
          <w:szCs w:val="20"/>
          <w:lang w:eastAsia="ko-KR"/>
        </w:rPr>
        <w:t>.</w:t>
      </w:r>
      <w:r w:rsidR="002C55B6">
        <w:rPr>
          <w:szCs w:val="20"/>
          <w:lang w:eastAsia="ko-KR"/>
        </w:rPr>
        <w:t xml:space="preserve"> </w:t>
      </w:r>
    </w:p>
    <w:p w14:paraId="6B3446BE" w14:textId="698325DB" w:rsidR="00116F6A" w:rsidRDefault="00116F6A" w:rsidP="005540AC">
      <w:pPr>
        <w:rPr>
          <w:szCs w:val="20"/>
          <w:lang w:eastAsia="ko-KR"/>
        </w:rPr>
      </w:pPr>
      <w:r>
        <w:rPr>
          <w:szCs w:val="20"/>
          <w:lang w:eastAsia="ko-KR"/>
        </w:rPr>
        <w:t>From lower layer point of view</w:t>
      </w:r>
      <w:r w:rsidR="00D3129E">
        <w:rPr>
          <w:szCs w:val="20"/>
          <w:lang w:eastAsia="ko-KR"/>
        </w:rPr>
        <w:t>, the effort is the same as Scenario2.</w:t>
      </w:r>
    </w:p>
    <w:p w14:paraId="75056E65" w14:textId="101E766B" w:rsidR="002C55B6" w:rsidRDefault="00116F6A" w:rsidP="005540AC">
      <w:r>
        <w:rPr>
          <w:szCs w:val="20"/>
          <w:lang w:eastAsia="ko-KR"/>
        </w:rPr>
        <w:t>However</w:t>
      </w:r>
      <w:r w:rsidR="00524A10">
        <w:rPr>
          <w:szCs w:val="20"/>
          <w:lang w:eastAsia="ko-KR"/>
        </w:rPr>
        <w:t>, in order to support the DC</w:t>
      </w:r>
      <w:r w:rsidR="00524A10" w:rsidRPr="00F309FC">
        <w:t xml:space="preserve"> </w:t>
      </w:r>
      <w:r w:rsidR="00524A10" w:rsidRPr="00F309FC">
        <w:rPr>
          <w:szCs w:val="20"/>
          <w:lang w:eastAsia="ko-KR"/>
        </w:rPr>
        <w:t>between NR licensed cell (PCell) and NR unlicensed cell (PSCell)</w:t>
      </w:r>
      <w:r w:rsidR="00524A10">
        <w:rPr>
          <w:szCs w:val="20"/>
          <w:lang w:eastAsia="ko-KR"/>
        </w:rPr>
        <w:t xml:space="preserve">, the development of DC between NR licensed cells needs to be preceded and </w:t>
      </w:r>
      <w:r w:rsidR="00524A10" w:rsidRPr="00F309FC">
        <w:rPr>
          <w:szCs w:val="20"/>
          <w:lang w:eastAsia="ko-KR"/>
        </w:rPr>
        <w:t>the support of this scenario for NR unlicensed is subject</w:t>
      </w:r>
      <w:r w:rsidR="004B29D4">
        <w:rPr>
          <w:szCs w:val="20"/>
          <w:lang w:eastAsia="ko-KR"/>
        </w:rPr>
        <w:t>ed</w:t>
      </w:r>
      <w:r w:rsidR="00524A10" w:rsidRPr="00F309FC">
        <w:rPr>
          <w:szCs w:val="20"/>
          <w:lang w:eastAsia="ko-KR"/>
        </w:rPr>
        <w:t xml:space="preserve"> to it.</w:t>
      </w:r>
      <w:r w:rsidR="00524A10">
        <w:rPr>
          <w:szCs w:val="20"/>
          <w:lang w:eastAsia="ko-KR"/>
        </w:rPr>
        <w:t xml:space="preserve">  </w:t>
      </w:r>
      <w:r>
        <w:rPr>
          <w:szCs w:val="20"/>
          <w:lang w:eastAsia="ko-KR"/>
        </w:rPr>
        <w:t xml:space="preserve">Currently, the network interface and RRC signalling for NR-NR DC is on hold and </w:t>
      </w:r>
      <w:r>
        <w:t>will be considered at RAN#80 whether it will be part of the late Rel-15 drop</w:t>
      </w:r>
      <w:r w:rsidR="00D3129E">
        <w:t>.</w:t>
      </w:r>
      <w:r w:rsidR="004B29D4">
        <w:t xml:space="preserve"> The study of this scenario should wait for that decision before proceeding.</w:t>
      </w:r>
    </w:p>
    <w:p w14:paraId="67502E9A" w14:textId="2ED2EA5B" w:rsidR="00D3129E" w:rsidRDefault="00D3129E" w:rsidP="005540AC">
      <w:pPr>
        <w:rPr>
          <w:szCs w:val="20"/>
          <w:lang w:eastAsia="ko-KR"/>
        </w:rPr>
      </w:pPr>
      <w:r w:rsidRPr="00D3129E">
        <w:rPr>
          <w:b/>
        </w:rPr>
        <w:t>Observation#3:</w:t>
      </w:r>
      <w:r>
        <w:t xml:space="preserve"> </w:t>
      </w:r>
      <w:r>
        <w:rPr>
          <w:szCs w:val="20"/>
          <w:lang w:eastAsia="ko-KR"/>
        </w:rPr>
        <w:t xml:space="preserve">The network interface and RRC signalling for NR-NR DC required for Scenario3 is on hold and </w:t>
      </w:r>
      <w:r>
        <w:t>will be considered at RAN#80 whether it will be part of the late Rel-15 drop.</w:t>
      </w:r>
    </w:p>
    <w:p w14:paraId="16827FCD" w14:textId="77777777" w:rsidR="002C55B6" w:rsidRDefault="002C55B6" w:rsidP="005540AC">
      <w:pPr>
        <w:rPr>
          <w:szCs w:val="20"/>
          <w:lang w:eastAsia="ko-KR"/>
        </w:rPr>
      </w:pPr>
    </w:p>
    <w:p w14:paraId="276D9B8A" w14:textId="6E47D0EC" w:rsidR="002C55B6" w:rsidRDefault="00D3129E" w:rsidP="00D3129E">
      <w:pPr>
        <w:pStyle w:val="Heading2"/>
        <w:rPr>
          <w:lang w:eastAsia="ko-KR"/>
        </w:rPr>
      </w:pPr>
      <w:r>
        <w:rPr>
          <w:lang w:eastAsia="ko-KR"/>
        </w:rPr>
        <w:t>Scenario4: Standalone NR unlicensed PCell</w:t>
      </w:r>
    </w:p>
    <w:p w14:paraId="52678316" w14:textId="5A32AA67" w:rsidR="00534A23" w:rsidRDefault="00FC71C9" w:rsidP="005540AC">
      <w:pPr>
        <w:rPr>
          <w:szCs w:val="20"/>
          <w:lang w:eastAsia="ko-KR"/>
        </w:rPr>
      </w:pPr>
      <w:r>
        <w:rPr>
          <w:szCs w:val="20"/>
          <w:lang w:eastAsia="ko-KR"/>
        </w:rPr>
        <w:t>For</w:t>
      </w:r>
      <w:r w:rsidR="00A65921">
        <w:rPr>
          <w:szCs w:val="20"/>
          <w:lang w:eastAsia="ko-KR"/>
        </w:rPr>
        <w:t xml:space="preserve"> standalone</w:t>
      </w:r>
      <w:r>
        <w:rPr>
          <w:szCs w:val="20"/>
          <w:lang w:eastAsia="ko-KR"/>
        </w:rPr>
        <w:t xml:space="preserve"> deployment</w:t>
      </w:r>
      <w:r w:rsidR="00A65921">
        <w:rPr>
          <w:szCs w:val="20"/>
          <w:lang w:eastAsia="ko-KR"/>
        </w:rPr>
        <w:t>, other than supporting what has been observed in Scenarios 1 and 2</w:t>
      </w:r>
      <w:r w:rsidR="009942C0">
        <w:rPr>
          <w:szCs w:val="20"/>
          <w:lang w:eastAsia="ko-KR"/>
        </w:rPr>
        <w:t>, there is also a need to support idle mode functionality such as paging, cell reselection and SI acquisition. All these will need to</w:t>
      </w:r>
      <w:r w:rsidR="00661509">
        <w:rPr>
          <w:szCs w:val="20"/>
          <w:lang w:eastAsia="ko-KR"/>
        </w:rPr>
        <w:t xml:space="preserve"> take into consideration of LBT. </w:t>
      </w:r>
      <w:r w:rsidR="00534A23">
        <w:rPr>
          <w:szCs w:val="20"/>
          <w:lang w:eastAsia="ko-KR"/>
        </w:rPr>
        <w:t>Moreover the work in standalone NR licensed is still in progress</w:t>
      </w:r>
      <w:r w:rsidR="00320766">
        <w:rPr>
          <w:szCs w:val="20"/>
          <w:lang w:eastAsia="ko-KR"/>
        </w:rPr>
        <w:t>.</w:t>
      </w:r>
      <w:r>
        <w:rPr>
          <w:szCs w:val="20"/>
          <w:lang w:eastAsia="ko-KR"/>
        </w:rPr>
        <w:t xml:space="preserve"> RAN2 can wait for further progress on the equivalent work on standalone NR licensed before studying this part in the SI.</w:t>
      </w:r>
    </w:p>
    <w:p w14:paraId="12F15A4A" w14:textId="663CABEC" w:rsidR="00C25675" w:rsidRDefault="00605707" w:rsidP="005540AC">
      <w:pPr>
        <w:rPr>
          <w:szCs w:val="20"/>
          <w:lang w:eastAsia="ko-KR"/>
        </w:rPr>
      </w:pPr>
      <w:r w:rsidRPr="00605707">
        <w:rPr>
          <w:b/>
          <w:szCs w:val="20"/>
          <w:lang w:eastAsia="ko-KR"/>
        </w:rPr>
        <w:t>Observation#4:</w:t>
      </w:r>
      <w:r>
        <w:rPr>
          <w:szCs w:val="20"/>
          <w:lang w:eastAsia="ko-KR"/>
        </w:rPr>
        <w:t xml:space="preserve"> </w:t>
      </w:r>
      <w:r w:rsidR="00534A23">
        <w:rPr>
          <w:szCs w:val="20"/>
          <w:lang w:eastAsia="ko-KR"/>
        </w:rPr>
        <w:t xml:space="preserve">The work in standalone NR licensed is still in progress and the standalone NR unlicensed needs to build on the standalone NR licensed.  </w:t>
      </w:r>
      <w:r w:rsidR="00622188">
        <w:rPr>
          <w:szCs w:val="20"/>
          <w:lang w:eastAsia="ko-KR"/>
        </w:rPr>
        <w:t xml:space="preserve">  </w:t>
      </w:r>
    </w:p>
    <w:p w14:paraId="33089574" w14:textId="77777777" w:rsidR="00622188" w:rsidRDefault="00622188" w:rsidP="005540AC">
      <w:pPr>
        <w:rPr>
          <w:szCs w:val="20"/>
          <w:lang w:eastAsia="ko-KR"/>
        </w:rPr>
      </w:pPr>
    </w:p>
    <w:p w14:paraId="5021717E" w14:textId="0EA5BAF6" w:rsidR="00C25675" w:rsidRDefault="00C25675" w:rsidP="00C25675">
      <w:pPr>
        <w:pStyle w:val="Heading2"/>
        <w:rPr>
          <w:lang w:eastAsia="ko-KR"/>
        </w:rPr>
      </w:pPr>
      <w:r>
        <w:rPr>
          <w:lang w:eastAsia="ko-KR"/>
        </w:rPr>
        <w:t>Scenario5: An NR cell in unlicensed DL and licensed UL</w:t>
      </w:r>
    </w:p>
    <w:p w14:paraId="07022E63" w14:textId="3961BB93" w:rsidR="00C25675" w:rsidRPr="00C25675" w:rsidRDefault="00C25675" w:rsidP="00C25675">
      <w:pPr>
        <w:rPr>
          <w:lang w:eastAsia="ko-KR"/>
        </w:rPr>
      </w:pPr>
      <w:r>
        <w:rPr>
          <w:lang w:eastAsia="ko-KR"/>
        </w:rPr>
        <w:t>This scenario seems to be applicable to all scenarios, with the advantage that LBT is needed to consider only for the DL direction. Effort will</w:t>
      </w:r>
      <w:r w:rsidR="00534A23">
        <w:rPr>
          <w:lang w:eastAsia="ko-KR"/>
        </w:rPr>
        <w:t xml:space="preserve"> be reduced if this scenario is considered.</w:t>
      </w:r>
    </w:p>
    <w:p w14:paraId="4EE3A8FC" w14:textId="77777777" w:rsidR="00A55443" w:rsidRDefault="00A55443" w:rsidP="005540AC">
      <w:pPr>
        <w:rPr>
          <w:szCs w:val="20"/>
          <w:lang w:eastAsia="ko-KR"/>
        </w:rPr>
      </w:pPr>
    </w:p>
    <w:p w14:paraId="4296206C" w14:textId="68B1E27F" w:rsidR="00007764" w:rsidRDefault="00C25675" w:rsidP="005540AC">
      <w:pPr>
        <w:rPr>
          <w:szCs w:val="20"/>
          <w:lang w:eastAsia="ko-KR"/>
        </w:rPr>
      </w:pPr>
      <w:r>
        <w:rPr>
          <w:szCs w:val="20"/>
          <w:lang w:eastAsia="ko-KR"/>
        </w:rPr>
        <w:lastRenderedPageBreak/>
        <w:t>Based on the above observations, it is clear that Scenario 1 and 2</w:t>
      </w:r>
      <w:r w:rsidR="00534A23">
        <w:rPr>
          <w:szCs w:val="20"/>
          <w:lang w:eastAsia="ko-KR"/>
        </w:rPr>
        <w:t xml:space="preserve"> are building blocks to Scenario 3 and 4. On the other hand, Scenario 3 and 4 will require further progress of the equivalent of the NR licensed in order to be able to study.</w:t>
      </w:r>
      <w:r w:rsidR="00622188">
        <w:rPr>
          <w:szCs w:val="20"/>
          <w:lang w:eastAsia="ko-KR"/>
        </w:rPr>
        <w:t xml:space="preserve"> </w:t>
      </w:r>
      <w:r w:rsidR="00534A23">
        <w:rPr>
          <w:szCs w:val="20"/>
          <w:lang w:eastAsia="ko-KR"/>
        </w:rPr>
        <w:t>Hence it is proposed:</w:t>
      </w:r>
    </w:p>
    <w:p w14:paraId="702D86FE" w14:textId="0C9C00E2" w:rsidR="00024F72" w:rsidRDefault="00024F72" w:rsidP="00024F72">
      <w:r>
        <w:rPr>
          <w:b/>
        </w:rPr>
        <w:t>Proposal:</w:t>
      </w:r>
      <w:r>
        <w:t xml:space="preserve"> RAN 2 can first study the work needed for Scenario 1 and 2, and for Scenario 3 and 4 once the equivalent </w:t>
      </w:r>
      <w:r w:rsidR="00C63957">
        <w:t xml:space="preserve">work </w:t>
      </w:r>
      <w:r>
        <w:t xml:space="preserve">on NR licensed </w:t>
      </w:r>
      <w:r w:rsidR="00C63957">
        <w:t xml:space="preserve">is </w:t>
      </w:r>
      <w:r>
        <w:t>completed (i.e. work in progress of standalone NR licensed is completed and the RAN decided to have NR-NR DC in Rel-15).</w:t>
      </w:r>
    </w:p>
    <w:p w14:paraId="1BB47427" w14:textId="77777777" w:rsidR="00622188" w:rsidRDefault="00622188" w:rsidP="00D50CDD"/>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0E9A5D54" w14:textId="77777777" w:rsidR="002555C5" w:rsidRDefault="002555C5" w:rsidP="002555C5">
      <w:r w:rsidRPr="002C55B6">
        <w:rPr>
          <w:b/>
        </w:rPr>
        <w:t>Observation#1:</w:t>
      </w:r>
      <w:r>
        <w:t xml:space="preserve"> The effort for NR licensed PCell and NR unlicensed SCell with CA (Scenario1) is required for all other scenarios, except for the scenario where an NR cell with DL in unlicensed band and UL in licensed band, in which the UL effort is not needed.</w:t>
      </w:r>
    </w:p>
    <w:p w14:paraId="37BA4B12" w14:textId="77777777" w:rsidR="002555C5" w:rsidRPr="00C42E29" w:rsidRDefault="002555C5" w:rsidP="002555C5">
      <w:pPr>
        <w:rPr>
          <w:rFonts w:cstheme="minorHAnsi"/>
          <w:lang w:val="en-US"/>
        </w:rPr>
      </w:pPr>
      <w:bookmarkStart w:id="4" w:name="_GoBack"/>
      <w:bookmarkEnd w:id="4"/>
      <w:r w:rsidRPr="00C42E29">
        <w:rPr>
          <w:rFonts w:eastAsia="Malgun Gothic" w:cstheme="minorHAnsi"/>
          <w:b/>
          <w:szCs w:val="20"/>
          <w:lang w:eastAsia="zh-CN"/>
        </w:rPr>
        <w:t>Observation#2:</w:t>
      </w:r>
      <w:r>
        <w:rPr>
          <w:rFonts w:eastAsia="Malgun Gothic" w:cstheme="minorHAnsi"/>
          <w:szCs w:val="20"/>
          <w:lang w:eastAsia="zh-CN"/>
        </w:rPr>
        <w:t xml:space="preserve"> The effort for </w:t>
      </w:r>
      <w:r>
        <w:rPr>
          <w:lang w:val="en-US"/>
        </w:rPr>
        <w:t>LTE licensed PCell and NR unlicensed PSCell with DC (Scenario2) is needed also for standalone NR unlicensed. Also the network interface and RRC signaling of this scenario can largely reuse from the EN-DC framework (at least for the EPC case).</w:t>
      </w:r>
    </w:p>
    <w:p w14:paraId="3C02B787" w14:textId="77777777" w:rsidR="005F3406" w:rsidRDefault="005F3406" w:rsidP="005F3406">
      <w:pPr>
        <w:rPr>
          <w:szCs w:val="20"/>
          <w:lang w:eastAsia="ko-KR"/>
        </w:rPr>
      </w:pPr>
      <w:r w:rsidRPr="00D3129E">
        <w:rPr>
          <w:b/>
        </w:rPr>
        <w:t>Observation#3:</w:t>
      </w:r>
      <w:r>
        <w:t xml:space="preserve"> </w:t>
      </w:r>
      <w:r>
        <w:rPr>
          <w:szCs w:val="20"/>
          <w:lang w:eastAsia="ko-KR"/>
        </w:rPr>
        <w:t xml:space="preserve">The network interface and RRC signalling for NR-NR DC required for Scenario3 is on hold and </w:t>
      </w:r>
      <w:r>
        <w:t>will be considered at RAN#80 whether it will be part of the late Rel-15 drop.</w:t>
      </w:r>
    </w:p>
    <w:p w14:paraId="3F45868C" w14:textId="77777777" w:rsidR="00E6005A" w:rsidRDefault="00E6005A" w:rsidP="00E6005A">
      <w:pPr>
        <w:rPr>
          <w:szCs w:val="20"/>
          <w:lang w:eastAsia="ko-KR"/>
        </w:rPr>
      </w:pPr>
      <w:r w:rsidRPr="00605707">
        <w:rPr>
          <w:b/>
          <w:szCs w:val="20"/>
          <w:lang w:eastAsia="ko-KR"/>
        </w:rPr>
        <w:t>Observation#4:</w:t>
      </w:r>
      <w:r>
        <w:rPr>
          <w:szCs w:val="20"/>
          <w:lang w:eastAsia="ko-KR"/>
        </w:rPr>
        <w:t xml:space="preserve"> The work in standalone NR licensed is still in progress and the standalone NR unlicensed needs to build on the standalone NR licensed.  Also, in order to support the use case of standalone NR unlicensed such as ad-hoc deployment, there is a need to support a RAN sharing approach</w:t>
      </w:r>
      <w:r w:rsidRPr="00622188">
        <w:rPr>
          <w:szCs w:val="20"/>
          <w:lang w:eastAsia="ko-KR"/>
        </w:rPr>
        <w:t xml:space="preserve"> </w:t>
      </w:r>
      <w:r>
        <w:rPr>
          <w:szCs w:val="20"/>
          <w:lang w:eastAsia="ko-KR"/>
        </w:rPr>
        <w:t xml:space="preserve">where UEs/users subscribing to different mobile operators are able to access the different ad-hoc networks (hosted by different providers) and providing IP connectivity without EPC/5GC.  </w:t>
      </w:r>
    </w:p>
    <w:p w14:paraId="48100220" w14:textId="77777777" w:rsidR="002555C5" w:rsidRDefault="002555C5" w:rsidP="002555C5">
      <w:r>
        <w:rPr>
          <w:b/>
        </w:rPr>
        <w:t>Proposal:</w:t>
      </w:r>
      <w:r>
        <w:t xml:space="preserve"> RAN 2 can first study the work needed for Scenario 1 and 2, and for Scenario 3 and 4 once the equivalent work on NR licensed is completed (i.e. work in progress of standalone NR licensed is completed and the RAN decided to have NR-NR DC in Rel-15).</w:t>
      </w:r>
    </w:p>
    <w:p w14:paraId="4D6CD6C4" w14:textId="45D6871F" w:rsidR="002F737D" w:rsidRDefault="002F737D" w:rsidP="00024F72"/>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A2706" w14:textId="77777777" w:rsidR="00410465" w:rsidRDefault="00410465" w:rsidP="00DF7110">
      <w:pPr>
        <w:spacing w:after="0" w:line="240" w:lineRule="auto"/>
      </w:pPr>
      <w:r>
        <w:separator/>
      </w:r>
    </w:p>
  </w:endnote>
  <w:endnote w:type="continuationSeparator" w:id="0">
    <w:p w14:paraId="00E5BAA3" w14:textId="77777777" w:rsidR="00410465" w:rsidRDefault="00410465"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ED523" w14:textId="77777777" w:rsidR="00410465" w:rsidRDefault="00410465" w:rsidP="00DF7110">
      <w:pPr>
        <w:spacing w:after="0" w:line="240" w:lineRule="auto"/>
      </w:pPr>
      <w:r>
        <w:separator/>
      </w:r>
    </w:p>
  </w:footnote>
  <w:footnote w:type="continuationSeparator" w:id="0">
    <w:p w14:paraId="70D1FCAB" w14:textId="77777777" w:rsidR="00410465" w:rsidRDefault="00410465"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6BB71BD"/>
    <w:multiLevelType w:val="hybridMultilevel"/>
    <w:tmpl w:val="5FB64F1C"/>
    <w:lvl w:ilvl="0" w:tplc="7D14E238">
      <w:start w:val="1"/>
      <w:numFmt w:val="bullet"/>
      <w:lvlText w:val=""/>
      <w:lvlJc w:val="left"/>
      <w:pPr>
        <w:tabs>
          <w:tab w:val="num" w:pos="720"/>
        </w:tabs>
        <w:ind w:left="720" w:hanging="360"/>
      </w:pPr>
      <w:rPr>
        <w:rFonts w:ascii="Wingdings" w:hAnsi="Wingdings" w:hint="default"/>
      </w:rPr>
    </w:lvl>
    <w:lvl w:ilvl="1" w:tplc="25AE0A94">
      <w:start w:val="1"/>
      <w:numFmt w:val="bullet"/>
      <w:lvlText w:val=""/>
      <w:lvlJc w:val="left"/>
      <w:pPr>
        <w:tabs>
          <w:tab w:val="num" w:pos="1440"/>
        </w:tabs>
        <w:ind w:left="1440" w:hanging="360"/>
      </w:pPr>
      <w:rPr>
        <w:rFonts w:ascii="Wingdings" w:hAnsi="Wingdings" w:hint="default"/>
      </w:rPr>
    </w:lvl>
    <w:lvl w:ilvl="2" w:tplc="0E02C350" w:tentative="1">
      <w:start w:val="1"/>
      <w:numFmt w:val="bullet"/>
      <w:lvlText w:val=""/>
      <w:lvlJc w:val="left"/>
      <w:pPr>
        <w:tabs>
          <w:tab w:val="num" w:pos="2160"/>
        </w:tabs>
        <w:ind w:left="2160" w:hanging="360"/>
      </w:pPr>
      <w:rPr>
        <w:rFonts w:ascii="Wingdings" w:hAnsi="Wingdings" w:hint="default"/>
      </w:rPr>
    </w:lvl>
    <w:lvl w:ilvl="3" w:tplc="472601CE" w:tentative="1">
      <w:start w:val="1"/>
      <w:numFmt w:val="bullet"/>
      <w:lvlText w:val=""/>
      <w:lvlJc w:val="left"/>
      <w:pPr>
        <w:tabs>
          <w:tab w:val="num" w:pos="2880"/>
        </w:tabs>
        <w:ind w:left="2880" w:hanging="360"/>
      </w:pPr>
      <w:rPr>
        <w:rFonts w:ascii="Wingdings" w:hAnsi="Wingdings" w:hint="default"/>
      </w:rPr>
    </w:lvl>
    <w:lvl w:ilvl="4" w:tplc="791CB38E" w:tentative="1">
      <w:start w:val="1"/>
      <w:numFmt w:val="bullet"/>
      <w:lvlText w:val=""/>
      <w:lvlJc w:val="left"/>
      <w:pPr>
        <w:tabs>
          <w:tab w:val="num" w:pos="3600"/>
        </w:tabs>
        <w:ind w:left="3600" w:hanging="360"/>
      </w:pPr>
      <w:rPr>
        <w:rFonts w:ascii="Wingdings" w:hAnsi="Wingdings" w:hint="default"/>
      </w:rPr>
    </w:lvl>
    <w:lvl w:ilvl="5" w:tplc="EAF44C4A" w:tentative="1">
      <w:start w:val="1"/>
      <w:numFmt w:val="bullet"/>
      <w:lvlText w:val=""/>
      <w:lvlJc w:val="left"/>
      <w:pPr>
        <w:tabs>
          <w:tab w:val="num" w:pos="4320"/>
        </w:tabs>
        <w:ind w:left="4320" w:hanging="360"/>
      </w:pPr>
      <w:rPr>
        <w:rFonts w:ascii="Wingdings" w:hAnsi="Wingdings" w:hint="default"/>
      </w:rPr>
    </w:lvl>
    <w:lvl w:ilvl="6" w:tplc="3F481BD4" w:tentative="1">
      <w:start w:val="1"/>
      <w:numFmt w:val="bullet"/>
      <w:lvlText w:val=""/>
      <w:lvlJc w:val="left"/>
      <w:pPr>
        <w:tabs>
          <w:tab w:val="num" w:pos="5040"/>
        </w:tabs>
        <w:ind w:left="5040" w:hanging="360"/>
      </w:pPr>
      <w:rPr>
        <w:rFonts w:ascii="Wingdings" w:hAnsi="Wingdings" w:hint="default"/>
      </w:rPr>
    </w:lvl>
    <w:lvl w:ilvl="7" w:tplc="F02AFA38" w:tentative="1">
      <w:start w:val="1"/>
      <w:numFmt w:val="bullet"/>
      <w:lvlText w:val=""/>
      <w:lvlJc w:val="left"/>
      <w:pPr>
        <w:tabs>
          <w:tab w:val="num" w:pos="5760"/>
        </w:tabs>
        <w:ind w:left="5760" w:hanging="360"/>
      </w:pPr>
      <w:rPr>
        <w:rFonts w:ascii="Wingdings" w:hAnsi="Wingdings" w:hint="default"/>
      </w:rPr>
    </w:lvl>
    <w:lvl w:ilvl="8" w:tplc="E93ADC9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4A63C9"/>
    <w:multiLevelType w:val="hybridMultilevel"/>
    <w:tmpl w:val="E0E06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BC4901"/>
    <w:multiLevelType w:val="hybridMultilevel"/>
    <w:tmpl w:val="E1563142"/>
    <w:lvl w:ilvl="0" w:tplc="31FAAB7A">
      <w:start w:val="1"/>
      <w:numFmt w:val="bullet"/>
      <w:lvlText w:val=""/>
      <w:lvlJc w:val="left"/>
      <w:pPr>
        <w:tabs>
          <w:tab w:val="num" w:pos="720"/>
        </w:tabs>
        <w:ind w:left="720" w:hanging="360"/>
      </w:pPr>
      <w:rPr>
        <w:rFonts w:ascii="Wingdings" w:hAnsi="Wingdings" w:hint="default"/>
      </w:rPr>
    </w:lvl>
    <w:lvl w:ilvl="1" w:tplc="075CCCFC">
      <w:start w:val="1"/>
      <w:numFmt w:val="bullet"/>
      <w:lvlText w:val=""/>
      <w:lvlJc w:val="left"/>
      <w:pPr>
        <w:tabs>
          <w:tab w:val="num" w:pos="1440"/>
        </w:tabs>
        <w:ind w:left="1440" w:hanging="360"/>
      </w:pPr>
      <w:rPr>
        <w:rFonts w:ascii="Wingdings" w:hAnsi="Wingdings" w:hint="default"/>
      </w:rPr>
    </w:lvl>
    <w:lvl w:ilvl="2" w:tplc="7ED88702" w:tentative="1">
      <w:start w:val="1"/>
      <w:numFmt w:val="bullet"/>
      <w:lvlText w:val=""/>
      <w:lvlJc w:val="left"/>
      <w:pPr>
        <w:tabs>
          <w:tab w:val="num" w:pos="2160"/>
        </w:tabs>
        <w:ind w:left="2160" w:hanging="360"/>
      </w:pPr>
      <w:rPr>
        <w:rFonts w:ascii="Wingdings" w:hAnsi="Wingdings" w:hint="default"/>
      </w:rPr>
    </w:lvl>
    <w:lvl w:ilvl="3" w:tplc="BACCBB3E" w:tentative="1">
      <w:start w:val="1"/>
      <w:numFmt w:val="bullet"/>
      <w:lvlText w:val=""/>
      <w:lvlJc w:val="left"/>
      <w:pPr>
        <w:tabs>
          <w:tab w:val="num" w:pos="2880"/>
        </w:tabs>
        <w:ind w:left="2880" w:hanging="360"/>
      </w:pPr>
      <w:rPr>
        <w:rFonts w:ascii="Wingdings" w:hAnsi="Wingdings" w:hint="default"/>
      </w:rPr>
    </w:lvl>
    <w:lvl w:ilvl="4" w:tplc="B0E8432C" w:tentative="1">
      <w:start w:val="1"/>
      <w:numFmt w:val="bullet"/>
      <w:lvlText w:val=""/>
      <w:lvlJc w:val="left"/>
      <w:pPr>
        <w:tabs>
          <w:tab w:val="num" w:pos="3600"/>
        </w:tabs>
        <w:ind w:left="3600" w:hanging="360"/>
      </w:pPr>
      <w:rPr>
        <w:rFonts w:ascii="Wingdings" w:hAnsi="Wingdings" w:hint="default"/>
      </w:rPr>
    </w:lvl>
    <w:lvl w:ilvl="5" w:tplc="8108A492" w:tentative="1">
      <w:start w:val="1"/>
      <w:numFmt w:val="bullet"/>
      <w:lvlText w:val=""/>
      <w:lvlJc w:val="left"/>
      <w:pPr>
        <w:tabs>
          <w:tab w:val="num" w:pos="4320"/>
        </w:tabs>
        <w:ind w:left="4320" w:hanging="360"/>
      </w:pPr>
      <w:rPr>
        <w:rFonts w:ascii="Wingdings" w:hAnsi="Wingdings" w:hint="default"/>
      </w:rPr>
    </w:lvl>
    <w:lvl w:ilvl="6" w:tplc="F79843FE" w:tentative="1">
      <w:start w:val="1"/>
      <w:numFmt w:val="bullet"/>
      <w:lvlText w:val=""/>
      <w:lvlJc w:val="left"/>
      <w:pPr>
        <w:tabs>
          <w:tab w:val="num" w:pos="5040"/>
        </w:tabs>
        <w:ind w:left="5040" w:hanging="360"/>
      </w:pPr>
      <w:rPr>
        <w:rFonts w:ascii="Wingdings" w:hAnsi="Wingdings" w:hint="default"/>
      </w:rPr>
    </w:lvl>
    <w:lvl w:ilvl="7" w:tplc="BA942E6C" w:tentative="1">
      <w:start w:val="1"/>
      <w:numFmt w:val="bullet"/>
      <w:lvlText w:val=""/>
      <w:lvlJc w:val="left"/>
      <w:pPr>
        <w:tabs>
          <w:tab w:val="num" w:pos="5760"/>
        </w:tabs>
        <w:ind w:left="5760" w:hanging="360"/>
      </w:pPr>
      <w:rPr>
        <w:rFonts w:ascii="Wingdings" w:hAnsi="Wingdings" w:hint="default"/>
      </w:rPr>
    </w:lvl>
    <w:lvl w:ilvl="8" w:tplc="4712EF0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4"/>
  </w:num>
  <w:num w:numId="3">
    <w:abstractNumId w:val="31"/>
  </w:num>
  <w:num w:numId="4">
    <w:abstractNumId w:val="42"/>
  </w:num>
  <w:num w:numId="5">
    <w:abstractNumId w:val="24"/>
  </w:num>
  <w:num w:numId="6">
    <w:abstractNumId w:val="42"/>
  </w:num>
  <w:num w:numId="7">
    <w:abstractNumId w:val="43"/>
  </w:num>
  <w:num w:numId="8">
    <w:abstractNumId w:val="27"/>
  </w:num>
  <w:num w:numId="9">
    <w:abstractNumId w:val="22"/>
  </w:num>
  <w:num w:numId="10">
    <w:abstractNumId w:val="12"/>
  </w:num>
  <w:num w:numId="11">
    <w:abstractNumId w:val="33"/>
  </w:num>
  <w:num w:numId="12">
    <w:abstractNumId w:val="3"/>
  </w:num>
  <w:num w:numId="13">
    <w:abstractNumId w:val="23"/>
  </w:num>
  <w:num w:numId="14">
    <w:abstractNumId w:val="15"/>
  </w:num>
  <w:num w:numId="15">
    <w:abstractNumId w:val="17"/>
  </w:num>
  <w:num w:numId="16">
    <w:abstractNumId w:val="38"/>
  </w:num>
  <w:num w:numId="17">
    <w:abstractNumId w:val="29"/>
  </w:num>
  <w:num w:numId="18">
    <w:abstractNumId w:val="19"/>
  </w:num>
  <w:num w:numId="19">
    <w:abstractNumId w:val="41"/>
  </w:num>
  <w:num w:numId="20">
    <w:abstractNumId w:val="35"/>
  </w:num>
  <w:num w:numId="21">
    <w:abstractNumId w:val="10"/>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32"/>
  </w:num>
  <w:num w:numId="26">
    <w:abstractNumId w:val="18"/>
  </w:num>
  <w:num w:numId="27">
    <w:abstractNumId w:val="26"/>
  </w:num>
  <w:num w:numId="28">
    <w:abstractNumId w:val="36"/>
  </w:num>
  <w:num w:numId="29">
    <w:abstractNumId w:val="40"/>
  </w:num>
  <w:num w:numId="30">
    <w:abstractNumId w:val="25"/>
  </w:num>
  <w:num w:numId="31">
    <w:abstractNumId w:val="37"/>
  </w:num>
  <w:num w:numId="32">
    <w:abstractNumId w:val="2"/>
  </w:num>
  <w:num w:numId="33">
    <w:abstractNumId w:val="0"/>
  </w:num>
  <w:num w:numId="34">
    <w:abstractNumId w:val="14"/>
  </w:num>
  <w:num w:numId="35">
    <w:abstractNumId w:val="30"/>
  </w:num>
  <w:num w:numId="36">
    <w:abstractNumId w:val="5"/>
  </w:num>
  <w:num w:numId="37">
    <w:abstractNumId w:val="39"/>
  </w:num>
  <w:num w:numId="38">
    <w:abstractNumId w:val="21"/>
  </w:num>
  <w:num w:numId="39">
    <w:abstractNumId w:val="9"/>
  </w:num>
  <w:num w:numId="40">
    <w:abstractNumId w:val="6"/>
  </w:num>
  <w:num w:numId="41">
    <w:abstractNumId w:val="7"/>
  </w:num>
  <w:num w:numId="42">
    <w:abstractNumId w:val="28"/>
  </w:num>
  <w:num w:numId="43">
    <w:abstractNumId w:val="4"/>
  </w:num>
  <w:num w:numId="44">
    <w:abstractNumId w:val="13"/>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7764"/>
    <w:rsid w:val="000108C2"/>
    <w:rsid w:val="00011610"/>
    <w:rsid w:val="000122EF"/>
    <w:rsid w:val="000127B5"/>
    <w:rsid w:val="00013A53"/>
    <w:rsid w:val="00014DB9"/>
    <w:rsid w:val="00014EAC"/>
    <w:rsid w:val="0001633D"/>
    <w:rsid w:val="00016643"/>
    <w:rsid w:val="00017ADD"/>
    <w:rsid w:val="000209BD"/>
    <w:rsid w:val="00022227"/>
    <w:rsid w:val="00023235"/>
    <w:rsid w:val="00024F72"/>
    <w:rsid w:val="00025114"/>
    <w:rsid w:val="0002518B"/>
    <w:rsid w:val="0002567C"/>
    <w:rsid w:val="00025F85"/>
    <w:rsid w:val="000260C4"/>
    <w:rsid w:val="00027DC1"/>
    <w:rsid w:val="000318D7"/>
    <w:rsid w:val="00032E19"/>
    <w:rsid w:val="00033C3E"/>
    <w:rsid w:val="00034A19"/>
    <w:rsid w:val="000351B5"/>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598"/>
    <w:rsid w:val="000927B0"/>
    <w:rsid w:val="000952DD"/>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3C7"/>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F6C"/>
    <w:rsid w:val="00105979"/>
    <w:rsid w:val="00105A16"/>
    <w:rsid w:val="00105EA4"/>
    <w:rsid w:val="001065E0"/>
    <w:rsid w:val="00107B60"/>
    <w:rsid w:val="00110038"/>
    <w:rsid w:val="001112EA"/>
    <w:rsid w:val="00111D1C"/>
    <w:rsid w:val="00112997"/>
    <w:rsid w:val="0011415B"/>
    <w:rsid w:val="00114899"/>
    <w:rsid w:val="00116F6A"/>
    <w:rsid w:val="001213C0"/>
    <w:rsid w:val="00122CA0"/>
    <w:rsid w:val="0012303A"/>
    <w:rsid w:val="001236A8"/>
    <w:rsid w:val="00124DAB"/>
    <w:rsid w:val="00125AD2"/>
    <w:rsid w:val="001262C5"/>
    <w:rsid w:val="00126930"/>
    <w:rsid w:val="001272E8"/>
    <w:rsid w:val="00127538"/>
    <w:rsid w:val="0012761E"/>
    <w:rsid w:val="001301D0"/>
    <w:rsid w:val="0013056A"/>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BF5"/>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6FE"/>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A1"/>
    <w:rsid w:val="002368E4"/>
    <w:rsid w:val="002371D6"/>
    <w:rsid w:val="00237B3C"/>
    <w:rsid w:val="00237E21"/>
    <w:rsid w:val="00240588"/>
    <w:rsid w:val="002409D3"/>
    <w:rsid w:val="00240F37"/>
    <w:rsid w:val="00241E41"/>
    <w:rsid w:val="002431DA"/>
    <w:rsid w:val="00243D3D"/>
    <w:rsid w:val="00244C3A"/>
    <w:rsid w:val="00245078"/>
    <w:rsid w:val="0024553B"/>
    <w:rsid w:val="00246F74"/>
    <w:rsid w:val="002523C0"/>
    <w:rsid w:val="00253C8C"/>
    <w:rsid w:val="00253DE4"/>
    <w:rsid w:val="002548DE"/>
    <w:rsid w:val="002555C5"/>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5B6"/>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6CC"/>
    <w:rsid w:val="002E188D"/>
    <w:rsid w:val="002E18D2"/>
    <w:rsid w:val="002E20F8"/>
    <w:rsid w:val="002E279C"/>
    <w:rsid w:val="002E35FA"/>
    <w:rsid w:val="002E3AC0"/>
    <w:rsid w:val="002E4701"/>
    <w:rsid w:val="002E4813"/>
    <w:rsid w:val="002E5245"/>
    <w:rsid w:val="002E7AD5"/>
    <w:rsid w:val="002F03ED"/>
    <w:rsid w:val="002F056C"/>
    <w:rsid w:val="002F21C3"/>
    <w:rsid w:val="002F3077"/>
    <w:rsid w:val="002F320B"/>
    <w:rsid w:val="002F35A4"/>
    <w:rsid w:val="002F59EB"/>
    <w:rsid w:val="002F62B7"/>
    <w:rsid w:val="002F72D8"/>
    <w:rsid w:val="002F737D"/>
    <w:rsid w:val="00301541"/>
    <w:rsid w:val="003019C6"/>
    <w:rsid w:val="00301BA2"/>
    <w:rsid w:val="00302282"/>
    <w:rsid w:val="00302D57"/>
    <w:rsid w:val="0030351A"/>
    <w:rsid w:val="00304477"/>
    <w:rsid w:val="00304DF5"/>
    <w:rsid w:val="00305445"/>
    <w:rsid w:val="00305DFE"/>
    <w:rsid w:val="00307600"/>
    <w:rsid w:val="0031134A"/>
    <w:rsid w:val="003115B7"/>
    <w:rsid w:val="003117A1"/>
    <w:rsid w:val="00312974"/>
    <w:rsid w:val="00313A61"/>
    <w:rsid w:val="00313C29"/>
    <w:rsid w:val="00314040"/>
    <w:rsid w:val="003149DD"/>
    <w:rsid w:val="00314ACD"/>
    <w:rsid w:val="0031731E"/>
    <w:rsid w:val="0032076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77D"/>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41D"/>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465"/>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28D"/>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9D4"/>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3520"/>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4F7C6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A10"/>
    <w:rsid w:val="00524C67"/>
    <w:rsid w:val="00524CA1"/>
    <w:rsid w:val="00524E45"/>
    <w:rsid w:val="00524EF7"/>
    <w:rsid w:val="00525BE0"/>
    <w:rsid w:val="005268AC"/>
    <w:rsid w:val="0052766E"/>
    <w:rsid w:val="00531E45"/>
    <w:rsid w:val="00532DDF"/>
    <w:rsid w:val="0053336E"/>
    <w:rsid w:val="00533AC3"/>
    <w:rsid w:val="00533F2C"/>
    <w:rsid w:val="00534A23"/>
    <w:rsid w:val="00535EDF"/>
    <w:rsid w:val="005377DA"/>
    <w:rsid w:val="00537F6E"/>
    <w:rsid w:val="00540EE4"/>
    <w:rsid w:val="00541413"/>
    <w:rsid w:val="00542002"/>
    <w:rsid w:val="00542716"/>
    <w:rsid w:val="005428F0"/>
    <w:rsid w:val="00543DF5"/>
    <w:rsid w:val="00545022"/>
    <w:rsid w:val="00547DE2"/>
    <w:rsid w:val="005505C2"/>
    <w:rsid w:val="00550966"/>
    <w:rsid w:val="005510C8"/>
    <w:rsid w:val="0055388C"/>
    <w:rsid w:val="00553AC2"/>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A7AB4"/>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1F1"/>
    <w:rsid w:val="005D0986"/>
    <w:rsid w:val="005D0E30"/>
    <w:rsid w:val="005D2980"/>
    <w:rsid w:val="005D327E"/>
    <w:rsid w:val="005D4967"/>
    <w:rsid w:val="005D4968"/>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406"/>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707"/>
    <w:rsid w:val="00605B0A"/>
    <w:rsid w:val="00606040"/>
    <w:rsid w:val="0060775F"/>
    <w:rsid w:val="00607A50"/>
    <w:rsid w:val="00607EF2"/>
    <w:rsid w:val="00611F8C"/>
    <w:rsid w:val="00612072"/>
    <w:rsid w:val="0061267A"/>
    <w:rsid w:val="00612817"/>
    <w:rsid w:val="00613053"/>
    <w:rsid w:val="006130DA"/>
    <w:rsid w:val="006149F1"/>
    <w:rsid w:val="00616091"/>
    <w:rsid w:val="00616144"/>
    <w:rsid w:val="00616CB7"/>
    <w:rsid w:val="00621450"/>
    <w:rsid w:val="006220B5"/>
    <w:rsid w:val="00622188"/>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1509"/>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65F4"/>
    <w:rsid w:val="006E7F4A"/>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AFF"/>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08"/>
    <w:rsid w:val="00764899"/>
    <w:rsid w:val="00764965"/>
    <w:rsid w:val="00764F1B"/>
    <w:rsid w:val="00764F3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3348"/>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E7E3B"/>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134"/>
    <w:rsid w:val="00860521"/>
    <w:rsid w:val="00860AA1"/>
    <w:rsid w:val="00861ED2"/>
    <w:rsid w:val="008642B8"/>
    <w:rsid w:val="00864726"/>
    <w:rsid w:val="00864B1E"/>
    <w:rsid w:val="00865C64"/>
    <w:rsid w:val="00866011"/>
    <w:rsid w:val="00867B6F"/>
    <w:rsid w:val="0087042D"/>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2C0"/>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5443"/>
    <w:rsid w:val="00A56034"/>
    <w:rsid w:val="00A578E2"/>
    <w:rsid w:val="00A600D8"/>
    <w:rsid w:val="00A608CC"/>
    <w:rsid w:val="00A60C0E"/>
    <w:rsid w:val="00A621CE"/>
    <w:rsid w:val="00A6278D"/>
    <w:rsid w:val="00A62C9E"/>
    <w:rsid w:val="00A63092"/>
    <w:rsid w:val="00A63691"/>
    <w:rsid w:val="00A64565"/>
    <w:rsid w:val="00A65490"/>
    <w:rsid w:val="00A6552F"/>
    <w:rsid w:val="00A65921"/>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6AFD"/>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E68"/>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DA2"/>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5675"/>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29"/>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D1B"/>
    <w:rsid w:val="00C57E1B"/>
    <w:rsid w:val="00C6005E"/>
    <w:rsid w:val="00C60171"/>
    <w:rsid w:val="00C60227"/>
    <w:rsid w:val="00C617AB"/>
    <w:rsid w:val="00C61875"/>
    <w:rsid w:val="00C61DD4"/>
    <w:rsid w:val="00C6259E"/>
    <w:rsid w:val="00C62B0C"/>
    <w:rsid w:val="00C634C8"/>
    <w:rsid w:val="00C63957"/>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5FB1"/>
    <w:rsid w:val="00CC03CC"/>
    <w:rsid w:val="00CC0A60"/>
    <w:rsid w:val="00CC0ABD"/>
    <w:rsid w:val="00CC20ED"/>
    <w:rsid w:val="00CC2667"/>
    <w:rsid w:val="00CC5281"/>
    <w:rsid w:val="00CC6BA9"/>
    <w:rsid w:val="00CD004F"/>
    <w:rsid w:val="00CD0177"/>
    <w:rsid w:val="00CD2C72"/>
    <w:rsid w:val="00CD5AF3"/>
    <w:rsid w:val="00CD79FE"/>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129E"/>
    <w:rsid w:val="00D3286F"/>
    <w:rsid w:val="00D33C53"/>
    <w:rsid w:val="00D35E0D"/>
    <w:rsid w:val="00D360B4"/>
    <w:rsid w:val="00D3665F"/>
    <w:rsid w:val="00D36A9B"/>
    <w:rsid w:val="00D41305"/>
    <w:rsid w:val="00D418D2"/>
    <w:rsid w:val="00D4243B"/>
    <w:rsid w:val="00D42BB9"/>
    <w:rsid w:val="00D433CB"/>
    <w:rsid w:val="00D440C8"/>
    <w:rsid w:val="00D44441"/>
    <w:rsid w:val="00D44C7A"/>
    <w:rsid w:val="00D469A0"/>
    <w:rsid w:val="00D46AB8"/>
    <w:rsid w:val="00D46B2D"/>
    <w:rsid w:val="00D50CD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C7C5A"/>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18ED"/>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17F44"/>
    <w:rsid w:val="00E21E40"/>
    <w:rsid w:val="00E24D86"/>
    <w:rsid w:val="00E267C9"/>
    <w:rsid w:val="00E26C08"/>
    <w:rsid w:val="00E26D49"/>
    <w:rsid w:val="00E2727B"/>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5A"/>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615"/>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A44"/>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1C9"/>
    <w:rsid w:val="00FD0F41"/>
    <w:rsid w:val="00FD1214"/>
    <w:rsid w:val="00FD28E6"/>
    <w:rsid w:val="00FD46DB"/>
    <w:rsid w:val="00FD6D75"/>
    <w:rsid w:val="00FE17D3"/>
    <w:rsid w:val="00FE1A6A"/>
    <w:rsid w:val="00FE1D98"/>
    <w:rsid w:val="00FE1DF4"/>
    <w:rsid w:val="00FE3E3F"/>
    <w:rsid w:val="00FE4777"/>
    <w:rsid w:val="00FE51DE"/>
    <w:rsid w:val="00FE72E2"/>
    <w:rsid w:val="00FF2C4D"/>
    <w:rsid w:val="00FF2F22"/>
    <w:rsid w:val="00FF3795"/>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character" w:customStyle="1" w:styleId="fontstyle01">
    <w:name w:val="fontstyle01"/>
    <w:basedOn w:val="DefaultParagraphFont"/>
    <w:rsid w:val="0000776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62494073">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49025542">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83581592">
      <w:bodyDiv w:val="1"/>
      <w:marLeft w:val="0"/>
      <w:marRight w:val="0"/>
      <w:marTop w:val="0"/>
      <w:marBottom w:val="0"/>
      <w:divBdr>
        <w:top w:val="none" w:sz="0" w:space="0" w:color="auto"/>
        <w:left w:val="none" w:sz="0" w:space="0" w:color="auto"/>
        <w:bottom w:val="none" w:sz="0" w:space="0" w:color="auto"/>
        <w:right w:val="none" w:sz="0" w:space="0" w:color="auto"/>
      </w:divBdr>
      <w:divsChild>
        <w:div w:id="1174145799">
          <w:marLeft w:val="360"/>
          <w:marRight w:val="0"/>
          <w:marTop w:val="240"/>
          <w:marBottom w:val="0"/>
          <w:divBdr>
            <w:top w:val="none" w:sz="0" w:space="0" w:color="auto"/>
            <w:left w:val="none" w:sz="0" w:space="0" w:color="auto"/>
            <w:bottom w:val="none" w:sz="0" w:space="0" w:color="auto"/>
            <w:right w:val="none" w:sz="0" w:space="0" w:color="auto"/>
          </w:divBdr>
        </w:div>
        <w:div w:id="1419251045">
          <w:marLeft w:val="907"/>
          <w:marRight w:val="0"/>
          <w:marTop w:val="160"/>
          <w:marBottom w:val="0"/>
          <w:divBdr>
            <w:top w:val="none" w:sz="0" w:space="0" w:color="auto"/>
            <w:left w:val="none" w:sz="0" w:space="0" w:color="auto"/>
            <w:bottom w:val="none" w:sz="0" w:space="0" w:color="auto"/>
            <w:right w:val="none" w:sz="0" w:space="0" w:color="auto"/>
          </w:divBdr>
        </w:div>
        <w:div w:id="145055313">
          <w:marLeft w:val="360"/>
          <w:marRight w:val="0"/>
          <w:marTop w:val="240"/>
          <w:marBottom w:val="0"/>
          <w:divBdr>
            <w:top w:val="none" w:sz="0" w:space="0" w:color="auto"/>
            <w:left w:val="none" w:sz="0" w:space="0" w:color="auto"/>
            <w:bottom w:val="none" w:sz="0" w:space="0" w:color="auto"/>
            <w:right w:val="none" w:sz="0" w:space="0" w:color="auto"/>
          </w:divBdr>
        </w:div>
        <w:div w:id="932467847">
          <w:marLeft w:val="360"/>
          <w:marRight w:val="0"/>
          <w:marTop w:val="240"/>
          <w:marBottom w:val="0"/>
          <w:divBdr>
            <w:top w:val="none" w:sz="0" w:space="0" w:color="auto"/>
            <w:left w:val="none" w:sz="0" w:space="0" w:color="auto"/>
            <w:bottom w:val="none" w:sz="0" w:space="0" w:color="auto"/>
            <w:right w:val="none" w:sz="0" w:space="0" w:color="auto"/>
          </w:divBdr>
        </w:div>
        <w:div w:id="1782337405">
          <w:marLeft w:val="360"/>
          <w:marRight w:val="0"/>
          <w:marTop w:val="240"/>
          <w:marBottom w:val="0"/>
          <w:divBdr>
            <w:top w:val="none" w:sz="0" w:space="0" w:color="auto"/>
            <w:left w:val="none" w:sz="0" w:space="0" w:color="auto"/>
            <w:bottom w:val="none" w:sz="0" w:space="0" w:color="auto"/>
            <w:right w:val="none" w:sz="0" w:space="0" w:color="auto"/>
          </w:divBdr>
        </w:div>
        <w:div w:id="1417707273">
          <w:marLeft w:val="360"/>
          <w:marRight w:val="0"/>
          <w:marTop w:val="240"/>
          <w:marBottom w:val="0"/>
          <w:divBdr>
            <w:top w:val="none" w:sz="0" w:space="0" w:color="auto"/>
            <w:left w:val="none" w:sz="0" w:space="0" w:color="auto"/>
            <w:bottom w:val="none" w:sz="0" w:space="0" w:color="auto"/>
            <w:right w:val="none" w:sz="0" w:space="0" w:color="auto"/>
          </w:divBdr>
        </w:div>
      </w:divsChild>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25676957">
      <w:bodyDiv w:val="1"/>
      <w:marLeft w:val="0"/>
      <w:marRight w:val="0"/>
      <w:marTop w:val="0"/>
      <w:marBottom w:val="0"/>
      <w:divBdr>
        <w:top w:val="none" w:sz="0" w:space="0" w:color="auto"/>
        <w:left w:val="none" w:sz="0" w:space="0" w:color="auto"/>
        <w:bottom w:val="none" w:sz="0" w:space="0" w:color="auto"/>
        <w:right w:val="none" w:sz="0" w:space="0" w:color="auto"/>
      </w:divBdr>
      <w:divsChild>
        <w:div w:id="1735009575">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14251718">
      <w:bodyDiv w:val="1"/>
      <w:marLeft w:val="0"/>
      <w:marRight w:val="0"/>
      <w:marTop w:val="0"/>
      <w:marBottom w:val="0"/>
      <w:divBdr>
        <w:top w:val="none" w:sz="0" w:space="0" w:color="auto"/>
        <w:left w:val="none" w:sz="0" w:space="0" w:color="auto"/>
        <w:bottom w:val="none" w:sz="0" w:space="0" w:color="auto"/>
        <w:right w:val="none" w:sz="0" w:space="0" w:color="auto"/>
      </w:divBdr>
      <w:divsChild>
        <w:div w:id="713191311">
          <w:marLeft w:val="360"/>
          <w:marRight w:val="0"/>
          <w:marTop w:val="240"/>
          <w:marBottom w:val="0"/>
          <w:divBdr>
            <w:top w:val="none" w:sz="0" w:space="0" w:color="auto"/>
            <w:left w:val="none" w:sz="0" w:space="0" w:color="auto"/>
            <w:bottom w:val="none" w:sz="0" w:space="0" w:color="auto"/>
            <w:right w:val="none" w:sz="0" w:space="0" w:color="auto"/>
          </w:divBdr>
        </w:div>
      </w:divsChild>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018FD-B6D5-4C05-9699-F149E881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1758</Words>
  <Characters>8713</Characters>
  <Application>Microsoft Office Word</Application>
  <DocSecurity>0</DocSecurity>
  <Lines>144</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2018-04-05T22:18:00Z</dcterms:created>
  <dcterms:modified xsi:type="dcterms:W3CDTF">2018-04-05T22:21:00Z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6efc0a45-db18-42c5-a83c-d493679f1785</vt:lpwstr>
  </property>
  <property fmtid="{D5CDD505-2E9C-101B-9397-08002B2CF9AE}" pid="3" name="CTP_BU">
    <vt:lpwstr>NEXT GEN AND STANDARDS GROUP</vt:lpwstr>
  </property>
  <property fmtid="{D5CDD505-2E9C-101B-9397-08002B2CF9AE}" pid="4" name="CTP_TimeStamp">
    <vt:lpwstr>2018-04-05 22:21:59Z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