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46133" w14:textId="3342C701" w:rsidR="00E90E49" w:rsidRPr="0008706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DD4B77">
        <w:t>101</w:t>
      </w:r>
      <w:r w:rsidR="00D55BB0">
        <w:t>-Bis</w:t>
      </w:r>
      <w:r w:rsidRPr="00CE0424">
        <w:tab/>
      </w:r>
      <w:proofErr w:type="spellStart"/>
      <w:r w:rsidRPr="008D6769">
        <w:rPr>
          <w:szCs w:val="24"/>
        </w:rPr>
        <w:t>Tdoc</w:t>
      </w:r>
      <w:proofErr w:type="spellEnd"/>
      <w:r w:rsidRPr="008D6769">
        <w:rPr>
          <w:szCs w:val="24"/>
        </w:rPr>
        <w:t xml:space="preserve"> </w:t>
      </w:r>
      <w:r w:rsidR="00F40A66" w:rsidRPr="00F40A66">
        <w:rPr>
          <w:szCs w:val="24"/>
        </w:rPr>
        <w:t>R2-1804863</w:t>
      </w:r>
    </w:p>
    <w:p w14:paraId="1BB1DC90" w14:textId="7D580825" w:rsidR="00E90E49" w:rsidRPr="00CE0424" w:rsidRDefault="00D55BB0" w:rsidP="00311702">
      <w:pPr>
        <w:pStyle w:val="3GPPHeader"/>
      </w:pPr>
      <w:proofErr w:type="spellStart"/>
      <w:r>
        <w:t>Sanya</w:t>
      </w:r>
      <w:proofErr w:type="spellEnd"/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  <w:r w:rsidR="0008706E">
        <w:tab/>
      </w:r>
    </w:p>
    <w:p w14:paraId="11673DAF" w14:textId="77777777" w:rsidR="00E90E49" w:rsidRPr="00CE0424" w:rsidRDefault="00E90E49" w:rsidP="00357380">
      <w:pPr>
        <w:pStyle w:val="3GPPHeader"/>
      </w:pPr>
    </w:p>
    <w:p w14:paraId="40B60CFC" w14:textId="22B1402C" w:rsidR="00E90E49" w:rsidRPr="00400DFA" w:rsidRDefault="00E90E49" w:rsidP="00311702">
      <w:pPr>
        <w:pStyle w:val="3GPPHeader"/>
        <w:rPr>
          <w:sz w:val="22"/>
          <w:szCs w:val="22"/>
          <w:lang w:val="en-US"/>
        </w:rPr>
      </w:pPr>
      <w:r w:rsidRPr="00400DFA">
        <w:rPr>
          <w:sz w:val="22"/>
          <w:szCs w:val="22"/>
          <w:lang w:val="en-US"/>
        </w:rPr>
        <w:t>Agenda Item:</w:t>
      </w:r>
      <w:r w:rsidRPr="00400DFA">
        <w:rPr>
          <w:sz w:val="22"/>
          <w:szCs w:val="22"/>
          <w:lang w:val="en-US"/>
        </w:rPr>
        <w:tab/>
      </w:r>
      <w:r w:rsidR="00B45A9F" w:rsidRPr="00400DFA">
        <w:rPr>
          <w:sz w:val="22"/>
          <w:szCs w:val="22"/>
          <w:lang w:val="en-US"/>
        </w:rPr>
        <w:t>10.</w:t>
      </w:r>
      <w:r w:rsidR="00F40A66" w:rsidRPr="00400DFA">
        <w:rPr>
          <w:sz w:val="22"/>
          <w:szCs w:val="22"/>
          <w:lang w:val="en-US"/>
        </w:rPr>
        <w:t>4.1.7.3</w:t>
      </w:r>
    </w:p>
    <w:p w14:paraId="231CF20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7E6950" w14:textId="167DEBC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24907" w:rsidRPr="00124907">
        <w:rPr>
          <w:sz w:val="22"/>
          <w:szCs w:val="22"/>
        </w:rPr>
        <w:t xml:space="preserve">Coordination of </w:t>
      </w:r>
      <w:r w:rsidR="00124907">
        <w:rPr>
          <w:sz w:val="22"/>
          <w:szCs w:val="22"/>
        </w:rPr>
        <w:t>I-RNTI</w:t>
      </w:r>
      <w:r w:rsidR="00B0369D">
        <w:rPr>
          <w:sz w:val="22"/>
          <w:szCs w:val="22"/>
        </w:rPr>
        <w:t xml:space="preserve"> across RATs</w:t>
      </w:r>
      <w:bookmarkStart w:id="0" w:name="_GoBack"/>
      <w:bookmarkEnd w:id="0"/>
    </w:p>
    <w:p w14:paraId="149AE953" w14:textId="77777777" w:rsidR="00E90E49" w:rsidRDefault="00E90E49" w:rsidP="00D546FF">
      <w:pPr>
        <w:pStyle w:val="3GPPHeader"/>
        <w:rPr>
          <w:sz w:val="22"/>
          <w:szCs w:val="22"/>
        </w:rPr>
      </w:pPr>
      <w:r w:rsidRPr="0008706E">
        <w:rPr>
          <w:sz w:val="22"/>
          <w:szCs w:val="22"/>
        </w:rPr>
        <w:t>Document for:</w:t>
      </w:r>
      <w:r w:rsidRPr="0008706E">
        <w:rPr>
          <w:sz w:val="22"/>
          <w:szCs w:val="22"/>
        </w:rPr>
        <w:tab/>
      </w:r>
      <w:r w:rsidRPr="00683F0F">
        <w:rPr>
          <w:sz w:val="22"/>
          <w:szCs w:val="22"/>
        </w:rPr>
        <w:t>Discussion, Decision</w:t>
      </w:r>
    </w:p>
    <w:p w14:paraId="528A2BA6" w14:textId="77777777" w:rsidR="00C24345" w:rsidRDefault="00E90E49" w:rsidP="00A2052C">
      <w:pPr>
        <w:pStyle w:val="Heading1"/>
      </w:pPr>
      <w:r w:rsidRPr="00CE0424">
        <w:t>Introduction</w:t>
      </w:r>
    </w:p>
    <w:p w14:paraId="69512569" w14:textId="24E24AA1" w:rsidR="00D55BB0" w:rsidRDefault="008E744F" w:rsidP="00A2052C">
      <w:r>
        <w:t xml:space="preserve">It has been agreed that in connection to </w:t>
      </w:r>
      <w:proofErr w:type="spellStart"/>
      <w:r>
        <w:t>RRCConnectionResumeRequest</w:t>
      </w:r>
      <w:proofErr w:type="spellEnd"/>
      <w:r>
        <w:t xml:space="preserve">, UE should use an I-RNTI as resume ID. </w:t>
      </w:r>
      <w:r w:rsidR="00D55BB0">
        <w:t xml:space="preserve">In RAN2-101 </w:t>
      </w:r>
      <w:r w:rsidR="00BE6553">
        <w:t>[1]</w:t>
      </w:r>
      <w:r w:rsidR="00D55BB0">
        <w:t xml:space="preserve">, it was also agreed that: </w:t>
      </w:r>
    </w:p>
    <w:p w14:paraId="05B88D36" w14:textId="31655F7B" w:rsidR="00D55BB0" w:rsidRDefault="00D55BB0" w:rsidP="00A2052C"/>
    <w:p w14:paraId="31468888" w14:textId="0C6FC7B3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Assuming no limitation on MSG3 size based on the feedback from RAN1, I-RNTI size is 52 bits, including node ID and UE identifier.</w:t>
      </w:r>
    </w:p>
    <w:p w14:paraId="374CD45A" w14:textId="305CBF21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</w:p>
    <w:p w14:paraId="190CAD08" w14:textId="37B068D5" w:rsidR="00D55BB0" w:rsidRDefault="00D55BB0" w:rsidP="00A2052C"/>
    <w:p w14:paraId="2195E362" w14:textId="741A261E" w:rsidR="00D55BB0" w:rsidRDefault="00D55BB0" w:rsidP="00A2052C">
      <w:r>
        <w:t xml:space="preserve">In addition to this, Inter-RAT mobility in RRC_INACTIVE was discussed and the following agreement was reached: </w:t>
      </w:r>
    </w:p>
    <w:p w14:paraId="2E18CD5B" w14:textId="77777777" w:rsidR="00D55BB0" w:rsidRDefault="00D55BB0" w:rsidP="00D55BB0">
      <w:pPr>
        <w:pStyle w:val="Doc-text2"/>
      </w:pPr>
    </w:p>
    <w:p w14:paraId="088AF022" w14:textId="77777777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552AF42F" w14:textId="77777777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055D84">
        <w:t xml:space="preserve">: </w:t>
      </w:r>
      <w:r w:rsidRPr="00055D84">
        <w:tab/>
        <w:t xml:space="preserve">Inter-RAT re-selection </w:t>
      </w:r>
      <w:r>
        <w:t xml:space="preserve">from NR </w:t>
      </w:r>
      <w:proofErr w:type="gramStart"/>
      <w:r>
        <w:t>INACTIVE  to</w:t>
      </w:r>
      <w:proofErr w:type="gramEnd"/>
      <w:r>
        <w:t xml:space="preserve"> an LTE/5GC cell, UE moves to Idle and informs NAS to trigger NAS recovery.</w:t>
      </w:r>
    </w:p>
    <w:p w14:paraId="6BE692E0" w14:textId="77777777" w:rsidR="00D55BB0" w:rsidRPr="00055D84" w:rsidRDefault="00D55BB0" w:rsidP="00D55BB0">
      <w:pPr>
        <w:pStyle w:val="Doc-text2"/>
      </w:pPr>
    </w:p>
    <w:p w14:paraId="6E19FAEA" w14:textId="23E21AE6" w:rsidR="00D55BB0" w:rsidRDefault="00004F8A" w:rsidP="00A2052C">
      <w:r>
        <w:t xml:space="preserve">The RAN2-101 report also stated </w:t>
      </w:r>
      <w:proofErr w:type="gramStart"/>
      <w:r>
        <w:t>that :</w:t>
      </w:r>
      <w:proofErr w:type="gramEnd"/>
    </w:p>
    <w:p w14:paraId="1C9C66A4" w14:textId="77777777" w:rsidR="00D55BB0" w:rsidRDefault="00D55BB0" w:rsidP="00D55BB0">
      <w:pPr>
        <w:pStyle w:val="Doc-text2"/>
      </w:pPr>
      <w:r>
        <w:t>=&gt;</w:t>
      </w:r>
      <w:r>
        <w:tab/>
        <w:t>RAN2 will not specify inter-RAT mobility between LTE and NR in INACTIVE state in Rel-15. Can be considered for Rel-16 (to be concluded by RAN plenary)</w:t>
      </w:r>
    </w:p>
    <w:p w14:paraId="371A55BB" w14:textId="77777777" w:rsidR="00D55BB0" w:rsidRDefault="00D55BB0" w:rsidP="00D55BB0">
      <w:pPr>
        <w:pStyle w:val="Doc-text2"/>
      </w:pPr>
      <w:r>
        <w:t>=&gt;</w:t>
      </w:r>
      <w:r>
        <w:tab/>
        <w:t>RAN2 aim to define INACTIVE in LTE and NR in a way that this can be possible to introduce in future.</w:t>
      </w:r>
    </w:p>
    <w:p w14:paraId="15BF5B0D" w14:textId="77777777" w:rsidR="00D55BB0" w:rsidRDefault="00D55BB0" w:rsidP="00A2052C"/>
    <w:p w14:paraId="60ED042C" w14:textId="3B2F9B78" w:rsidR="00CE1CA2" w:rsidRDefault="00004F8A" w:rsidP="00A2052C">
      <w:r>
        <w:t>Based on the above</w:t>
      </w:r>
      <w:r w:rsidR="00CE1CA2">
        <w:t xml:space="preserve">, we analyse what needs to be addressed in Release 15 with respect to I-RNTI’s. </w:t>
      </w:r>
    </w:p>
    <w:p w14:paraId="76EE2E7D" w14:textId="24A90EC3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C93517F" w14:textId="7C244B60" w:rsidR="00004F8A" w:rsidRDefault="00004F8A" w:rsidP="00CE0424">
      <w:pPr>
        <w:pStyle w:val="BodyText"/>
      </w:pPr>
      <w:r>
        <w:t>As it has been agreed</w:t>
      </w:r>
      <w:r w:rsidR="00DA3C7A">
        <w:t xml:space="preserve"> </w:t>
      </w:r>
      <w:r>
        <w:t>that Inter-RAT mobility (re-selection) while in RRC_INACTIVE is not supported</w:t>
      </w:r>
      <w:r w:rsidR="00DA3C7A">
        <w:t xml:space="preserve"> in Release 15</w:t>
      </w:r>
      <w:r>
        <w:t>, this agreement have the following impacts</w:t>
      </w:r>
      <w:r w:rsidR="00DA3C7A">
        <w:t>:</w:t>
      </w:r>
    </w:p>
    <w:p w14:paraId="67AA8BD8" w14:textId="797EC735" w:rsidR="00004F8A" w:rsidRDefault="00004F8A" w:rsidP="00CE0424">
      <w:pPr>
        <w:pStyle w:val="BodyText"/>
      </w:pPr>
    </w:p>
    <w:p w14:paraId="0FAD28FA" w14:textId="1D2EE4E9" w:rsidR="00004F8A" w:rsidRDefault="00004F8A" w:rsidP="00CE0424">
      <w:pPr>
        <w:pStyle w:val="BodyText"/>
      </w:pPr>
      <w:r>
        <w:t>-There is no need to coordinate I-RNTI between LTE and NR</w:t>
      </w:r>
      <w:r w:rsidR="005246C0">
        <w:t xml:space="preserve"> in Release 15</w:t>
      </w:r>
    </w:p>
    <w:p w14:paraId="584094AB" w14:textId="541F1748" w:rsidR="00004F8A" w:rsidRDefault="00004F8A" w:rsidP="00CE0424">
      <w:pPr>
        <w:pStyle w:val="BodyText"/>
      </w:pPr>
      <w:r>
        <w:t>-There is no need to define any RNA’s with both LTE and NR cells</w:t>
      </w:r>
      <w:r w:rsidR="005246C0">
        <w:t xml:space="preserve"> in Release 15</w:t>
      </w:r>
    </w:p>
    <w:p w14:paraId="78FD0583" w14:textId="77777777" w:rsidR="00F26675" w:rsidRDefault="00F26675" w:rsidP="00CE0424">
      <w:pPr>
        <w:pStyle w:val="BodyText"/>
      </w:pPr>
    </w:p>
    <w:p w14:paraId="73618D77" w14:textId="432B8E40" w:rsidR="00BF7D22" w:rsidRDefault="00BF7D22" w:rsidP="00CE0424">
      <w:pPr>
        <w:pStyle w:val="BodyText"/>
      </w:pPr>
      <w:r>
        <w:t>This makes it simple in Release 15 to handle and treat I-RNTI’s completely separately.</w:t>
      </w:r>
    </w:p>
    <w:p w14:paraId="6229C81E" w14:textId="089F2668" w:rsidR="00BF7D22" w:rsidRDefault="00BF7D22" w:rsidP="00CE0424">
      <w:pPr>
        <w:pStyle w:val="BodyText"/>
      </w:pPr>
      <w:r>
        <w:t xml:space="preserve">With the agreements above, </w:t>
      </w:r>
      <w:r w:rsidR="00771ACE">
        <w:t xml:space="preserve">one </w:t>
      </w:r>
      <w:r>
        <w:t xml:space="preserve">challenge </w:t>
      </w:r>
      <w:r w:rsidR="00771ACE">
        <w:t>(</w:t>
      </w:r>
      <w:r>
        <w:t>once supported</w:t>
      </w:r>
      <w:r w:rsidR="00771ACE">
        <w:t>)</w:t>
      </w:r>
      <w:r>
        <w:t xml:space="preserve"> with inter-RAT mobility in RRC_INACTIVE will be </w:t>
      </w:r>
      <w:r w:rsidR="00771ACE">
        <w:t>a potential difference in I-RNTI size. It is not likely that I-RNTI in Release 15 for LTE connected to 5GC will be 52 bits, since this is not possible to fit in msg3/</w:t>
      </w:r>
      <w:proofErr w:type="spellStart"/>
      <w:r w:rsidR="00771ACE">
        <w:t>RRCResumeRequest</w:t>
      </w:r>
      <w:proofErr w:type="spellEnd"/>
      <w:r w:rsidR="007621F7">
        <w:t xml:space="preserve">. We make the following observation. </w:t>
      </w:r>
    </w:p>
    <w:p w14:paraId="5C9123EB" w14:textId="77777777" w:rsidR="007621F7" w:rsidRDefault="007621F7" w:rsidP="00CE0424">
      <w:pPr>
        <w:pStyle w:val="BodyText"/>
      </w:pPr>
    </w:p>
    <w:p w14:paraId="6A24A738" w14:textId="77777777" w:rsidR="007621F7" w:rsidRDefault="007621F7" w:rsidP="00771ACE">
      <w:pPr>
        <w:pStyle w:val="Observation"/>
      </w:pPr>
      <w:bookmarkStart w:id="2" w:name="_Toc510712768"/>
      <w:bookmarkStart w:id="3" w:name="_Toc510713540"/>
      <w:bookmarkStart w:id="4" w:name="_Toc510713548"/>
      <w:r>
        <w:t>In Release 15, it is likely that I-RNTI for LTE connected to 5GC and I-RNTI for NR will be of different size.</w:t>
      </w:r>
      <w:bookmarkEnd w:id="2"/>
      <w:bookmarkEnd w:id="3"/>
      <w:bookmarkEnd w:id="4"/>
      <w:r>
        <w:t xml:space="preserve"> </w:t>
      </w:r>
    </w:p>
    <w:p w14:paraId="1605CC08" w14:textId="3DCC92C2" w:rsidR="007621F7" w:rsidRDefault="007621F7" w:rsidP="007621F7">
      <w:pPr>
        <w:pStyle w:val="Observation"/>
        <w:numPr>
          <w:ilvl w:val="0"/>
          <w:numId w:val="0"/>
        </w:numPr>
      </w:pPr>
    </w:p>
    <w:p w14:paraId="53B9B78B" w14:textId="2C4057AA" w:rsidR="00771ACE" w:rsidRDefault="007621F7" w:rsidP="00CE0424">
      <w:pPr>
        <w:pStyle w:val="BodyText"/>
      </w:pPr>
      <w:r>
        <w:t xml:space="preserve">It can easily be argued that whatever difficulty, we will solve in Release 16. </w:t>
      </w:r>
      <w:r w:rsidR="00251983">
        <w:t xml:space="preserve">We don’t need to address it now. </w:t>
      </w:r>
    </w:p>
    <w:p w14:paraId="3B6FEB27" w14:textId="3811CE80" w:rsidR="00251983" w:rsidRDefault="00251983" w:rsidP="00CE0424">
      <w:pPr>
        <w:pStyle w:val="BodyText"/>
      </w:pPr>
      <w:r>
        <w:t xml:space="preserve">On the other hand, taking into consideration that we should define INACTIVE in LTE and NR in a way that it can be possible to introduce inter-RAT mobility we think it should be assessed if there are measures to consider already in Release 15 that would make such introduction of inter-RAT mobility in RRC_INACTIVE </w:t>
      </w:r>
      <w:r w:rsidR="00C621A9">
        <w:t xml:space="preserve">easier. </w:t>
      </w:r>
    </w:p>
    <w:p w14:paraId="514EB3C8" w14:textId="6824ED74" w:rsidR="00A1353F" w:rsidRDefault="00C621A9" w:rsidP="00C621A9">
      <w:pPr>
        <w:pStyle w:val="Proposal"/>
      </w:pPr>
      <w:bookmarkStart w:id="5" w:name="_Toc510712771"/>
      <w:bookmarkStart w:id="6" w:name="_Toc510712783"/>
      <w:bookmarkStart w:id="7" w:name="_Toc510713538"/>
      <w:r>
        <w:t xml:space="preserve">RAN2 should </w:t>
      </w:r>
      <w:r w:rsidR="00A1353F">
        <w:t xml:space="preserve">already with Release 15 consider defining RRC_INACTIVE </w:t>
      </w:r>
      <w:r w:rsidR="0049664F">
        <w:t>to enable introduction of inter-RAT mobility in Release 16. This should include addressing the size difference of I-RNTI.</w:t>
      </w:r>
      <w:bookmarkEnd w:id="5"/>
      <w:bookmarkEnd w:id="6"/>
      <w:bookmarkEnd w:id="7"/>
    </w:p>
    <w:p w14:paraId="6BB6775F" w14:textId="197E418F" w:rsidR="0049664F" w:rsidRDefault="0049664F" w:rsidP="0049664F">
      <w:pPr>
        <w:pStyle w:val="Proposal"/>
        <w:numPr>
          <w:ilvl w:val="0"/>
          <w:numId w:val="0"/>
        </w:numPr>
      </w:pPr>
    </w:p>
    <w:p w14:paraId="7651957E" w14:textId="0349BE8C" w:rsidR="007621F7" w:rsidRDefault="0049664F" w:rsidP="00CE0424">
      <w:pPr>
        <w:pStyle w:val="BodyText"/>
      </w:pPr>
      <w:r>
        <w:t xml:space="preserve">With respect to </w:t>
      </w:r>
      <w:r w:rsidR="0017432D">
        <w:t xml:space="preserve">expected </w:t>
      </w:r>
      <w:r>
        <w:t>size difference in I-RNTI</w:t>
      </w:r>
      <w:r w:rsidR="0017432D">
        <w:t xml:space="preserve"> between LTE/5GC and NR, the difficulties arise when one RAT suspends and allocates an I-RNTI and resume request is sent in </w:t>
      </w:r>
      <w:proofErr w:type="gramStart"/>
      <w:r w:rsidR="0017432D">
        <w:t>other</w:t>
      </w:r>
      <w:proofErr w:type="gramEnd"/>
      <w:r w:rsidR="0017432D">
        <w:t xml:space="preserve"> RAT</w:t>
      </w:r>
      <w:r w:rsidR="00967178">
        <w:t xml:space="preserve">. </w:t>
      </w:r>
    </w:p>
    <w:p w14:paraId="183A0627" w14:textId="77777777" w:rsidR="00967178" w:rsidRDefault="00967178" w:rsidP="00967178">
      <w:pPr>
        <w:pStyle w:val="BodyText"/>
      </w:pPr>
    </w:p>
    <w:p w14:paraId="050AC017" w14:textId="58B5CC7F" w:rsidR="00967178" w:rsidRDefault="00967178" w:rsidP="00967178">
      <w:pPr>
        <w:pStyle w:val="Observation"/>
      </w:pPr>
      <w:bookmarkStart w:id="8" w:name="_Toc510712769"/>
      <w:bookmarkStart w:id="9" w:name="_Toc510713541"/>
      <w:bookmarkStart w:id="10" w:name="_Toc510713549"/>
      <w:r>
        <w:t xml:space="preserve">One challenge in Release 16 with respect to differences in I-RNTI between RATs will be when one RAT suspends and allocates an I-RNTI and </w:t>
      </w:r>
      <w:r w:rsidR="00E80166">
        <w:t xml:space="preserve">a </w:t>
      </w:r>
      <w:r>
        <w:t xml:space="preserve">resume request is sent in </w:t>
      </w:r>
      <w:proofErr w:type="gramStart"/>
      <w:r>
        <w:t>other</w:t>
      </w:r>
      <w:proofErr w:type="gramEnd"/>
      <w:r>
        <w:t xml:space="preserve"> RAT</w:t>
      </w:r>
      <w:r w:rsidR="00E80166">
        <w:t>.</w:t>
      </w:r>
      <w:bookmarkEnd w:id="8"/>
      <w:bookmarkEnd w:id="9"/>
      <w:bookmarkEnd w:id="10"/>
    </w:p>
    <w:p w14:paraId="5F1E99FA" w14:textId="24EEEF12" w:rsidR="00E80166" w:rsidRDefault="00E80166" w:rsidP="002F2CB7">
      <w:pPr>
        <w:pStyle w:val="Observation"/>
        <w:numPr>
          <w:ilvl w:val="0"/>
          <w:numId w:val="0"/>
        </w:numPr>
      </w:pPr>
    </w:p>
    <w:p w14:paraId="6C7090DF" w14:textId="67A8AA2E" w:rsidR="00967178" w:rsidRDefault="000F2FBE" w:rsidP="00CE0424">
      <w:pPr>
        <w:pStyle w:val="BodyText"/>
      </w:pPr>
      <w:r>
        <w:t>For the situation suspending in NR and resuming in LTE, we think there are two ways to address this in Release 16</w:t>
      </w:r>
      <w:r w:rsidR="00583207">
        <w:t>.</w:t>
      </w:r>
    </w:p>
    <w:p w14:paraId="3859098A" w14:textId="1CBF3502" w:rsidR="00860E44" w:rsidRDefault="00E80166" w:rsidP="0080549B">
      <w:pPr>
        <w:pStyle w:val="BodyText"/>
        <w:numPr>
          <w:ilvl w:val="0"/>
          <w:numId w:val="16"/>
        </w:numPr>
      </w:pPr>
      <w:r>
        <w:t>Truncation of a 52-bit allocated</w:t>
      </w:r>
      <w:r w:rsidR="0080549B">
        <w:t xml:space="preserve"> I-RNTI if allocated in NR and resuming occurs in LTE connected to 5GC</w:t>
      </w:r>
      <w:r w:rsidR="000479CF">
        <w:t>. Exactly how this should be done can be decided in Release 16 without any considerations in Release 15 already.</w:t>
      </w:r>
    </w:p>
    <w:p w14:paraId="751A057A" w14:textId="0E49BF22" w:rsidR="00561A30" w:rsidRDefault="00860E44" w:rsidP="0080549B">
      <w:pPr>
        <w:pStyle w:val="BodyText"/>
        <w:numPr>
          <w:ilvl w:val="0"/>
          <w:numId w:val="16"/>
        </w:numPr>
      </w:pPr>
      <w:r>
        <w:t>Allocation of only a 40-bit I-RNTI in NR if the assigned RNA includes a</w:t>
      </w:r>
      <w:r w:rsidR="00561A30">
        <w:t xml:space="preserve">n LTE/5GC </w:t>
      </w:r>
      <w:proofErr w:type="gramStart"/>
      <w:r w:rsidR="00561A30">
        <w:t xml:space="preserve">cell </w:t>
      </w:r>
      <w:r w:rsidR="00CD386B">
        <w:t>.</w:t>
      </w:r>
      <w:proofErr w:type="gramEnd"/>
      <w:r w:rsidR="00CD386B">
        <w:t xml:space="preserve"> Similarly, this should be straightforward to consider in Release 16.</w:t>
      </w:r>
    </w:p>
    <w:p w14:paraId="2EA7B18C" w14:textId="105A165A" w:rsidR="002E106E" w:rsidRDefault="002E106E" w:rsidP="00CE0424">
      <w:pPr>
        <w:pStyle w:val="BodyText"/>
      </w:pPr>
    </w:p>
    <w:p w14:paraId="6B184446" w14:textId="7C705C00" w:rsidR="00583207" w:rsidRDefault="00583207" w:rsidP="00CE0424">
      <w:pPr>
        <w:pStyle w:val="BodyText"/>
      </w:pPr>
      <w:r>
        <w:t xml:space="preserve">For the situation suspending in LTE and resuming in NR, we see </w:t>
      </w:r>
      <w:r w:rsidR="008E1839">
        <w:t>one of t</w:t>
      </w:r>
      <w:r>
        <w:t xml:space="preserve">he following measure that needs to be taken: </w:t>
      </w:r>
    </w:p>
    <w:p w14:paraId="7D866814" w14:textId="77777777" w:rsidR="00837A59" w:rsidRDefault="00837A59" w:rsidP="00CE0424">
      <w:pPr>
        <w:pStyle w:val="BodyText"/>
      </w:pPr>
    </w:p>
    <w:p w14:paraId="577BE010" w14:textId="263EBD48" w:rsidR="008E1839" w:rsidRDefault="008E1839" w:rsidP="00837A59">
      <w:pPr>
        <w:pStyle w:val="BodyText"/>
        <w:numPr>
          <w:ilvl w:val="0"/>
          <w:numId w:val="17"/>
        </w:numPr>
      </w:pPr>
      <w:r>
        <w:t xml:space="preserve">Bit-fill of a 40-bit I-RNTI to </w:t>
      </w:r>
      <w:r w:rsidR="00D77938">
        <w:t>a 52-bit I-RNTI</w:t>
      </w:r>
      <w:r w:rsidR="00F73049">
        <w:t>, to map format in resume message</w:t>
      </w:r>
      <w:r w:rsidR="00CD386B">
        <w:t xml:space="preserve">. We don’t see any need to </w:t>
      </w:r>
      <w:r w:rsidR="001719BD">
        <w:t xml:space="preserve">consider anything specific in Release 15 if this is introduced in later releases. </w:t>
      </w:r>
    </w:p>
    <w:p w14:paraId="26B16C1F" w14:textId="77777777" w:rsidR="00CD386B" w:rsidRDefault="00CD386B" w:rsidP="002F2CB7">
      <w:pPr>
        <w:pStyle w:val="BodyText"/>
        <w:ind w:left="930"/>
      </w:pPr>
    </w:p>
    <w:p w14:paraId="42F2AF9A" w14:textId="5735277E" w:rsidR="00837A59" w:rsidRDefault="00837A59" w:rsidP="00837A59">
      <w:pPr>
        <w:pStyle w:val="BodyText"/>
        <w:numPr>
          <w:ilvl w:val="0"/>
          <w:numId w:val="17"/>
        </w:numPr>
      </w:pPr>
      <w:r>
        <w:t>Allowing either a 52-bit I-RNTI or a 40-bit I-RNTI in Resume request message</w:t>
      </w:r>
      <w:r w:rsidR="001719BD">
        <w:t xml:space="preserve">. </w:t>
      </w:r>
      <w:r w:rsidR="001E5E50">
        <w:t>This will mean two message formats of resume message</w:t>
      </w:r>
      <w:r w:rsidR="00294EA8">
        <w:t>. Since what will be needed in Release 16 is a smaller message, this should also be feasible.</w:t>
      </w:r>
    </w:p>
    <w:p w14:paraId="25E3C8DF" w14:textId="6522FC36" w:rsidR="00F73049" w:rsidRDefault="00F73049" w:rsidP="00F73049">
      <w:pPr>
        <w:pStyle w:val="BodyText"/>
      </w:pPr>
    </w:p>
    <w:p w14:paraId="0A328268" w14:textId="3F4B68C2" w:rsidR="00F73049" w:rsidRDefault="00F73049" w:rsidP="00F73049">
      <w:pPr>
        <w:pStyle w:val="BodyText"/>
      </w:pPr>
      <w:r>
        <w:t xml:space="preserve">We conclude that for </w:t>
      </w:r>
      <w:proofErr w:type="gramStart"/>
      <w:r>
        <w:t>all of</w:t>
      </w:r>
      <w:proofErr w:type="gramEnd"/>
      <w:r>
        <w:t xml:space="preserve"> the options above, it is not necessary </w:t>
      </w:r>
      <w:r w:rsidR="00176268">
        <w:t xml:space="preserve">to </w:t>
      </w:r>
      <w:r>
        <w:t xml:space="preserve">standardize any particular measures that makes it easier to introduce </w:t>
      </w:r>
      <w:r w:rsidR="00C50160">
        <w:t>in Release 16 and we see that Release 16 can easily include the above without consideration in Release 15</w:t>
      </w:r>
      <w:r w:rsidR="000479CF">
        <w:t>.</w:t>
      </w:r>
    </w:p>
    <w:p w14:paraId="137FDEB3" w14:textId="77777777" w:rsidR="000479CF" w:rsidRDefault="000479CF" w:rsidP="00F73049">
      <w:pPr>
        <w:pStyle w:val="BodyText"/>
      </w:pPr>
    </w:p>
    <w:p w14:paraId="19E65A6D" w14:textId="7312FCD2" w:rsidR="00C455E8" w:rsidRDefault="00B75767" w:rsidP="002F2CB7">
      <w:pPr>
        <w:pStyle w:val="Observation"/>
      </w:pPr>
      <w:bookmarkStart w:id="11" w:name="_Toc510712770"/>
      <w:bookmarkStart w:id="12" w:name="_Toc510713542"/>
      <w:bookmarkStart w:id="13" w:name="_Toc510713550"/>
      <w:r>
        <w:t xml:space="preserve">It seems </w:t>
      </w:r>
      <w:r w:rsidR="000479CF">
        <w:t xml:space="preserve">RAN2 does not need to pay any </w:t>
      </w:r>
      <w:proofErr w:type="gramStart"/>
      <w:r w:rsidR="000479CF">
        <w:t>particular attention</w:t>
      </w:r>
      <w:proofErr w:type="gramEnd"/>
      <w:r w:rsidR="000479CF">
        <w:t xml:space="preserve"> in Release 15 </w:t>
      </w:r>
      <w:r w:rsidR="00F40A66">
        <w:t>for</w:t>
      </w:r>
      <w:r w:rsidR="00106F93">
        <w:t xml:space="preserve"> </w:t>
      </w:r>
      <w:r w:rsidR="000479CF">
        <w:t>introduction of inter-RAT mobility in RRC_INACTIVE in Release 16</w:t>
      </w:r>
      <w:r w:rsidR="00BE6553">
        <w:t>,</w:t>
      </w:r>
      <w:r w:rsidR="000479CF">
        <w:t xml:space="preserve"> with respect to differences in I-RNTI size between LTE / EPC and NR.</w:t>
      </w:r>
      <w:bookmarkEnd w:id="11"/>
      <w:bookmarkEnd w:id="12"/>
      <w:bookmarkEnd w:id="13"/>
      <w:r w:rsidR="000479CF">
        <w:t xml:space="preserve"> </w:t>
      </w:r>
    </w:p>
    <w:p w14:paraId="26288296" w14:textId="250FF778" w:rsidR="00D6153E" w:rsidRDefault="00D6153E" w:rsidP="00CE0424">
      <w:pPr>
        <w:pStyle w:val="BodyText"/>
      </w:pPr>
    </w:p>
    <w:p w14:paraId="50CDAF7D" w14:textId="77777777" w:rsidR="001F6F63" w:rsidRDefault="00C455E8" w:rsidP="0027267A">
      <w:pPr>
        <w:pStyle w:val="Proposal"/>
      </w:pPr>
      <w:bookmarkStart w:id="14" w:name="_Toc510712772"/>
      <w:bookmarkStart w:id="15" w:name="_Toc510712784"/>
      <w:bookmarkStart w:id="16" w:name="_Toc510713539"/>
      <w:r>
        <w:t xml:space="preserve">RAN2 should discuss the above </w:t>
      </w:r>
      <w:r w:rsidR="00E44CEE">
        <w:t xml:space="preserve">to agree if any other aspect </w:t>
      </w:r>
      <w:proofErr w:type="spellStart"/>
      <w:r w:rsidR="00E44CEE">
        <w:t>releated</w:t>
      </w:r>
      <w:proofErr w:type="spellEnd"/>
      <w:r w:rsidR="00E44CEE">
        <w:t xml:space="preserve"> to I-RNTI of different sizes needs to be </w:t>
      </w:r>
      <w:proofErr w:type="spellStart"/>
      <w:r w:rsidR="00E44CEE">
        <w:t>considerd</w:t>
      </w:r>
      <w:proofErr w:type="spellEnd"/>
      <w:r w:rsidR="00E44CEE">
        <w:t xml:space="preserve"> in </w:t>
      </w:r>
      <w:proofErr w:type="spellStart"/>
      <w:r w:rsidR="00E44CEE">
        <w:t>Rel</w:t>
      </w:r>
      <w:proofErr w:type="spellEnd"/>
      <w:r w:rsidR="00E44CEE">
        <w:t xml:space="preserve"> 15 to fulfil the </w:t>
      </w:r>
      <w:r w:rsidR="001F6F63">
        <w:t>aim to define RRC_INACTIVE for easy inclusion of inter-RAT mobility.</w:t>
      </w:r>
      <w:bookmarkEnd w:id="14"/>
      <w:bookmarkEnd w:id="15"/>
      <w:bookmarkEnd w:id="16"/>
      <w:r w:rsidR="001F6F63">
        <w:t xml:space="preserve"> </w:t>
      </w:r>
    </w:p>
    <w:p w14:paraId="68CF7A01" w14:textId="7D0C23D7" w:rsidR="008116F2" w:rsidRDefault="008116F2" w:rsidP="002F2CB7">
      <w:pPr>
        <w:pStyle w:val="Proposal"/>
        <w:numPr>
          <w:ilvl w:val="0"/>
          <w:numId w:val="0"/>
        </w:numPr>
      </w:pPr>
      <w:bookmarkStart w:id="17" w:name="_Toc510712773"/>
      <w:bookmarkStart w:id="18" w:name="_Toc510712774"/>
      <w:bookmarkStart w:id="19" w:name="_Toc510712775"/>
      <w:bookmarkStart w:id="20" w:name="_Toc510712776"/>
      <w:bookmarkStart w:id="21" w:name="_Toc510712777"/>
      <w:bookmarkStart w:id="22" w:name="_Toc510712778"/>
      <w:bookmarkStart w:id="23" w:name="_Toc510712779"/>
      <w:bookmarkStart w:id="24" w:name="_Toc510712780"/>
      <w:bookmarkStart w:id="25" w:name="_Toc51071278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164BC7" w14:textId="63B73DE7" w:rsidR="00180689" w:rsidRDefault="00180689" w:rsidP="00180689">
      <w:pPr>
        <w:pStyle w:val="Proposal"/>
        <w:numPr>
          <w:ilvl w:val="0"/>
          <w:numId w:val="0"/>
        </w:numPr>
        <w:ind w:left="1701" w:hanging="1701"/>
      </w:pPr>
    </w:p>
    <w:p w14:paraId="2CA126E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CFC7040" w14:textId="77777777" w:rsidR="00584F12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249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A626960" w14:textId="77777777" w:rsidR="00CE200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CE200E">
        <w:t>Observation 1</w:t>
      </w:r>
      <w:r w:rsidR="00CE200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E200E">
        <w:t>In Release 15, it is likely that I-RNTI for LTE connected to 5GC and I-RNTI for NR will be of different size.</w:t>
      </w:r>
    </w:p>
    <w:p w14:paraId="2C717738" w14:textId="77777777" w:rsidR="00CE200E" w:rsidRDefault="00CE20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One challenge in Release 16 with respect to differences in I-RNTI between RATs will be when one RAT suspends and allocates an I-RNTI and a resume request is sent in other RAT.</w:t>
      </w:r>
    </w:p>
    <w:p w14:paraId="17F77630" w14:textId="77777777" w:rsidR="00CE200E" w:rsidRDefault="00CE20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It seems RAN2 does not need to pay any particular attention in Release 15 to easy introduction of inter-RAT mobility in RRC_INACTIVE in Release 16 with respect to differences in I-RNTI size between LTE / EPC and NR.</w:t>
      </w:r>
    </w:p>
    <w:p w14:paraId="5AEB9CC1" w14:textId="111554C9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73533C" w14:textId="77777777" w:rsidR="00584F12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249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75210F6" w14:textId="77777777" w:rsidR="001756A1" w:rsidRPr="002F2CB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756A1">
        <w:t>Proposal 1</w:t>
      </w:r>
      <w:r w:rsidR="001756A1" w:rsidRPr="002F2C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756A1">
        <w:t>RAN2 should already with Release 15 consider defining RRC_INACTIVE to enable introduction of inter-RAT mobility in Release 16. This should include addressing the size difference of I-RNTI.</w:t>
      </w:r>
    </w:p>
    <w:p w14:paraId="526198BD" w14:textId="77777777" w:rsidR="001756A1" w:rsidRPr="002F2CB7" w:rsidRDefault="001756A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2F2C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should discuss the above to agree if any other aspect releated to I-RNTI of different sizes needs to be considerd in Rel 15 to fulfil the aim to define RRC_INACTIVE for easy inclusion of inter-RAT mobility.</w:t>
      </w:r>
    </w:p>
    <w:p w14:paraId="2C2BD02F" w14:textId="7C8F80AF" w:rsidR="00BE6553" w:rsidRDefault="008E065E" w:rsidP="00BE6553">
      <w:pPr>
        <w:pStyle w:val="Heading1"/>
        <w:rPr>
          <w:lang w:val="en-US" w:eastAsia="en-US"/>
        </w:rPr>
      </w:pPr>
      <w:r>
        <w:rPr>
          <w:b/>
          <w:bCs/>
        </w:rPr>
        <w:fldChar w:fldCharType="end"/>
      </w:r>
      <w:bookmarkStart w:id="26" w:name="_In-sequence_SDU_delivery"/>
      <w:bookmarkEnd w:id="26"/>
      <w:r w:rsidR="00BE6553" w:rsidRPr="00BE6553">
        <w:rPr>
          <w:lang w:val="en-US" w:eastAsia="en-US"/>
        </w:rPr>
        <w:t xml:space="preserve"> </w:t>
      </w:r>
      <w:r w:rsidR="00BE6553">
        <w:rPr>
          <w:lang w:val="en-US" w:eastAsia="en-US"/>
        </w:rPr>
        <w:t>References</w:t>
      </w:r>
    </w:p>
    <w:p w14:paraId="1A40FD50" w14:textId="77777777" w:rsidR="00BE6553" w:rsidRPr="00D9015A" w:rsidRDefault="00BE6553" w:rsidP="00BE6553">
      <w:pPr>
        <w:pStyle w:val="Reference"/>
      </w:pPr>
      <w:bookmarkStart w:id="27" w:name="_Ref510700901"/>
      <w:bookmarkStart w:id="28" w:name="_Ref510698363"/>
      <w:bookmarkStart w:id="29" w:name="_Ref510699031"/>
      <w:bookmarkStart w:id="30" w:name="_Ref510700881"/>
      <w:r>
        <w:rPr>
          <w:szCs w:val="24"/>
        </w:rPr>
        <w:t xml:space="preserve">RAN 2 chair notes, </w:t>
      </w:r>
      <w:r w:rsidRPr="00816399">
        <w:t>3GPP TSG-RAN WG2 #101, Athens, Greece, 26</w:t>
      </w:r>
      <w:r w:rsidRPr="000D11C0">
        <w:rPr>
          <w:vertAlign w:val="superscript"/>
        </w:rPr>
        <w:t>th</w:t>
      </w:r>
      <w:r w:rsidRPr="00816399">
        <w:t xml:space="preserve"> Feb </w:t>
      </w:r>
      <w:r>
        <w:t>–</w:t>
      </w:r>
      <w:r w:rsidRPr="00816399">
        <w:t xml:space="preserve"> 2</w:t>
      </w:r>
      <w:r w:rsidRPr="000D11C0">
        <w:rPr>
          <w:vertAlign w:val="superscript"/>
        </w:rPr>
        <w:t>nd</w:t>
      </w:r>
      <w:r w:rsidRPr="00816399">
        <w:t xml:space="preserve"> </w:t>
      </w:r>
      <w:proofErr w:type="gramStart"/>
      <w:r w:rsidRPr="00816399">
        <w:t>Mar</w:t>
      </w:r>
      <w:r>
        <w:t>ch</w:t>
      </w:r>
      <w:r w:rsidRPr="00816399">
        <w:t>,</w:t>
      </w:r>
      <w:proofErr w:type="gramEnd"/>
      <w:r w:rsidRPr="00816399">
        <w:t xml:space="preserve"> 2018</w:t>
      </w:r>
      <w:bookmarkEnd w:id="27"/>
      <w:r w:rsidRPr="00C140CC">
        <w:rPr>
          <w:szCs w:val="24"/>
        </w:rPr>
        <w:t xml:space="preserve"> </w:t>
      </w:r>
      <w:bookmarkEnd w:id="28"/>
      <w:bookmarkEnd w:id="29"/>
    </w:p>
    <w:bookmarkEnd w:id="30"/>
    <w:p w14:paraId="7D994C50" w14:textId="1320D4C1" w:rsidR="003A7EF3" w:rsidRPr="00CE0424" w:rsidRDefault="003A7EF3" w:rsidP="003100C5"/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F2C7B" w14:textId="77777777" w:rsidR="004923D3" w:rsidRDefault="004923D3">
      <w:r>
        <w:separator/>
      </w:r>
    </w:p>
  </w:endnote>
  <w:endnote w:type="continuationSeparator" w:id="0">
    <w:p w14:paraId="555CCD0C" w14:textId="77777777" w:rsidR="004923D3" w:rsidRDefault="004923D3">
      <w:r>
        <w:continuationSeparator/>
      </w:r>
    </w:p>
  </w:endnote>
  <w:endnote w:type="continuationNotice" w:id="1">
    <w:p w14:paraId="18D072BC" w14:textId="77777777" w:rsidR="004923D3" w:rsidRDefault="004923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1EFAF" w14:textId="7BE3EE4F" w:rsidR="0027267A" w:rsidRDefault="002726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0D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0D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23C5E" w14:textId="77777777" w:rsidR="004923D3" w:rsidRDefault="004923D3">
      <w:r>
        <w:separator/>
      </w:r>
    </w:p>
  </w:footnote>
  <w:footnote w:type="continuationSeparator" w:id="0">
    <w:p w14:paraId="36FBD721" w14:textId="77777777" w:rsidR="004923D3" w:rsidRDefault="004923D3">
      <w:r>
        <w:continuationSeparator/>
      </w:r>
    </w:p>
  </w:footnote>
  <w:footnote w:type="continuationNotice" w:id="1">
    <w:p w14:paraId="13D542E1" w14:textId="77777777" w:rsidR="004923D3" w:rsidRDefault="004923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9C5F" w14:textId="77777777" w:rsidR="0027267A" w:rsidRDefault="002726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0263D"/>
    <w:multiLevelType w:val="hybridMultilevel"/>
    <w:tmpl w:val="4080D55E"/>
    <w:lvl w:ilvl="0" w:tplc="BCCC8EF2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C2AAE"/>
    <w:multiLevelType w:val="hybridMultilevel"/>
    <w:tmpl w:val="F80EE1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07"/>
    <w:rsid w:val="000006E1"/>
    <w:rsid w:val="00002A37"/>
    <w:rsid w:val="000039F4"/>
    <w:rsid w:val="00004F8A"/>
    <w:rsid w:val="00006446"/>
    <w:rsid w:val="00006896"/>
    <w:rsid w:val="00007CDC"/>
    <w:rsid w:val="00010063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9C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06E"/>
    <w:rsid w:val="0009009F"/>
    <w:rsid w:val="00091557"/>
    <w:rsid w:val="000924C1"/>
    <w:rsid w:val="000924F0"/>
    <w:rsid w:val="00093474"/>
    <w:rsid w:val="0009510F"/>
    <w:rsid w:val="000A0E09"/>
    <w:rsid w:val="000A1B7B"/>
    <w:rsid w:val="000A56F2"/>
    <w:rsid w:val="000A71A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126"/>
    <w:rsid w:val="000E0527"/>
    <w:rsid w:val="000E1E92"/>
    <w:rsid w:val="000F06D6"/>
    <w:rsid w:val="000F0EB1"/>
    <w:rsid w:val="000F1106"/>
    <w:rsid w:val="000F2FBE"/>
    <w:rsid w:val="000F3BE9"/>
    <w:rsid w:val="000F3F6C"/>
    <w:rsid w:val="000F6DF3"/>
    <w:rsid w:val="001005FF"/>
    <w:rsid w:val="001062FB"/>
    <w:rsid w:val="001063E6"/>
    <w:rsid w:val="00106F93"/>
    <w:rsid w:val="00113CF4"/>
    <w:rsid w:val="001153EA"/>
    <w:rsid w:val="00115643"/>
    <w:rsid w:val="00116765"/>
    <w:rsid w:val="001219F5"/>
    <w:rsid w:val="00121A20"/>
    <w:rsid w:val="0012377F"/>
    <w:rsid w:val="00124314"/>
    <w:rsid w:val="00124907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9BD"/>
    <w:rsid w:val="00173A8E"/>
    <w:rsid w:val="0017432D"/>
    <w:rsid w:val="001756A1"/>
    <w:rsid w:val="00176268"/>
    <w:rsid w:val="00177795"/>
    <w:rsid w:val="00180689"/>
    <w:rsid w:val="0018143F"/>
    <w:rsid w:val="00190AC1"/>
    <w:rsid w:val="0019341A"/>
    <w:rsid w:val="00197DF9"/>
    <w:rsid w:val="001A1987"/>
    <w:rsid w:val="001A2564"/>
    <w:rsid w:val="001A6173"/>
    <w:rsid w:val="001A6CBA"/>
    <w:rsid w:val="001A7FB3"/>
    <w:rsid w:val="001B0D97"/>
    <w:rsid w:val="001B5A5D"/>
    <w:rsid w:val="001C1168"/>
    <w:rsid w:val="001C1CE5"/>
    <w:rsid w:val="001C3D2A"/>
    <w:rsid w:val="001D51BA"/>
    <w:rsid w:val="001D6342"/>
    <w:rsid w:val="001D6D53"/>
    <w:rsid w:val="001E58E2"/>
    <w:rsid w:val="001E5E50"/>
    <w:rsid w:val="001E7AED"/>
    <w:rsid w:val="001F1A43"/>
    <w:rsid w:val="001F3916"/>
    <w:rsid w:val="001F54C5"/>
    <w:rsid w:val="001F662C"/>
    <w:rsid w:val="001F6F63"/>
    <w:rsid w:val="001F7074"/>
    <w:rsid w:val="00200490"/>
    <w:rsid w:val="00201F3A"/>
    <w:rsid w:val="00203F96"/>
    <w:rsid w:val="00205C16"/>
    <w:rsid w:val="002069B2"/>
    <w:rsid w:val="00207FA3"/>
    <w:rsid w:val="00214DA8"/>
    <w:rsid w:val="00215423"/>
    <w:rsid w:val="002158FA"/>
    <w:rsid w:val="00220600"/>
    <w:rsid w:val="002216FF"/>
    <w:rsid w:val="002224DB"/>
    <w:rsid w:val="00223FCB"/>
    <w:rsid w:val="002252C3"/>
    <w:rsid w:val="00225C54"/>
    <w:rsid w:val="00230765"/>
    <w:rsid w:val="002319E4"/>
    <w:rsid w:val="00235632"/>
    <w:rsid w:val="00235872"/>
    <w:rsid w:val="0023632F"/>
    <w:rsid w:val="00241559"/>
    <w:rsid w:val="002435B3"/>
    <w:rsid w:val="002458EB"/>
    <w:rsid w:val="002500C8"/>
    <w:rsid w:val="00251983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67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A8"/>
    <w:rsid w:val="00296227"/>
    <w:rsid w:val="00296F44"/>
    <w:rsid w:val="0029777D"/>
    <w:rsid w:val="002A055E"/>
    <w:rsid w:val="002A1D4E"/>
    <w:rsid w:val="002A2311"/>
    <w:rsid w:val="002A2869"/>
    <w:rsid w:val="002B24D6"/>
    <w:rsid w:val="002C41E6"/>
    <w:rsid w:val="002D071A"/>
    <w:rsid w:val="002D34B2"/>
    <w:rsid w:val="002D7637"/>
    <w:rsid w:val="002E106E"/>
    <w:rsid w:val="002E17F2"/>
    <w:rsid w:val="002E2A5B"/>
    <w:rsid w:val="002E2B6E"/>
    <w:rsid w:val="002E35D2"/>
    <w:rsid w:val="002E7CAE"/>
    <w:rsid w:val="002F2771"/>
    <w:rsid w:val="002F2CB7"/>
    <w:rsid w:val="002F37A9"/>
    <w:rsid w:val="00301CE6"/>
    <w:rsid w:val="0030256B"/>
    <w:rsid w:val="0030501F"/>
    <w:rsid w:val="00307220"/>
    <w:rsid w:val="00307BA1"/>
    <w:rsid w:val="003100C5"/>
    <w:rsid w:val="00311702"/>
    <w:rsid w:val="00311E82"/>
    <w:rsid w:val="00313FD6"/>
    <w:rsid w:val="003143BD"/>
    <w:rsid w:val="003203ED"/>
    <w:rsid w:val="00322C9F"/>
    <w:rsid w:val="00324D23"/>
    <w:rsid w:val="00331751"/>
    <w:rsid w:val="003328A9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6C11"/>
    <w:rsid w:val="00377B2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304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DF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151"/>
    <w:rsid w:val="004669E2"/>
    <w:rsid w:val="00470C31"/>
    <w:rsid w:val="004734D0"/>
    <w:rsid w:val="0047556B"/>
    <w:rsid w:val="00477768"/>
    <w:rsid w:val="004923D3"/>
    <w:rsid w:val="00492BC5"/>
    <w:rsid w:val="004964F1"/>
    <w:rsid w:val="0049664F"/>
    <w:rsid w:val="004A16BC"/>
    <w:rsid w:val="004A2B94"/>
    <w:rsid w:val="004A38E9"/>
    <w:rsid w:val="004B792A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6C0"/>
    <w:rsid w:val="00534B59"/>
    <w:rsid w:val="00536759"/>
    <w:rsid w:val="00537C62"/>
    <w:rsid w:val="00546970"/>
    <w:rsid w:val="00554E19"/>
    <w:rsid w:val="0056121F"/>
    <w:rsid w:val="00561A30"/>
    <w:rsid w:val="00572505"/>
    <w:rsid w:val="00582809"/>
    <w:rsid w:val="00583207"/>
    <w:rsid w:val="00584F12"/>
    <w:rsid w:val="0058798C"/>
    <w:rsid w:val="005900FA"/>
    <w:rsid w:val="005935A4"/>
    <w:rsid w:val="005948C2"/>
    <w:rsid w:val="00595DCA"/>
    <w:rsid w:val="0059779B"/>
    <w:rsid w:val="005A18ED"/>
    <w:rsid w:val="005A209A"/>
    <w:rsid w:val="005A662D"/>
    <w:rsid w:val="005B35D7"/>
    <w:rsid w:val="005B392A"/>
    <w:rsid w:val="005B3AA3"/>
    <w:rsid w:val="005B40CA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0A6"/>
    <w:rsid w:val="0060283C"/>
    <w:rsid w:val="00603EB7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614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0F"/>
    <w:rsid w:val="006879B9"/>
    <w:rsid w:val="00695FC2"/>
    <w:rsid w:val="00696949"/>
    <w:rsid w:val="00696B72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2F6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30A"/>
    <w:rsid w:val="006E76D5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96F"/>
    <w:rsid w:val="0074524B"/>
    <w:rsid w:val="00747D8B"/>
    <w:rsid w:val="00751228"/>
    <w:rsid w:val="007571E1"/>
    <w:rsid w:val="007604B2"/>
    <w:rsid w:val="007621F7"/>
    <w:rsid w:val="00765281"/>
    <w:rsid w:val="00766BAD"/>
    <w:rsid w:val="00771ACE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3EA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8F4"/>
    <w:rsid w:val="0080176B"/>
    <w:rsid w:val="00803FAE"/>
    <w:rsid w:val="0080549B"/>
    <w:rsid w:val="0080605F"/>
    <w:rsid w:val="00807786"/>
    <w:rsid w:val="00810C91"/>
    <w:rsid w:val="008116F2"/>
    <w:rsid w:val="00811FCB"/>
    <w:rsid w:val="008158D6"/>
    <w:rsid w:val="00817196"/>
    <w:rsid w:val="008235DB"/>
    <w:rsid w:val="00823D1E"/>
    <w:rsid w:val="00824AB4"/>
    <w:rsid w:val="00825C42"/>
    <w:rsid w:val="00825D25"/>
    <w:rsid w:val="00827CBA"/>
    <w:rsid w:val="00827D6F"/>
    <w:rsid w:val="008376AC"/>
    <w:rsid w:val="00837A59"/>
    <w:rsid w:val="008444E8"/>
    <w:rsid w:val="00844E80"/>
    <w:rsid w:val="00846FE7"/>
    <w:rsid w:val="00854F97"/>
    <w:rsid w:val="00856911"/>
    <w:rsid w:val="00860E4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769"/>
    <w:rsid w:val="008D6D1A"/>
    <w:rsid w:val="008E065E"/>
    <w:rsid w:val="008E0927"/>
    <w:rsid w:val="008E1839"/>
    <w:rsid w:val="008E1909"/>
    <w:rsid w:val="008E744F"/>
    <w:rsid w:val="008F1EAB"/>
    <w:rsid w:val="008F33DC"/>
    <w:rsid w:val="008F477F"/>
    <w:rsid w:val="00902350"/>
    <w:rsid w:val="0090336B"/>
    <w:rsid w:val="009053AA"/>
    <w:rsid w:val="00906939"/>
    <w:rsid w:val="00910184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6C7B"/>
    <w:rsid w:val="00931BD9"/>
    <w:rsid w:val="009368F3"/>
    <w:rsid w:val="00941636"/>
    <w:rsid w:val="00943742"/>
    <w:rsid w:val="00945AAC"/>
    <w:rsid w:val="00945C05"/>
    <w:rsid w:val="00946945"/>
    <w:rsid w:val="00947713"/>
    <w:rsid w:val="00950DE7"/>
    <w:rsid w:val="00953920"/>
    <w:rsid w:val="00953D47"/>
    <w:rsid w:val="00954FB6"/>
    <w:rsid w:val="0095681E"/>
    <w:rsid w:val="009572D4"/>
    <w:rsid w:val="00961921"/>
    <w:rsid w:val="0096430A"/>
    <w:rsid w:val="0096554B"/>
    <w:rsid w:val="0096584A"/>
    <w:rsid w:val="009671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53F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4ABD"/>
    <w:rsid w:val="00A45B74"/>
    <w:rsid w:val="00A52E1D"/>
    <w:rsid w:val="00A54751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098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B94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69D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5A9F"/>
    <w:rsid w:val="00B46175"/>
    <w:rsid w:val="00B6188F"/>
    <w:rsid w:val="00B664C7"/>
    <w:rsid w:val="00B739F6"/>
    <w:rsid w:val="00B7576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3FF"/>
    <w:rsid w:val="00BC0FDC"/>
    <w:rsid w:val="00BC3053"/>
    <w:rsid w:val="00BC4D2E"/>
    <w:rsid w:val="00BD1BE4"/>
    <w:rsid w:val="00BD48AC"/>
    <w:rsid w:val="00BD5F1A"/>
    <w:rsid w:val="00BE1234"/>
    <w:rsid w:val="00BE2FA6"/>
    <w:rsid w:val="00BE333F"/>
    <w:rsid w:val="00BE6553"/>
    <w:rsid w:val="00BE7406"/>
    <w:rsid w:val="00BE7603"/>
    <w:rsid w:val="00BF3279"/>
    <w:rsid w:val="00BF74C7"/>
    <w:rsid w:val="00BF7D2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70E"/>
    <w:rsid w:val="00C3719D"/>
    <w:rsid w:val="00C42D31"/>
    <w:rsid w:val="00C455E8"/>
    <w:rsid w:val="00C50160"/>
    <w:rsid w:val="00C54995"/>
    <w:rsid w:val="00C54D41"/>
    <w:rsid w:val="00C60783"/>
    <w:rsid w:val="00C621A9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2B9"/>
    <w:rsid w:val="00CC7B45"/>
    <w:rsid w:val="00CD1188"/>
    <w:rsid w:val="00CD2ED1"/>
    <w:rsid w:val="00CD337B"/>
    <w:rsid w:val="00CD384B"/>
    <w:rsid w:val="00CD386B"/>
    <w:rsid w:val="00CE0424"/>
    <w:rsid w:val="00CE0A33"/>
    <w:rsid w:val="00CE1CA2"/>
    <w:rsid w:val="00CE200E"/>
    <w:rsid w:val="00CE7561"/>
    <w:rsid w:val="00CF1354"/>
    <w:rsid w:val="00CF3B1F"/>
    <w:rsid w:val="00CF3BF6"/>
    <w:rsid w:val="00CF625B"/>
    <w:rsid w:val="00CF687E"/>
    <w:rsid w:val="00CF6AFE"/>
    <w:rsid w:val="00D0349B"/>
    <w:rsid w:val="00D07F48"/>
    <w:rsid w:val="00D10249"/>
    <w:rsid w:val="00D115C3"/>
    <w:rsid w:val="00D11897"/>
    <w:rsid w:val="00D13135"/>
    <w:rsid w:val="00D13E4E"/>
    <w:rsid w:val="00D20BF3"/>
    <w:rsid w:val="00D239A7"/>
    <w:rsid w:val="00D23F47"/>
    <w:rsid w:val="00D36E71"/>
    <w:rsid w:val="00D37D87"/>
    <w:rsid w:val="00D403ED"/>
    <w:rsid w:val="00D40B33"/>
    <w:rsid w:val="00D4318F"/>
    <w:rsid w:val="00D438BF"/>
    <w:rsid w:val="00D440F8"/>
    <w:rsid w:val="00D50F97"/>
    <w:rsid w:val="00D546FF"/>
    <w:rsid w:val="00D55AD5"/>
    <w:rsid w:val="00D55BB0"/>
    <w:rsid w:val="00D576CA"/>
    <w:rsid w:val="00D6153E"/>
    <w:rsid w:val="00D61AF5"/>
    <w:rsid w:val="00D652B5"/>
    <w:rsid w:val="00D66155"/>
    <w:rsid w:val="00D708B0"/>
    <w:rsid w:val="00D7724D"/>
    <w:rsid w:val="00D77938"/>
    <w:rsid w:val="00D77B1D"/>
    <w:rsid w:val="00D8021F"/>
    <w:rsid w:val="00D80383"/>
    <w:rsid w:val="00D823C6"/>
    <w:rsid w:val="00D83EBD"/>
    <w:rsid w:val="00D86CA3"/>
    <w:rsid w:val="00D871CE"/>
    <w:rsid w:val="00D9196D"/>
    <w:rsid w:val="00D92982"/>
    <w:rsid w:val="00DA305E"/>
    <w:rsid w:val="00DA3C7A"/>
    <w:rsid w:val="00DA5417"/>
    <w:rsid w:val="00DA56E8"/>
    <w:rsid w:val="00DA7627"/>
    <w:rsid w:val="00DB0A9F"/>
    <w:rsid w:val="00DB377D"/>
    <w:rsid w:val="00DC03A1"/>
    <w:rsid w:val="00DC2D36"/>
    <w:rsid w:val="00DC53EF"/>
    <w:rsid w:val="00DD4B77"/>
    <w:rsid w:val="00DE5608"/>
    <w:rsid w:val="00DE58D0"/>
    <w:rsid w:val="00DE654F"/>
    <w:rsid w:val="00DF0B6E"/>
    <w:rsid w:val="00DF15E0"/>
    <w:rsid w:val="00DF37A0"/>
    <w:rsid w:val="00DF73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CEE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599"/>
    <w:rsid w:val="00E758EC"/>
    <w:rsid w:val="00E801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1CD4"/>
    <w:rsid w:val="00F0528D"/>
    <w:rsid w:val="00F06C67"/>
    <w:rsid w:val="00F06DFD"/>
    <w:rsid w:val="00F071D1"/>
    <w:rsid w:val="00F07533"/>
    <w:rsid w:val="00F10629"/>
    <w:rsid w:val="00F15FA5"/>
    <w:rsid w:val="00F176EA"/>
    <w:rsid w:val="00F209B7"/>
    <w:rsid w:val="00F2376F"/>
    <w:rsid w:val="00F243D8"/>
    <w:rsid w:val="00F26675"/>
    <w:rsid w:val="00F30828"/>
    <w:rsid w:val="00F313D6"/>
    <w:rsid w:val="00F40A66"/>
    <w:rsid w:val="00F40F0C"/>
    <w:rsid w:val="00F4766C"/>
    <w:rsid w:val="00F507D1"/>
    <w:rsid w:val="00F519CE"/>
    <w:rsid w:val="00F51ADA"/>
    <w:rsid w:val="00F56DC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049"/>
    <w:rsid w:val="00F74BB9"/>
    <w:rsid w:val="00F75582"/>
    <w:rsid w:val="00F7643B"/>
    <w:rsid w:val="00F76EFA"/>
    <w:rsid w:val="00F804BE"/>
    <w:rsid w:val="00F817CE"/>
    <w:rsid w:val="00F828E7"/>
    <w:rsid w:val="00F8412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56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586C5"/>
  <w15:chartTrackingRefBased/>
  <w15:docId w15:val="{95FD0626-F4F4-485D-97DB-290A8DF5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1C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1CA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E1C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E1CA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E1CA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E1CA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E1CA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E1CA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E1C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E1C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E1CA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E1CA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E1CA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E1CA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E1CA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E1CA2"/>
    <w:pPr>
      <w:ind w:left="1418" w:hanging="1418"/>
    </w:pPr>
  </w:style>
  <w:style w:type="paragraph" w:styleId="TOC3">
    <w:name w:val="toc 3"/>
    <w:basedOn w:val="TOC2"/>
    <w:semiHidden/>
    <w:rsid w:val="00CE1CA2"/>
    <w:pPr>
      <w:ind w:left="1134" w:hanging="1134"/>
    </w:pPr>
  </w:style>
  <w:style w:type="paragraph" w:styleId="TOC2">
    <w:name w:val="toc 2"/>
    <w:basedOn w:val="TOC1"/>
    <w:semiHidden/>
    <w:rsid w:val="00CE1CA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E1CA2"/>
    <w:pPr>
      <w:ind w:left="284"/>
    </w:pPr>
  </w:style>
  <w:style w:type="paragraph" w:styleId="Index1">
    <w:name w:val="index 1"/>
    <w:basedOn w:val="Normal"/>
    <w:semiHidden/>
    <w:rsid w:val="00CE1CA2"/>
    <w:pPr>
      <w:keepLines/>
      <w:spacing w:after="0"/>
    </w:pPr>
  </w:style>
  <w:style w:type="paragraph" w:styleId="DocumentMap">
    <w:name w:val="Document Map"/>
    <w:basedOn w:val="Normal"/>
    <w:semiHidden/>
    <w:rsid w:val="00CE1CA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E1CA2"/>
    <w:pPr>
      <w:ind w:left="851"/>
    </w:pPr>
  </w:style>
  <w:style w:type="paragraph" w:styleId="ListNumber">
    <w:name w:val="List Number"/>
    <w:basedOn w:val="List"/>
    <w:rsid w:val="00CE1CA2"/>
  </w:style>
  <w:style w:type="paragraph" w:styleId="List">
    <w:name w:val="List"/>
    <w:basedOn w:val="Normal"/>
    <w:rsid w:val="00CE1CA2"/>
    <w:pPr>
      <w:ind w:left="568" w:hanging="284"/>
    </w:pPr>
  </w:style>
  <w:style w:type="paragraph" w:styleId="Header">
    <w:name w:val="header"/>
    <w:rsid w:val="00CE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E1CA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E1CA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E1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E1CA2"/>
    <w:pPr>
      <w:ind w:left="1418" w:hanging="1418"/>
    </w:pPr>
  </w:style>
  <w:style w:type="paragraph" w:styleId="TOC6">
    <w:name w:val="toc 6"/>
    <w:basedOn w:val="TOC5"/>
    <w:next w:val="Normal"/>
    <w:semiHidden/>
    <w:rsid w:val="00CE1CA2"/>
    <w:pPr>
      <w:ind w:left="1985" w:hanging="1985"/>
    </w:pPr>
  </w:style>
  <w:style w:type="paragraph" w:styleId="TOC7">
    <w:name w:val="toc 7"/>
    <w:basedOn w:val="TOC6"/>
    <w:next w:val="Normal"/>
    <w:semiHidden/>
    <w:rsid w:val="00CE1CA2"/>
    <w:pPr>
      <w:ind w:left="2268" w:hanging="2268"/>
    </w:pPr>
  </w:style>
  <w:style w:type="paragraph" w:styleId="ListBullet2">
    <w:name w:val="List Bullet 2"/>
    <w:basedOn w:val="ListBullet"/>
    <w:rsid w:val="00CE1CA2"/>
    <w:pPr>
      <w:numPr>
        <w:numId w:val="6"/>
      </w:numPr>
    </w:pPr>
  </w:style>
  <w:style w:type="paragraph" w:styleId="ListBullet">
    <w:name w:val="List Bullet"/>
    <w:basedOn w:val="BodyText"/>
    <w:rsid w:val="00CE1CA2"/>
    <w:pPr>
      <w:numPr>
        <w:numId w:val="5"/>
      </w:numPr>
    </w:pPr>
  </w:style>
  <w:style w:type="paragraph" w:styleId="ListBullet3">
    <w:name w:val="List Bullet 3"/>
    <w:basedOn w:val="ListBullet2"/>
    <w:rsid w:val="00CE1CA2"/>
    <w:pPr>
      <w:numPr>
        <w:numId w:val="7"/>
      </w:numPr>
    </w:pPr>
  </w:style>
  <w:style w:type="paragraph" w:customStyle="1" w:styleId="EQ">
    <w:name w:val="EQ"/>
    <w:basedOn w:val="Normal"/>
    <w:next w:val="Normal"/>
    <w:rsid w:val="00CE1CA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E1CA2"/>
    <w:pPr>
      <w:ind w:left="851"/>
    </w:pPr>
  </w:style>
  <w:style w:type="paragraph" w:styleId="List3">
    <w:name w:val="List 3"/>
    <w:basedOn w:val="List2"/>
    <w:rsid w:val="00CE1CA2"/>
    <w:pPr>
      <w:ind w:left="1135"/>
    </w:pPr>
  </w:style>
  <w:style w:type="paragraph" w:styleId="List4">
    <w:name w:val="List 4"/>
    <w:basedOn w:val="List3"/>
    <w:rsid w:val="00CE1CA2"/>
    <w:pPr>
      <w:ind w:left="1418"/>
    </w:pPr>
  </w:style>
  <w:style w:type="paragraph" w:styleId="List5">
    <w:name w:val="List 5"/>
    <w:basedOn w:val="List4"/>
    <w:rsid w:val="00CE1CA2"/>
    <w:pPr>
      <w:ind w:left="1702"/>
    </w:pPr>
  </w:style>
  <w:style w:type="paragraph" w:customStyle="1" w:styleId="EditorsNote">
    <w:name w:val="Editor's Note"/>
    <w:basedOn w:val="Normal"/>
    <w:rsid w:val="00CE1CA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E1CA2"/>
    <w:pPr>
      <w:numPr>
        <w:numId w:val="8"/>
      </w:numPr>
    </w:pPr>
  </w:style>
  <w:style w:type="paragraph" w:styleId="ListBullet5">
    <w:name w:val="List Bullet 5"/>
    <w:basedOn w:val="ListBullet4"/>
    <w:rsid w:val="00CE1CA2"/>
    <w:pPr>
      <w:numPr>
        <w:numId w:val="4"/>
      </w:numPr>
    </w:pPr>
  </w:style>
  <w:style w:type="paragraph" w:styleId="Footer">
    <w:name w:val="footer"/>
    <w:basedOn w:val="Header"/>
    <w:semiHidden/>
    <w:rsid w:val="00CE1CA2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E1CA2"/>
    <w:pPr>
      <w:numPr>
        <w:numId w:val="2"/>
      </w:numPr>
    </w:pPr>
  </w:style>
  <w:style w:type="paragraph" w:styleId="BalloonText">
    <w:name w:val="Balloon Text"/>
    <w:basedOn w:val="Normal"/>
    <w:semiHidden/>
    <w:rsid w:val="00CE1CA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E1CA2"/>
  </w:style>
  <w:style w:type="paragraph" w:styleId="BodyText">
    <w:name w:val="Body Text"/>
    <w:basedOn w:val="Normal"/>
    <w:link w:val="BodyTextChar"/>
    <w:rsid w:val="00CE1CA2"/>
  </w:style>
  <w:style w:type="character" w:styleId="Hyperlink">
    <w:name w:val="Hyperlink"/>
    <w:uiPriority w:val="99"/>
    <w:rsid w:val="00CE1CA2"/>
    <w:rPr>
      <w:color w:val="0000FF"/>
      <w:u w:val="single"/>
      <w:lang w:val="en-GB"/>
    </w:rPr>
  </w:style>
  <w:style w:type="character" w:styleId="FollowedHyperlink">
    <w:name w:val="FollowedHyperlink"/>
    <w:semiHidden/>
    <w:rsid w:val="00CE1CA2"/>
    <w:rPr>
      <w:color w:val="FF0000"/>
      <w:u w:val="single"/>
    </w:rPr>
  </w:style>
  <w:style w:type="character" w:styleId="CommentReference">
    <w:name w:val="annotation reference"/>
    <w:semiHidden/>
    <w:rsid w:val="00CE1CA2"/>
    <w:rPr>
      <w:sz w:val="16"/>
      <w:szCs w:val="16"/>
    </w:rPr>
  </w:style>
  <w:style w:type="paragraph" w:styleId="CommentText">
    <w:name w:val="annotation text"/>
    <w:basedOn w:val="Normal"/>
    <w:semiHidden/>
    <w:rsid w:val="00CE1CA2"/>
  </w:style>
  <w:style w:type="paragraph" w:styleId="CommentSubject">
    <w:name w:val="annotation subject"/>
    <w:basedOn w:val="CommentText"/>
    <w:next w:val="CommentText"/>
    <w:semiHidden/>
    <w:rsid w:val="00CE1CA2"/>
    <w:rPr>
      <w:b/>
      <w:bCs/>
    </w:rPr>
  </w:style>
  <w:style w:type="character" w:customStyle="1" w:styleId="Heading1Char">
    <w:name w:val="Heading 1 Char"/>
    <w:link w:val="Heading1"/>
    <w:rsid w:val="00CE1CA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E1CA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E1CA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E1CA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E1CA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E1CA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1CA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E1CA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E1CA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E1CA2"/>
    <w:pPr>
      <w:spacing w:after="0"/>
    </w:pPr>
  </w:style>
  <w:style w:type="paragraph" w:customStyle="1" w:styleId="TAL">
    <w:name w:val="TAL"/>
    <w:basedOn w:val="Normal"/>
    <w:rsid w:val="00CE1CA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E1CA2"/>
    <w:pPr>
      <w:jc w:val="center"/>
    </w:pPr>
  </w:style>
  <w:style w:type="paragraph" w:customStyle="1" w:styleId="TAH">
    <w:name w:val="TAH"/>
    <w:basedOn w:val="TAC"/>
    <w:rsid w:val="00CE1CA2"/>
    <w:rPr>
      <w:b/>
    </w:rPr>
  </w:style>
  <w:style w:type="paragraph" w:customStyle="1" w:styleId="TAN">
    <w:name w:val="TAN"/>
    <w:basedOn w:val="TAL"/>
    <w:rsid w:val="00CE1CA2"/>
    <w:pPr>
      <w:ind w:left="851" w:hanging="851"/>
    </w:pPr>
  </w:style>
  <w:style w:type="paragraph" w:customStyle="1" w:styleId="TAR">
    <w:name w:val="TAR"/>
    <w:basedOn w:val="TAL"/>
    <w:rsid w:val="00CE1CA2"/>
    <w:pPr>
      <w:jc w:val="right"/>
    </w:pPr>
  </w:style>
  <w:style w:type="paragraph" w:customStyle="1" w:styleId="TH">
    <w:name w:val="TH"/>
    <w:basedOn w:val="Normal"/>
    <w:rsid w:val="00CE1CA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E1CA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E1CA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E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E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E1CA2"/>
  </w:style>
  <w:style w:type="paragraph" w:customStyle="1" w:styleId="ZH">
    <w:name w:val="ZH"/>
    <w:rsid w:val="00CE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E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E1CA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E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1CA2"/>
    <w:pPr>
      <w:framePr w:wrap="notBeside" w:y="16161"/>
    </w:pPr>
  </w:style>
  <w:style w:type="paragraph" w:customStyle="1" w:styleId="FP">
    <w:name w:val="FP"/>
    <w:basedOn w:val="Normal"/>
    <w:rsid w:val="00CE1CA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E1CA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E1CA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E1CA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E1CA2"/>
    <w:rPr>
      <w:rFonts w:ascii="Arial" w:eastAsia="MS Mincho" w:hAnsi="Arial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BE655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RAN2-100\Own%20to%20RAN2-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/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5NUHHDQN7SK2-1476151046-20128</_dlc_DocId>
    <_dlc_DocIdUrl xmlns="f166a696-7b5b-4ccd-9f0c-ffde0cceec81">
      <Url>https://ericsson.sharepoint.com/sites/star/_layouts/15/DocIdRedir.aspx?ID=5NUHHDQN7SK2-1476151046-20128</Url>
      <Description>5NUHHDQN7SK2-1476151046-20128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81B22-5500-416A-9E33-3886372CE71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FAD7CA1-511B-47F9-B36B-89495D2C768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9C144B-022F-4838-B3EB-EF320112D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4F76153-ABDB-4A56-AE54-C40792D0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Wahaj</cp:lastModifiedBy>
  <cp:revision>3</cp:revision>
  <cp:lastPrinted>2008-01-31T16:09:00Z</cp:lastPrinted>
  <dcterms:created xsi:type="dcterms:W3CDTF">2018-04-05T17:10:00Z</dcterms:created>
  <dcterms:modified xsi:type="dcterms:W3CDTF">2018-04-05T17:42:00Z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d83c3770-3c10-40a3-9bb6-7e6b70903115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