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3D4B8C">
        <w:rPr>
          <w:rFonts w:cs="Arial" w:hint="eastAsia"/>
          <w:lang w:eastAsia="ja-JP"/>
        </w:rPr>
        <w:t>2</w:t>
      </w:r>
      <w:r w:rsidR="002C4324">
        <w:rPr>
          <w:rFonts w:cs="Arial" w:hint="eastAsia"/>
          <w:lang w:eastAsia="ja-JP"/>
        </w:rPr>
        <w:t xml:space="preserve"> </w:t>
      </w:r>
      <w:r w:rsidR="00A95D20" w:rsidRPr="00863065">
        <w:rPr>
          <w:rFonts w:cs="Arial"/>
          <w:lang w:eastAsia="ja-JP"/>
        </w:rPr>
        <w:t>#</w:t>
      </w:r>
      <w:r w:rsidR="00714D55">
        <w:rPr>
          <w:rFonts w:cs="Arial" w:hint="eastAsia"/>
          <w:lang w:eastAsia="ja-JP"/>
        </w:rPr>
        <w:t>101bis</w:t>
      </w:r>
      <w:r w:rsidRPr="00863065">
        <w:rPr>
          <w:rFonts w:cs="Arial"/>
        </w:rPr>
        <w:tab/>
      </w:r>
      <w:bookmarkStart w:id="0" w:name="_GoBack"/>
      <w:bookmarkEnd w:id="0"/>
      <w:r w:rsidRPr="00863065">
        <w:rPr>
          <w:rFonts w:cs="Arial"/>
        </w:rPr>
        <w:t>R</w:t>
      </w:r>
      <w:r w:rsidR="003D4B8C">
        <w:rPr>
          <w:rFonts w:cs="Arial" w:hint="eastAsia"/>
          <w:lang w:eastAsia="ja-JP"/>
        </w:rPr>
        <w:t>2</w:t>
      </w:r>
      <w:r w:rsidRPr="00863065">
        <w:rPr>
          <w:rFonts w:cs="Arial"/>
          <w:lang w:eastAsia="ja-JP"/>
        </w:rPr>
        <w:t>-</w:t>
      </w:r>
      <w:r w:rsidR="007623DC">
        <w:rPr>
          <w:rFonts w:cs="Arial" w:hint="eastAsia"/>
          <w:lang w:eastAsia="ja-JP"/>
        </w:rPr>
        <w:t>1</w:t>
      </w:r>
      <w:r w:rsidR="00392BA1">
        <w:rPr>
          <w:rFonts w:cs="Arial"/>
          <w:lang w:eastAsia="ja-JP"/>
        </w:rPr>
        <w:t>8</w:t>
      </w:r>
      <w:r w:rsidR="00E02C97">
        <w:rPr>
          <w:rFonts w:cs="Arial"/>
          <w:lang w:eastAsia="ja-JP"/>
        </w:rPr>
        <w:t>04396</w:t>
      </w:r>
    </w:p>
    <w:p w:rsidR="00DB7D65" w:rsidRPr="00863065" w:rsidRDefault="00714D55" w:rsidP="00156F86">
      <w:pPr>
        <w:pStyle w:val="af6"/>
        <w:tabs>
          <w:tab w:val="left" w:pos="709"/>
          <w:tab w:val="right" w:pos="9639"/>
        </w:tabs>
        <w:spacing w:after="0"/>
        <w:jc w:val="left"/>
        <w:rPr>
          <w:rFonts w:cs="Arial"/>
          <w:lang w:val="en-US" w:eastAsia="ja-JP"/>
        </w:rPr>
      </w:pPr>
      <w:r>
        <w:rPr>
          <w:rFonts w:cs="Arial"/>
          <w:lang w:val="en-US" w:eastAsia="ja-JP"/>
        </w:rPr>
        <w:t>16</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20</w:t>
      </w:r>
      <w:r w:rsidR="006C777E">
        <w:rPr>
          <w:rFonts w:cs="Arial" w:hint="eastAsia"/>
          <w:vertAlign w:val="superscript"/>
          <w:lang w:val="en-US" w:eastAsia="ja-JP"/>
        </w:rPr>
        <w:t>th</w:t>
      </w:r>
      <w:r w:rsidR="006C777E" w:rsidRPr="00802E96">
        <w:rPr>
          <w:rFonts w:cs="Arial"/>
          <w:lang w:val="en-US" w:eastAsia="ja-JP"/>
        </w:rPr>
        <w:t xml:space="preserve"> </w:t>
      </w:r>
      <w:r>
        <w:rPr>
          <w:rFonts w:cs="Arial" w:hint="eastAsia"/>
          <w:lang w:val="en-US" w:eastAsia="ja-JP"/>
        </w:rPr>
        <w:t>April</w:t>
      </w:r>
      <w:r w:rsidR="006C777E" w:rsidRPr="00802E96">
        <w:rPr>
          <w:rFonts w:cs="Arial"/>
          <w:lang w:val="en-US" w:eastAsia="ja-JP"/>
        </w:rPr>
        <w:t xml:space="preserve"> 20</w:t>
      </w:r>
      <w:r w:rsidR="007623DC">
        <w:rPr>
          <w:rFonts w:cs="Arial" w:hint="eastAsia"/>
          <w:lang w:val="en-US" w:eastAsia="ja-JP"/>
        </w:rPr>
        <w:t>1</w:t>
      </w:r>
      <w:r w:rsidR="00392BA1">
        <w:rPr>
          <w:rFonts w:cs="Arial"/>
          <w:lang w:val="en-US" w:eastAsia="ja-JP"/>
        </w:rPr>
        <w:t>8</w:t>
      </w:r>
    </w:p>
    <w:p w:rsidR="00DB7D65" w:rsidRPr="00863065" w:rsidRDefault="00714D55" w:rsidP="00DB7D65">
      <w:pPr>
        <w:pStyle w:val="af6"/>
        <w:pBdr>
          <w:bottom w:val="single" w:sz="4" w:space="1" w:color="auto"/>
        </w:pBdr>
        <w:tabs>
          <w:tab w:val="left" w:pos="709"/>
        </w:tabs>
        <w:spacing w:after="0"/>
        <w:jc w:val="left"/>
        <w:rPr>
          <w:rFonts w:cs="Arial"/>
          <w:lang w:val="en-US" w:eastAsia="ja-JP"/>
        </w:rPr>
      </w:pPr>
      <w:r>
        <w:rPr>
          <w:rFonts w:cs="Arial" w:hint="eastAsia"/>
          <w:lang w:val="en-US" w:eastAsia="ja-JP"/>
        </w:rPr>
        <w:t>Sanya</w:t>
      </w:r>
      <w:r w:rsidR="00947941" w:rsidRPr="00863065">
        <w:rPr>
          <w:rFonts w:cs="Arial"/>
          <w:lang w:val="en-US" w:eastAsia="ja-JP"/>
        </w:rPr>
        <w:t xml:space="preserve">, </w:t>
      </w:r>
      <w:r>
        <w:rPr>
          <w:rFonts w:cs="Arial" w:hint="eastAsia"/>
          <w:lang w:val="en-US" w:eastAsia="ja-JP"/>
        </w:rPr>
        <w:t>China</w:t>
      </w:r>
    </w:p>
    <w:p w:rsidR="00DB7D65" w:rsidRPr="00863065" w:rsidRDefault="00DB7D65" w:rsidP="00DB7D65">
      <w:pPr>
        <w:pStyle w:val="af6"/>
        <w:pBdr>
          <w:bottom w:val="single" w:sz="4" w:space="1" w:color="auto"/>
        </w:pBdr>
        <w:tabs>
          <w:tab w:val="left" w:pos="709"/>
        </w:tabs>
        <w:spacing w:after="0"/>
        <w:jc w:val="left"/>
        <w:rPr>
          <w:rFonts w:cs="Arial"/>
          <w:lang w:val="en-US" w:eastAsia="ja-JP"/>
        </w:rPr>
      </w:pPr>
    </w:p>
    <w:p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433259">
        <w:rPr>
          <w:rFonts w:ascii="Arial" w:hAnsi="Arial" w:cs="Arial" w:hint="eastAsia"/>
          <w:b/>
          <w:sz w:val="24"/>
          <w:lang w:val="en-US" w:eastAsia="ja-JP"/>
        </w:rPr>
        <w:t>NTT DOCOMO, INC.</w:t>
      </w:r>
    </w:p>
    <w:p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542CA3">
        <w:rPr>
          <w:rFonts w:ascii="Arial" w:hAnsi="Arial" w:cs="Arial"/>
          <w:b/>
          <w:sz w:val="24"/>
        </w:rPr>
        <w:t>Capability type assessment</w:t>
      </w:r>
    </w:p>
    <w:p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C546BD">
        <w:rPr>
          <w:rFonts w:ascii="Arial" w:hAnsi="Arial" w:cs="Arial"/>
          <w:b/>
          <w:sz w:val="24"/>
          <w:lang w:eastAsia="ja-JP"/>
        </w:rPr>
        <w:t>10.4.4.2</w:t>
      </w:r>
      <w:r w:rsidR="00C546BD">
        <w:rPr>
          <w:rFonts w:ascii="Arial" w:hAnsi="Arial" w:cs="Arial"/>
          <w:b/>
          <w:sz w:val="24"/>
          <w:lang w:eastAsia="ja-JP"/>
        </w:rPr>
        <w:tab/>
      </w:r>
      <w:r w:rsidR="00C546BD" w:rsidRPr="00C546BD">
        <w:rPr>
          <w:rFonts w:ascii="Arial" w:hAnsi="Arial" w:cs="Arial"/>
          <w:b/>
          <w:sz w:val="24"/>
          <w:lang w:eastAsia="ja-JP"/>
        </w:rPr>
        <w:t>Corrections to UE capabilities for EN DC</w:t>
      </w:r>
    </w:p>
    <w:p w:rsidR="009F1C34" w:rsidRDefault="009479FA" w:rsidP="00BD7EED">
      <w:pPr>
        <w:pStyle w:val="2"/>
        <w:numPr>
          <w:ilvl w:val="0"/>
          <w:numId w:val="1"/>
        </w:numPr>
        <w:rPr>
          <w:rFonts w:cs="Arial"/>
          <w:lang w:eastAsia="ja-JP"/>
        </w:rPr>
      </w:pPr>
      <w:r w:rsidRPr="00863065">
        <w:rPr>
          <w:rFonts w:cs="Arial"/>
          <w:lang w:eastAsia="ja-JP"/>
        </w:rPr>
        <w:t>Introduction</w:t>
      </w:r>
    </w:p>
    <w:p w:rsidR="00404795" w:rsidRPr="00404795" w:rsidRDefault="00404795" w:rsidP="00404795">
      <w:pPr>
        <w:rPr>
          <w:lang w:eastAsia="ja-JP"/>
        </w:rPr>
      </w:pPr>
      <w:r>
        <w:rPr>
          <w:rFonts w:hint="eastAsia"/>
          <w:lang w:eastAsia="ja-JP"/>
        </w:rPr>
        <w:t xml:space="preserve">In version 15.1.0 of </w:t>
      </w:r>
      <w:r>
        <w:rPr>
          <w:lang w:eastAsia="ja-JP"/>
        </w:rPr>
        <w:t xml:space="preserve">TS </w:t>
      </w:r>
      <w:r>
        <w:rPr>
          <w:rFonts w:hint="eastAsia"/>
          <w:lang w:eastAsia="ja-JP"/>
        </w:rPr>
        <w:t>38.331</w:t>
      </w:r>
      <w:r>
        <w:rPr>
          <w:lang w:eastAsia="ja-JP"/>
        </w:rPr>
        <w:t xml:space="preserve">, UE capabilities on L1/RF/RRM features were implemented in accordance with RAN1/4 inputs [1, 2]. </w:t>
      </w:r>
      <w:r w:rsidR="0063123D">
        <w:rPr>
          <w:lang w:eastAsia="ja-JP"/>
        </w:rPr>
        <w:t xml:space="preserve">With regards to capabilities defined in BPC, it turned out that all of them were included as per-CC. This was due to the reasoning that there was no type 2 feature (i.e. defined into BPC only). Rather, there were lots of type 3 features (i.e. defined into both BPC and per-band). In fact, per-CC </w:t>
      </w:r>
      <w:r w:rsidR="00742BFE">
        <w:rPr>
          <w:lang w:eastAsia="ja-JP"/>
        </w:rPr>
        <w:t>capability in BPC makes the capability signalling prone to explode. This paper attempts to weigh up the rational of per-CC granularity for some of type 3 features.</w:t>
      </w:r>
    </w:p>
    <w:p w:rsidR="005852CD" w:rsidRDefault="00C30470" w:rsidP="00C30470">
      <w:pPr>
        <w:pStyle w:val="2"/>
        <w:numPr>
          <w:ilvl w:val="0"/>
          <w:numId w:val="2"/>
        </w:numPr>
        <w:rPr>
          <w:lang w:eastAsia="ja-JP"/>
        </w:rPr>
      </w:pPr>
      <w:r>
        <w:rPr>
          <w:rFonts w:hint="eastAsia"/>
          <w:lang w:eastAsia="ja-JP"/>
        </w:rPr>
        <w:t>Discussion</w:t>
      </w:r>
    </w:p>
    <w:p w:rsidR="00404795" w:rsidRDefault="00A62565" w:rsidP="00404795">
      <w:pPr>
        <w:rPr>
          <w:lang w:eastAsia="ja-JP"/>
        </w:rPr>
      </w:pPr>
      <w:r>
        <w:rPr>
          <w:rFonts w:hint="eastAsia"/>
          <w:lang w:eastAsia="ja-JP"/>
        </w:rPr>
        <w:t xml:space="preserve">According to the agreements so far in RAN2 and the inputs from RAN1/4, the following capabilities are </w:t>
      </w:r>
      <w:r>
        <w:rPr>
          <w:lang w:eastAsia="ja-JP"/>
        </w:rPr>
        <w:t>reasonable</w:t>
      </w:r>
      <w:r>
        <w:rPr>
          <w:rFonts w:hint="eastAsia"/>
          <w:lang w:eastAsia="ja-JP"/>
        </w:rPr>
        <w:t xml:space="preserve"> </w:t>
      </w:r>
      <w:r>
        <w:rPr>
          <w:lang w:eastAsia="ja-JP"/>
        </w:rPr>
        <w:t>to have the per-CC granularity in BPC (although some of them may be revisited):</w:t>
      </w:r>
    </w:p>
    <w:p w:rsidR="00A62565" w:rsidRDefault="00A62565" w:rsidP="00A62565">
      <w:pPr>
        <w:pStyle w:val="B1"/>
      </w:pPr>
      <w:r>
        <w:rPr>
          <w:rFonts w:hint="eastAsia"/>
        </w:rPr>
        <w:t>-</w:t>
      </w:r>
      <w:r>
        <w:rPr>
          <w:rFonts w:hint="eastAsia"/>
        </w:rPr>
        <w:tab/>
      </w:r>
      <w:r w:rsidRPr="007B6347">
        <w:rPr>
          <w:i/>
        </w:rPr>
        <w:t>supportedSubcarrierSpacingDL/UL</w:t>
      </w:r>
      <w:r>
        <w:t>;</w:t>
      </w:r>
    </w:p>
    <w:p w:rsidR="00A62565" w:rsidRDefault="00A62565" w:rsidP="00A62565">
      <w:pPr>
        <w:pStyle w:val="B1"/>
      </w:pPr>
      <w:r>
        <w:t>-</w:t>
      </w:r>
      <w:r>
        <w:tab/>
      </w:r>
      <w:r w:rsidRPr="007B6347">
        <w:rPr>
          <w:i/>
        </w:rPr>
        <w:t>supportedBandwidthDL/UL</w:t>
      </w:r>
      <w:r>
        <w:t>;</w:t>
      </w:r>
    </w:p>
    <w:p w:rsidR="00A62565" w:rsidRDefault="00A62565" w:rsidP="00A62565">
      <w:pPr>
        <w:pStyle w:val="B1"/>
      </w:pPr>
      <w:r>
        <w:t>-</w:t>
      </w:r>
      <w:r>
        <w:tab/>
      </w:r>
      <w:r w:rsidRPr="007B6347">
        <w:rPr>
          <w:i/>
        </w:rPr>
        <w:t>scalingFactor0dot75</w:t>
      </w:r>
      <w:r>
        <w:t>;</w:t>
      </w:r>
    </w:p>
    <w:p w:rsidR="00A62565" w:rsidRDefault="00A62565" w:rsidP="00A62565">
      <w:pPr>
        <w:pStyle w:val="B1"/>
      </w:pPr>
      <w:r>
        <w:t>-</w:t>
      </w:r>
      <w:r>
        <w:tab/>
      </w:r>
      <w:r w:rsidR="007B6347" w:rsidRPr="007B6347">
        <w:rPr>
          <w:i/>
        </w:rPr>
        <w:t>supportedModulationOrderDL/UL</w:t>
      </w:r>
      <w:r w:rsidR="007B6347">
        <w:t>;</w:t>
      </w:r>
    </w:p>
    <w:p w:rsidR="007B6347" w:rsidRDefault="007B6347" w:rsidP="00A62565">
      <w:pPr>
        <w:pStyle w:val="B1"/>
      </w:pPr>
      <w:r>
        <w:t>-</w:t>
      </w:r>
      <w:r>
        <w:tab/>
      </w:r>
      <w:r w:rsidRPr="007B6347">
        <w:rPr>
          <w:i/>
        </w:rPr>
        <w:t>maxNumberMIMO-LayersPDSCH</w:t>
      </w:r>
      <w:r>
        <w:t>;</w:t>
      </w:r>
    </w:p>
    <w:p w:rsidR="007B6347" w:rsidRDefault="007B6347" w:rsidP="00A62565">
      <w:pPr>
        <w:pStyle w:val="B1"/>
      </w:pPr>
      <w:r>
        <w:t>-</w:t>
      </w:r>
      <w:r>
        <w:tab/>
      </w:r>
      <w:r w:rsidRPr="007B6347">
        <w:rPr>
          <w:i/>
        </w:rPr>
        <w:t>maxNumberMIMO-Layers(Non)CB-PUSCH</w:t>
      </w:r>
      <w:r>
        <w:t>.</w:t>
      </w:r>
    </w:p>
    <w:p w:rsidR="00A62565" w:rsidRDefault="007B6347" w:rsidP="00404795">
      <w:pPr>
        <w:rPr>
          <w:lang w:eastAsia="ja-JP"/>
        </w:rPr>
      </w:pPr>
      <w:r>
        <w:rPr>
          <w:rFonts w:hint="eastAsia"/>
          <w:lang w:eastAsia="ja-JP"/>
        </w:rPr>
        <w:t xml:space="preserve">This paper does not attempt to revisit these features. </w:t>
      </w:r>
      <w:r>
        <w:rPr>
          <w:lang w:eastAsia="ja-JP"/>
        </w:rPr>
        <w:t>With regards to the following type 3 features relevant to numerologies:</w:t>
      </w:r>
    </w:p>
    <w:p w:rsidR="007B6347" w:rsidRPr="007B6347" w:rsidRDefault="007B6347" w:rsidP="007B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7B6347">
        <w:rPr>
          <w:rFonts w:ascii="Courier New" w:eastAsia="Malgun Gothic" w:hAnsi="Courier New"/>
          <w:noProof/>
          <w:color w:val="808080"/>
          <w:sz w:val="16"/>
          <w:lang w:eastAsia="sv-SE"/>
        </w:rPr>
        <w:t>-- R1 6-8: Different numerology across PUCCH groups</w:t>
      </w:r>
    </w:p>
    <w:p w:rsidR="007B6347" w:rsidRPr="007B6347" w:rsidRDefault="007B6347" w:rsidP="007B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7B6347">
        <w:rPr>
          <w:rFonts w:ascii="Courier New" w:eastAsia="Malgun Gothic" w:hAnsi="Courier New"/>
          <w:noProof/>
          <w:sz w:val="16"/>
          <w:lang w:eastAsia="sv-SE"/>
        </w:rPr>
        <w:tab/>
        <w:t>diffNumerologyAcrossPUCCH-Group</w:t>
      </w:r>
      <w:r w:rsidRPr="007B6347">
        <w:rPr>
          <w:rFonts w:ascii="Courier New" w:eastAsia="Malgun Gothic" w:hAnsi="Courier New"/>
          <w:noProof/>
          <w:sz w:val="16"/>
          <w:lang w:eastAsia="sv-SE"/>
        </w:rPr>
        <w:tab/>
      </w:r>
      <w:r w:rsidRPr="007B6347">
        <w:rPr>
          <w:rFonts w:ascii="Courier New" w:eastAsia="Batang" w:hAnsi="Courier New"/>
          <w:noProof/>
          <w:color w:val="993366"/>
          <w:sz w:val="16"/>
          <w:lang w:eastAsia="sv-SE"/>
        </w:rPr>
        <w:t>ENUMERATED</w:t>
      </w:r>
      <w:r w:rsidRPr="007B6347">
        <w:rPr>
          <w:rFonts w:ascii="Courier New" w:eastAsia="Batang" w:hAnsi="Courier New"/>
          <w:noProof/>
          <w:sz w:val="16"/>
          <w:lang w:eastAsia="ja-JP"/>
        </w:rPr>
        <w:t xml:space="preserve"> {supported}</w:t>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color w:val="993366"/>
          <w:sz w:val="16"/>
          <w:lang w:eastAsia="sv-SE"/>
        </w:rPr>
        <w:t>OPTIONAL</w:t>
      </w:r>
      <w:r w:rsidRPr="007B6347">
        <w:rPr>
          <w:rFonts w:ascii="Courier New" w:eastAsia="Batang" w:hAnsi="Courier New"/>
          <w:noProof/>
          <w:sz w:val="16"/>
          <w:lang w:eastAsia="ja-JP"/>
        </w:rPr>
        <w:t>,</w:t>
      </w:r>
    </w:p>
    <w:p w:rsidR="007B6347" w:rsidRPr="007B6347" w:rsidRDefault="007B6347" w:rsidP="007B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7B6347">
        <w:rPr>
          <w:rFonts w:ascii="Courier New" w:eastAsia="Malgun Gothic" w:hAnsi="Courier New"/>
          <w:noProof/>
          <w:color w:val="808080"/>
          <w:sz w:val="16"/>
          <w:lang w:eastAsia="sv-SE"/>
        </w:rPr>
        <w:t>-- R1 6-9: Different numerologies across carriers within the same PUCCH group</w:t>
      </w:r>
    </w:p>
    <w:p w:rsidR="007B6347" w:rsidRPr="007B6347" w:rsidRDefault="007B6347" w:rsidP="007B6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7B6347">
        <w:rPr>
          <w:rFonts w:ascii="Courier New" w:eastAsia="Malgun Gothic" w:hAnsi="Courier New"/>
          <w:noProof/>
          <w:sz w:val="16"/>
          <w:lang w:eastAsia="sv-SE"/>
        </w:rPr>
        <w:tab/>
        <w:t>diffNumerologyWithinPUCCH-Group</w:t>
      </w:r>
      <w:r w:rsidRPr="007B6347">
        <w:rPr>
          <w:rFonts w:ascii="Courier New" w:eastAsia="Malgun Gothic" w:hAnsi="Courier New"/>
          <w:noProof/>
          <w:sz w:val="16"/>
          <w:lang w:eastAsia="sv-SE"/>
        </w:rPr>
        <w:tab/>
      </w:r>
      <w:r w:rsidRPr="007B6347">
        <w:rPr>
          <w:rFonts w:ascii="Courier New" w:eastAsia="Batang" w:hAnsi="Courier New"/>
          <w:noProof/>
          <w:color w:val="993366"/>
          <w:sz w:val="16"/>
          <w:lang w:eastAsia="sv-SE"/>
        </w:rPr>
        <w:t>ENUMERATED</w:t>
      </w:r>
      <w:r w:rsidRPr="007B6347">
        <w:rPr>
          <w:rFonts w:ascii="Courier New" w:eastAsia="Batang" w:hAnsi="Courier New"/>
          <w:noProof/>
          <w:sz w:val="16"/>
          <w:lang w:eastAsia="ja-JP"/>
        </w:rPr>
        <w:t xml:space="preserve"> {supported}</w:t>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sz w:val="16"/>
          <w:lang w:eastAsia="ja-JP"/>
        </w:rPr>
        <w:tab/>
      </w:r>
      <w:r w:rsidRPr="007B6347">
        <w:rPr>
          <w:rFonts w:ascii="Courier New" w:eastAsia="Batang" w:hAnsi="Courier New"/>
          <w:noProof/>
          <w:color w:val="993366"/>
          <w:sz w:val="16"/>
          <w:lang w:eastAsia="sv-SE"/>
        </w:rPr>
        <w:t>OPTIONAL</w:t>
      </w:r>
      <w:r w:rsidRPr="007B6347">
        <w:rPr>
          <w:rFonts w:ascii="Courier New" w:eastAsia="Batang" w:hAnsi="Courier New"/>
          <w:noProof/>
          <w:sz w:val="16"/>
          <w:lang w:eastAsia="ja-JP"/>
        </w:rPr>
        <w:t>,</w:t>
      </w:r>
    </w:p>
    <w:p w:rsidR="007B6347" w:rsidRDefault="007B6347" w:rsidP="00404795">
      <w:pPr>
        <w:rPr>
          <w:lang w:eastAsia="ja-JP"/>
        </w:rPr>
      </w:pPr>
    </w:p>
    <w:p w:rsidR="007B6347" w:rsidRDefault="007B6347" w:rsidP="00404795">
      <w:pPr>
        <w:rPr>
          <w:lang w:eastAsia="ja-JP"/>
        </w:rPr>
      </w:pPr>
      <w:r>
        <w:rPr>
          <w:lang w:eastAsia="ja-JP"/>
        </w:rPr>
        <w:t xml:space="preserve">There seems a rationale as the capability of simultaneous Tx/Rx with the same or different numerology (#2-2 in [2]) is expressed by </w:t>
      </w:r>
      <w:r w:rsidR="00C31238">
        <w:rPr>
          <w:lang w:eastAsia="ja-JP"/>
        </w:rPr>
        <w:t>the combination of SCS in BPC. Each baseband parameters per CC includes supported SCS. The presence of absence of the above two capabilities implies that different numerology across or within PUCCH group is supported for a given SCS.</w:t>
      </w:r>
    </w:p>
    <w:p w:rsidR="007B6347" w:rsidRDefault="00E04A4B" w:rsidP="00404795">
      <w:pPr>
        <w:rPr>
          <w:lang w:eastAsia="ja-JP"/>
        </w:rPr>
      </w:pPr>
      <w:r>
        <w:rPr>
          <w:rFonts w:hint="eastAsia"/>
          <w:lang w:eastAsia="ja-JP"/>
        </w:rPr>
        <w:t xml:space="preserve">In contrast, the other type 3 capabilities below are </w:t>
      </w:r>
      <w:r>
        <w:rPr>
          <w:lang w:eastAsia="ja-JP"/>
        </w:rPr>
        <w:t>worthwhile</w:t>
      </w:r>
      <w:r>
        <w:rPr>
          <w:rFonts w:hint="eastAsia"/>
          <w:lang w:eastAsia="ja-JP"/>
        </w:rPr>
        <w:t xml:space="preserve"> </w:t>
      </w:r>
      <w:r>
        <w:rPr>
          <w:lang w:eastAsia="ja-JP"/>
        </w:rPr>
        <w:t>discussing:</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 xml:space="preserve">BasebandParametersPerCC-DL ::= </w:t>
      </w:r>
      <w:r w:rsidRPr="00E04A4B">
        <w:rPr>
          <w:rFonts w:ascii="Courier New" w:eastAsia="Batang" w:hAnsi="Courier New"/>
          <w:noProof/>
          <w:color w:val="993366"/>
          <w:sz w:val="16"/>
          <w:lang w:eastAsia="sv-SE"/>
        </w:rPr>
        <w:t>SEQUENCE</w:t>
      </w:r>
      <w:r w:rsidRPr="00E04A4B">
        <w:rPr>
          <w:rFonts w:ascii="Courier New" w:eastAsia="Malgun Gothic" w:hAnsi="Courier New"/>
          <w:noProof/>
          <w:sz w:val="16"/>
          <w:lang w:eastAsia="sv-SE"/>
        </w:rPr>
        <w:t xml:space="preserve"> {</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color w:val="808080"/>
          <w:sz w:val="16"/>
          <w:lang w:eastAsia="ja-JP"/>
        </w:rPr>
      </w:pPr>
      <w:r w:rsidRPr="00E04A4B">
        <w:rPr>
          <w:rFonts w:ascii="Courier New" w:eastAsia="游明朝" w:hAnsi="Courier New"/>
          <w:noProof/>
          <w:color w:val="808080"/>
          <w:sz w:val="16"/>
          <w:lang w:eastAsia="ja-JP"/>
        </w:rPr>
        <w:t>-- R1 2-2: PDSCH beam switching</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sz w:val="16"/>
          <w:lang w:eastAsia="ja-JP"/>
        </w:rPr>
      </w:pPr>
      <w:r w:rsidRPr="00E04A4B">
        <w:rPr>
          <w:rFonts w:ascii="Courier New" w:eastAsia="游明朝" w:hAnsi="Courier New"/>
          <w:noProof/>
          <w:sz w:val="16"/>
          <w:lang w:eastAsia="ja-JP"/>
        </w:rPr>
        <w:tab/>
        <w:t>timeDurationForQCL</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SEQUENCE</w:t>
      </w:r>
      <w:r w:rsidRPr="00E04A4B">
        <w:rPr>
          <w:rFonts w:ascii="Courier New" w:eastAsia="游明朝" w:hAnsi="Courier New"/>
          <w:noProof/>
          <w:sz w:val="16"/>
          <w:lang w:eastAsia="ja-JP"/>
        </w:rPr>
        <w:t xml:space="preserve"> {</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sz w:val="16"/>
          <w:lang w:eastAsia="ja-JP"/>
        </w:rPr>
      </w:pP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t>scs-60kHz</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游明朝" w:hAnsi="Courier New"/>
          <w:noProof/>
          <w:sz w:val="16"/>
          <w:lang w:eastAsia="ja-JP"/>
        </w:rPr>
        <w:t xml:space="preserve"> {s7, s14, s28}</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sz w:val="16"/>
          <w:lang w:eastAsia="ja-JP"/>
        </w:rPr>
      </w:pP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t>sch-120kHz</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游明朝" w:hAnsi="Courier New"/>
          <w:noProof/>
          <w:sz w:val="16"/>
          <w:lang w:eastAsia="ja-JP"/>
        </w:rPr>
        <w:t xml:space="preserve"> {s14, s28}</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sz w:val="16"/>
          <w:lang w:eastAsia="ja-JP"/>
        </w:rPr>
      </w:pPr>
      <w:r w:rsidRPr="00E04A4B">
        <w:rPr>
          <w:rFonts w:ascii="Courier New" w:eastAsia="游明朝" w:hAnsi="Courier New"/>
          <w:noProof/>
          <w:sz w:val="16"/>
          <w:lang w:eastAsia="ja-JP"/>
        </w:rPr>
        <w:tab/>
        <w:t>}</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color w:val="808080"/>
          <w:sz w:val="16"/>
          <w:lang w:eastAsia="ja-JP"/>
        </w:rPr>
      </w:pPr>
      <w:r w:rsidRPr="00E04A4B">
        <w:rPr>
          <w:rFonts w:ascii="Courier New" w:eastAsia="游明朝" w:hAnsi="Courier New"/>
          <w:noProof/>
          <w:color w:val="808080"/>
          <w:sz w:val="16"/>
          <w:lang w:eastAsia="ja-JP"/>
        </w:rPr>
        <w:t>-- R1 1-10: Support of SCell without SS/PBCH block</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sz w:val="16"/>
          <w:lang w:eastAsia="ja-JP"/>
        </w:rPr>
      </w:pPr>
      <w:r w:rsidRPr="00E04A4B">
        <w:rPr>
          <w:rFonts w:ascii="Courier New" w:eastAsia="游明朝" w:hAnsi="Courier New"/>
          <w:noProof/>
          <w:sz w:val="16"/>
          <w:lang w:eastAsia="ja-JP"/>
        </w:rPr>
        <w:tab/>
        <w:t>scellWithoutSSB</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游明朝" w:hAnsi="Courier New"/>
          <w:noProof/>
          <w:sz w:val="16"/>
          <w:lang w:eastAsia="ja-JP"/>
        </w:rPr>
        <w:t xml:space="preserve"> {supported}</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color w:val="808080"/>
          <w:sz w:val="16"/>
          <w:lang w:eastAsia="ja-JP"/>
        </w:rPr>
      </w:pPr>
      <w:r w:rsidRPr="00E04A4B">
        <w:rPr>
          <w:rFonts w:ascii="Courier New" w:eastAsia="游明朝" w:hAnsi="Courier New"/>
          <w:noProof/>
          <w:color w:val="808080"/>
          <w:sz w:val="16"/>
          <w:lang w:eastAsia="ja-JP"/>
        </w:rPr>
        <w:t>-- R1 1-11: Support of CSI-RS RRM measurement for SCell without SS/PBCH block</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sz w:val="16"/>
          <w:lang w:eastAsia="ja-JP"/>
        </w:rPr>
      </w:pPr>
      <w:r w:rsidRPr="00E04A4B">
        <w:rPr>
          <w:rFonts w:ascii="Courier New" w:eastAsia="游明朝" w:hAnsi="Courier New"/>
          <w:noProof/>
          <w:sz w:val="16"/>
          <w:lang w:eastAsia="ja-JP"/>
        </w:rPr>
        <w:tab/>
        <w:t>csi-RS-MeasSCellWithoutSSB</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游明朝" w:hAnsi="Courier New"/>
          <w:noProof/>
          <w:sz w:val="16"/>
          <w:lang w:eastAsia="ja-JP"/>
        </w:rPr>
        <w:t xml:space="preserve"> {supported}</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color w:val="808080"/>
          <w:sz w:val="16"/>
          <w:lang w:eastAsia="ja-JP"/>
        </w:rPr>
      </w:pPr>
      <w:r w:rsidRPr="00E04A4B">
        <w:rPr>
          <w:rFonts w:ascii="Courier New" w:eastAsia="游明朝" w:hAnsi="Courier New"/>
          <w:noProof/>
          <w:color w:val="808080"/>
          <w:sz w:val="16"/>
          <w:lang w:eastAsia="ja-JP"/>
        </w:rPr>
        <w:t>-- R1 2-15a: Association between CSI-RS and SRS</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sz w:val="16"/>
          <w:lang w:eastAsia="ja-JP"/>
        </w:rPr>
      </w:pPr>
      <w:r w:rsidRPr="00E04A4B">
        <w:rPr>
          <w:rFonts w:ascii="Courier New" w:eastAsia="游明朝" w:hAnsi="Courier New"/>
          <w:noProof/>
          <w:sz w:val="16"/>
          <w:lang w:eastAsia="ja-JP"/>
        </w:rPr>
        <w:tab/>
        <w:t>srs-AssocCSI-RS</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游明朝" w:hAnsi="Courier New"/>
          <w:noProof/>
          <w:sz w:val="16"/>
          <w:lang w:eastAsia="ja-JP"/>
        </w:rPr>
        <w:t xml:space="preserve"> {supported}</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E04A4B">
        <w:rPr>
          <w:rFonts w:ascii="Courier New" w:eastAsia="Batang" w:hAnsi="Courier New"/>
          <w:noProof/>
          <w:color w:val="808080"/>
          <w:sz w:val="16"/>
          <w:lang w:eastAsia="ja-JP"/>
        </w:rPr>
        <w:lastRenderedPageBreak/>
        <w:t xml:space="preserve">-- </w:t>
      </w:r>
      <w:r w:rsidRPr="00E04A4B">
        <w:rPr>
          <w:rFonts w:ascii="Courier New" w:eastAsia="游明朝" w:hAnsi="Courier New"/>
          <w:noProof/>
          <w:color w:val="808080"/>
          <w:sz w:val="16"/>
          <w:lang w:eastAsia="ja-JP"/>
        </w:rPr>
        <w:t xml:space="preserve">R1 </w:t>
      </w:r>
      <w:r w:rsidRPr="00E04A4B">
        <w:rPr>
          <w:rFonts w:ascii="Courier New" w:eastAsia="Batang" w:hAnsi="Courier New"/>
          <w:noProof/>
          <w:color w:val="808080"/>
          <w:sz w:val="16"/>
          <w:lang w:eastAsia="ja-JP"/>
        </w:rPr>
        <w:t>3-1a: For type 1 CSS with dedicated RRC configuration and for type 3 CSS, UE specific SS, CORESET resource allocation of 6RB bit-map and duration 3 OFDM symbols for FR2</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E04A4B">
        <w:rPr>
          <w:rFonts w:ascii="Courier New" w:eastAsia="Batang" w:hAnsi="Courier New"/>
          <w:noProof/>
          <w:sz w:val="16"/>
          <w:lang w:eastAsia="ja-JP"/>
        </w:rPr>
        <w:tab/>
        <w:t>type1-3-CSS</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游明朝" w:hAnsi="Courier New"/>
          <w:noProof/>
          <w:sz w:val="16"/>
          <w:lang w:eastAsia="ja-JP"/>
        </w:rPr>
        <w:t xml:space="preserve"> {supported}</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E04A4B">
        <w:rPr>
          <w:rFonts w:ascii="Courier New" w:eastAsia="Batang" w:hAnsi="Courier New"/>
          <w:noProof/>
          <w:color w:val="808080"/>
          <w:sz w:val="16"/>
          <w:lang w:eastAsia="ja-JP"/>
        </w:rPr>
        <w:t>-- R1 3-5 &amp; 3-5a: For type 1 with dedicated RRC configuration, type 3, and UE-SS,, monitoring occasion can be any OFDM symbol(s) of a slot for Case 2 (with a DCI gap)</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E04A4B">
        <w:rPr>
          <w:rFonts w:ascii="Courier New" w:eastAsia="Batang" w:hAnsi="Courier New"/>
          <w:noProof/>
          <w:sz w:val="16"/>
          <w:lang w:eastAsia="ja-JP"/>
        </w:rPr>
        <w:tab/>
        <w:t>pdcchMonitoringAnyOccasions</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{withoutDCI-gap, withDCI-gap}</w:t>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Batang"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E04A4B">
        <w:rPr>
          <w:rFonts w:ascii="Courier New" w:eastAsia="Batang" w:hAnsi="Courier New"/>
          <w:noProof/>
          <w:color w:val="808080"/>
          <w:sz w:val="16"/>
          <w:lang w:eastAsia="ja-JP"/>
        </w:rPr>
        <w:t>-- R1 5-1a: UE specific RRC configure UL/DL assignment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ue-SpecificUL-DL-Assignment</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{supported}</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Batang"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E04A4B">
        <w:rPr>
          <w:rFonts w:ascii="Courier New" w:eastAsia="Malgun Gothic" w:hAnsi="Courier New"/>
          <w:noProof/>
          <w:color w:val="808080"/>
          <w:sz w:val="16"/>
          <w:lang w:eastAsia="sv-SE"/>
        </w:rPr>
        <w:t>-- R1 5-11 &amp; 5-11a: Up to 2/7 unicast PDSCHs per slot for different TBs</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pdsch-DifferentTB-PerSlot</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SEQUENCE</w:t>
      </w:r>
      <w:r w:rsidRPr="00E04A4B">
        <w:rPr>
          <w:rFonts w:ascii="Courier New" w:eastAsia="Malgun Gothic" w:hAnsi="Courier New"/>
          <w:noProof/>
          <w:sz w:val="16"/>
          <w:lang w:eastAsia="sv-SE"/>
        </w:rPr>
        <w:t xml:space="preserve"> {</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t>scs-15kHz</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{upto2, upto7}</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t>scs-30kHz</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{upto2, upto7}</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t>scs-60kHz</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{upto2, upto7}</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t>scs-120kHz</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{upto2, upto7}</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E04A4B">
        <w:rPr>
          <w:rFonts w:ascii="Courier New" w:eastAsia="Malgun Gothic" w:hAnsi="Courier New"/>
          <w:noProof/>
          <w:color w:val="808080"/>
          <w:sz w:val="16"/>
          <w:lang w:eastAsia="sv-SE"/>
        </w:rPr>
        <w:t>-- R1 6-10: Cross carrier scheduling</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crossCarrierScheduling</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{supported}</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Batang"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E04A4B">
        <w:rPr>
          <w:rFonts w:ascii="Courier New" w:eastAsia="Batang" w:hAnsi="Courier New"/>
          <w:noProof/>
          <w:color w:val="808080"/>
          <w:sz w:val="16"/>
          <w:lang w:eastAsia="ja-JP"/>
        </w:rPr>
        <w:t>-- R1 6-21: DL search space sharing for CA</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E04A4B">
        <w:rPr>
          <w:rFonts w:ascii="Courier New" w:eastAsia="Batang" w:hAnsi="Courier New"/>
          <w:noProof/>
          <w:sz w:val="16"/>
          <w:lang w:eastAsia="ja-JP"/>
        </w:rPr>
        <w:tab/>
        <w:t>searchSpaceSharingCA-DL</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{supported}</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p>
    <w:p w:rsid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 xml:space="preserve">BasebandParametersPerCC-UL ::= </w:t>
      </w:r>
      <w:r w:rsidRPr="00E04A4B">
        <w:rPr>
          <w:rFonts w:ascii="Courier New" w:eastAsia="Batang" w:hAnsi="Courier New"/>
          <w:noProof/>
          <w:color w:val="993366"/>
          <w:sz w:val="16"/>
          <w:lang w:eastAsia="sv-SE"/>
        </w:rPr>
        <w:t>SEQUENCE</w:t>
      </w:r>
      <w:r w:rsidRPr="00E04A4B">
        <w:rPr>
          <w:rFonts w:ascii="Courier New" w:eastAsia="Malgun Gothic" w:hAnsi="Courier New"/>
          <w:noProof/>
          <w:sz w:val="16"/>
          <w:lang w:eastAsia="sv-SE"/>
        </w:rPr>
        <w:t xml:space="preserve"> {</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color w:val="808080"/>
          <w:sz w:val="16"/>
          <w:lang w:eastAsia="ja-JP"/>
        </w:rPr>
      </w:pPr>
      <w:r w:rsidRPr="00E04A4B">
        <w:rPr>
          <w:rFonts w:ascii="Courier New" w:eastAsia="游明朝" w:hAnsi="Courier New"/>
          <w:noProof/>
          <w:color w:val="808080"/>
          <w:sz w:val="16"/>
          <w:lang w:eastAsia="ja-JP"/>
        </w:rPr>
        <w:t>-- R1 2-53: SRS resources</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E04A4B">
        <w:rPr>
          <w:rFonts w:ascii="Courier New" w:eastAsia="游明朝" w:hAnsi="Courier New"/>
          <w:noProof/>
          <w:sz w:val="16"/>
          <w:lang w:eastAsia="ja-JP"/>
        </w:rPr>
        <w:tab/>
        <w:t>supportedSRS-Resources</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t>SRS-Resources</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color w:val="808080"/>
          <w:sz w:val="16"/>
          <w:lang w:eastAsia="ja-JP"/>
        </w:rPr>
      </w:pPr>
      <w:r w:rsidRPr="00E04A4B">
        <w:rPr>
          <w:rFonts w:ascii="Courier New" w:eastAsia="游明朝" w:hAnsi="Courier New"/>
          <w:noProof/>
          <w:color w:val="808080"/>
          <w:sz w:val="16"/>
          <w:lang w:eastAsia="ja-JP"/>
        </w:rPr>
        <w:t>-- R1 2-55: SRS Tx switch</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Times New Roman" w:hAnsi="Courier New"/>
          <w:noProof/>
          <w:sz w:val="16"/>
          <w:lang w:eastAsia="ja-JP"/>
        </w:rPr>
      </w:pPr>
      <w:r w:rsidRPr="00E04A4B">
        <w:rPr>
          <w:rFonts w:ascii="Courier New" w:eastAsia="Batang" w:hAnsi="Courier New"/>
          <w:noProof/>
          <w:sz w:val="16"/>
          <w:lang w:eastAsia="sv-SE"/>
        </w:rPr>
        <w:tab/>
      </w:r>
      <w:r w:rsidRPr="00E04A4B">
        <w:rPr>
          <w:rFonts w:ascii="Courier New" w:eastAsia="游明朝" w:hAnsi="Courier New"/>
          <w:noProof/>
          <w:sz w:val="16"/>
          <w:lang w:eastAsia="ja-JP"/>
        </w:rPr>
        <w:t>srs-TxSwitch</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t>SRS-TxSwitch</w:t>
      </w:r>
      <w:r w:rsidRPr="00E04A4B">
        <w:rPr>
          <w:rFonts w:ascii="Courier New" w:eastAsia="Batang" w:hAnsi="Courier New"/>
          <w:noProof/>
          <w:sz w:val="16"/>
          <w:lang w:eastAsia="sv-SE"/>
        </w:rPr>
        <w:tab/>
      </w:r>
      <w:r w:rsidRPr="00E04A4B">
        <w:rPr>
          <w:rFonts w:ascii="Courier New" w:eastAsia="Batang" w:hAnsi="Courier New"/>
          <w:noProof/>
          <w:sz w:val="16"/>
          <w:lang w:eastAsia="sv-SE"/>
        </w:rPr>
        <w:tab/>
      </w:r>
      <w:r w:rsidRPr="00E04A4B">
        <w:rPr>
          <w:rFonts w:ascii="Courier New" w:eastAsia="Batang" w:hAnsi="Courier New"/>
          <w:noProof/>
          <w:sz w:val="16"/>
          <w:lang w:eastAsia="sv-SE"/>
        </w:rPr>
        <w:tab/>
      </w:r>
      <w:r w:rsidRPr="00E04A4B">
        <w:rPr>
          <w:rFonts w:ascii="Courier New" w:eastAsia="Batang" w:hAnsi="Courier New"/>
          <w:noProof/>
          <w:sz w:val="16"/>
          <w:lang w:eastAsia="sv-SE"/>
        </w:rPr>
        <w:tab/>
      </w:r>
      <w:r w:rsidRPr="00E04A4B">
        <w:rPr>
          <w:rFonts w:ascii="Courier New" w:eastAsia="Batang" w:hAnsi="Courier New"/>
          <w:noProof/>
          <w:sz w:val="16"/>
          <w:lang w:eastAsia="sv-SE"/>
        </w:rPr>
        <w:tab/>
      </w:r>
      <w:r w:rsidRPr="00E04A4B">
        <w:rPr>
          <w:rFonts w:ascii="Courier New" w:eastAsia="Batang" w:hAnsi="Courier New"/>
          <w:noProof/>
          <w:sz w:val="16"/>
          <w:lang w:eastAsia="sv-SE"/>
        </w:rPr>
        <w:tab/>
      </w:r>
      <w:r w:rsidRPr="00E04A4B">
        <w:rPr>
          <w:rFonts w:ascii="Courier New" w:eastAsia="Batang" w:hAnsi="Courier New"/>
          <w:noProof/>
          <w:sz w:val="16"/>
          <w:lang w:eastAsia="sv-SE"/>
        </w:rPr>
        <w:tab/>
      </w:r>
      <w:r w:rsidRPr="00E04A4B">
        <w:rPr>
          <w:rFonts w:ascii="Courier New" w:eastAsia="Batang" w:hAnsi="Courier New"/>
          <w:noProof/>
          <w:sz w:val="16"/>
          <w:lang w:eastAsia="sv-SE"/>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color w:val="808080"/>
          <w:sz w:val="16"/>
          <w:lang w:eastAsia="ja-JP"/>
        </w:rPr>
      </w:pPr>
      <w:r w:rsidRPr="00E04A4B">
        <w:rPr>
          <w:rFonts w:ascii="Courier New" w:eastAsia="游明朝" w:hAnsi="Courier New"/>
          <w:noProof/>
          <w:color w:val="808080"/>
          <w:sz w:val="16"/>
          <w:lang w:eastAsia="ja-JP"/>
        </w:rPr>
        <w:t>-- R1 2-57: Support low latency CSI feedback</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游明朝" w:hAnsi="Courier New"/>
          <w:noProof/>
          <w:sz w:val="16"/>
          <w:lang w:eastAsia="ja-JP"/>
        </w:rPr>
      </w:pPr>
      <w:r w:rsidRPr="00E04A4B">
        <w:rPr>
          <w:rFonts w:ascii="Courier New" w:eastAsia="游明朝" w:hAnsi="Courier New"/>
          <w:noProof/>
          <w:sz w:val="16"/>
          <w:lang w:eastAsia="ja-JP"/>
        </w:rPr>
        <w:tab/>
        <w:t>lowLatencyCSI-Feedback</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游明朝" w:hAnsi="Courier New"/>
          <w:noProof/>
          <w:sz w:val="16"/>
          <w:lang w:eastAsia="ja-JP"/>
        </w:rPr>
        <w:t xml:space="preserve"> {supported}</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游明朝"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E04A4B">
        <w:rPr>
          <w:rFonts w:ascii="Courier New" w:eastAsia="Malgun Gothic" w:hAnsi="Courier New"/>
          <w:noProof/>
          <w:color w:val="808080"/>
          <w:sz w:val="16"/>
          <w:lang w:eastAsia="sv-SE"/>
        </w:rPr>
        <w:t>-- R1 5-12 &amp; 5-12a: Up to 2/7 PUSCHs per slot for different TBs</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pusch-DifferentTB-PerSlot</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SEQUENCE</w:t>
      </w:r>
      <w:r w:rsidRPr="00E04A4B">
        <w:rPr>
          <w:rFonts w:ascii="Courier New" w:eastAsia="Malgun Gothic" w:hAnsi="Courier New"/>
          <w:noProof/>
          <w:sz w:val="16"/>
          <w:lang w:eastAsia="sv-SE"/>
        </w:rPr>
        <w:t xml:space="preserve"> {</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t>scs-15kHz</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{upto2, upto7}</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t>scs-30kHz</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{upto2, upto7}</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t>scs-60kHz</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{upto2, upto7}</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t>scs-120kHz</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{upto2, upto7}</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E04A4B">
        <w:rPr>
          <w:rFonts w:ascii="Courier New" w:eastAsia="Malgun Gothic" w:hAnsi="Courier New"/>
          <w:noProof/>
          <w:color w:val="808080"/>
          <w:sz w:val="16"/>
          <w:lang w:eastAsia="sv-SE"/>
        </w:rPr>
        <w:t>-- R1 6-7: Two PUCCH group</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twoPUCCH-Group</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{supported}</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Batang"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E04A4B">
        <w:rPr>
          <w:rFonts w:ascii="Courier New" w:eastAsia="Malgun Gothic" w:hAnsi="Courier New"/>
          <w:noProof/>
          <w:color w:val="808080"/>
          <w:sz w:val="16"/>
          <w:lang w:eastAsia="sv-SE"/>
        </w:rPr>
        <w:t>-- R1 6-10: Cross carrier scheduling</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crossCarrierScheduling</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{supported}</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Batang"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E04A4B">
        <w:rPr>
          <w:rFonts w:ascii="Courier New" w:eastAsia="Malgun Gothic" w:hAnsi="Courier New"/>
          <w:noProof/>
          <w:color w:val="808080"/>
          <w:sz w:val="16"/>
          <w:lang w:eastAsia="sv-SE"/>
        </w:rPr>
        <w:t>-- R1 6-11: Number of supported TAGs</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ab/>
        <w:t>supportedNumberTAG</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Malgun Gothic" w:hAnsi="Courier New"/>
          <w:noProof/>
          <w:sz w:val="16"/>
          <w:lang w:eastAsia="sv-SE"/>
        </w:rPr>
        <w:t xml:space="preserve"> {n2, n3, n4}</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OPTIONAL</w:t>
      </w:r>
      <w:r w:rsidRPr="00E04A4B">
        <w:rPr>
          <w:rFonts w:ascii="Courier New" w:eastAsia="Malgun Gothic" w:hAnsi="Courier New"/>
          <w:noProof/>
          <w:sz w:val="16"/>
          <w:lang w:eastAsia="sv-SE"/>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E04A4B">
        <w:rPr>
          <w:rFonts w:ascii="Courier New" w:eastAsia="Batang" w:hAnsi="Courier New"/>
          <w:noProof/>
          <w:color w:val="808080"/>
          <w:sz w:val="16"/>
          <w:lang w:eastAsia="ja-JP"/>
        </w:rPr>
        <w:t>-- R1 6-18: Supplemental uplink with dynamic switch</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E04A4B">
        <w:rPr>
          <w:rFonts w:ascii="Courier New" w:eastAsia="Batang" w:hAnsi="Courier New"/>
          <w:noProof/>
          <w:sz w:val="16"/>
          <w:lang w:eastAsia="ja-JP"/>
        </w:rPr>
        <w:tab/>
        <w:t>dynamicSwitchSUL</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{supported}</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Batang"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E04A4B">
        <w:rPr>
          <w:rFonts w:ascii="Courier New" w:eastAsia="Batang" w:hAnsi="Courier New"/>
          <w:noProof/>
          <w:color w:val="808080"/>
          <w:sz w:val="16"/>
          <w:lang w:eastAsia="ja-JP"/>
        </w:rPr>
        <w:t>-- R1 6-19: Simultaneous transmission of SRS on an SUL/non-SUL carrier and PUSCH/PUCCH/SRS/PRACH on the other UL carrier in the same cell</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E04A4B">
        <w:rPr>
          <w:rFonts w:ascii="Courier New" w:eastAsia="Batang" w:hAnsi="Courier New"/>
          <w:noProof/>
          <w:color w:val="808080"/>
          <w:sz w:val="16"/>
          <w:lang w:eastAsia="ja-JP"/>
        </w:rPr>
        <w:t>-- Details on the channel/signal combination are to be described in TS 38.306</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r w:rsidRPr="00E04A4B">
        <w:rPr>
          <w:rFonts w:ascii="Courier New" w:eastAsia="Batang" w:hAnsi="Courier New"/>
          <w:noProof/>
          <w:sz w:val="16"/>
          <w:lang w:eastAsia="ja-JP"/>
        </w:rPr>
        <w:tab/>
      </w:r>
      <w:r w:rsidRPr="00E04A4B">
        <w:rPr>
          <w:rFonts w:ascii="Courier New" w:eastAsia="Malgun Gothic" w:hAnsi="Courier New"/>
          <w:noProof/>
          <w:sz w:val="16"/>
          <w:lang w:eastAsia="sv-SE"/>
        </w:rPr>
        <w:t>simultaneousTxSUL-NonSUL</w:t>
      </w:r>
      <w:r w:rsidRPr="00E04A4B">
        <w:rPr>
          <w:rFonts w:ascii="Courier New" w:eastAsia="Malgun Gothic" w:hAnsi="Courier New"/>
          <w:noProof/>
          <w:sz w:val="16"/>
          <w:lang w:eastAsia="sv-SE"/>
        </w:rPr>
        <w:tab/>
      </w:r>
      <w:r w:rsidRPr="00E04A4B">
        <w:rPr>
          <w:rFonts w:ascii="Courier New" w:eastAsia="Malgun Gothic" w:hAnsi="Courier New"/>
          <w:noProof/>
          <w:sz w:val="16"/>
          <w:lang w:eastAsia="sv-SE"/>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{supported}</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OPTIONAL</w:t>
      </w:r>
      <w:r w:rsidRPr="00E04A4B">
        <w:rPr>
          <w:rFonts w:ascii="Courier New" w:eastAsia="Batang" w:hAnsi="Courier New"/>
          <w:noProof/>
          <w:sz w:val="16"/>
          <w:lang w:eastAsia="ja-JP"/>
        </w:rPr>
        <w:t>,</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ja-JP"/>
        </w:rPr>
      </w:pPr>
      <w:r w:rsidRPr="00E04A4B">
        <w:rPr>
          <w:rFonts w:ascii="Courier New" w:eastAsia="Batang" w:hAnsi="Courier New"/>
          <w:noProof/>
          <w:color w:val="808080"/>
          <w:sz w:val="16"/>
          <w:lang w:eastAsia="ja-JP"/>
        </w:rPr>
        <w:t>-- R1 6-22: UL search space sharing for CA</w:t>
      </w:r>
    </w:p>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ja-JP"/>
        </w:rPr>
      </w:pPr>
      <w:bookmarkStart w:id="1" w:name="_Hlk508824709"/>
      <w:r w:rsidRPr="00E04A4B">
        <w:rPr>
          <w:rFonts w:ascii="Courier New" w:eastAsia="Batang" w:hAnsi="Courier New"/>
          <w:noProof/>
          <w:sz w:val="16"/>
          <w:lang w:eastAsia="ja-JP"/>
        </w:rPr>
        <w:tab/>
        <w:t>searchSpaceSharingCA-UL</w:t>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sz w:val="16"/>
          <w:lang w:eastAsia="ja-JP"/>
        </w:rPr>
        <w:tab/>
      </w:r>
      <w:r w:rsidRPr="00E04A4B">
        <w:rPr>
          <w:rFonts w:ascii="Courier New" w:eastAsia="Batang" w:hAnsi="Courier New"/>
          <w:noProof/>
          <w:color w:val="993366"/>
          <w:sz w:val="16"/>
          <w:lang w:eastAsia="sv-SE"/>
        </w:rPr>
        <w:t>ENUMERATED</w:t>
      </w:r>
      <w:r w:rsidRPr="00E04A4B">
        <w:rPr>
          <w:rFonts w:ascii="Courier New" w:eastAsia="Batang" w:hAnsi="Courier New"/>
          <w:noProof/>
          <w:sz w:val="16"/>
          <w:lang w:eastAsia="ja-JP"/>
        </w:rPr>
        <w:t xml:space="preserve"> {supported}</w:t>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游明朝" w:hAnsi="Courier New"/>
          <w:noProof/>
          <w:sz w:val="16"/>
          <w:lang w:eastAsia="ja-JP"/>
        </w:rPr>
        <w:tab/>
      </w:r>
      <w:r w:rsidRPr="00E04A4B">
        <w:rPr>
          <w:rFonts w:ascii="Courier New" w:eastAsia="Batang" w:hAnsi="Courier New"/>
          <w:noProof/>
          <w:color w:val="993366"/>
          <w:sz w:val="16"/>
          <w:lang w:eastAsia="sv-SE"/>
        </w:rPr>
        <w:t>OPTIONAL</w:t>
      </w:r>
    </w:p>
    <w:bookmarkEnd w:id="1"/>
    <w:p w:rsidR="00E04A4B" w:rsidRPr="00E04A4B" w:rsidRDefault="00E04A4B" w:rsidP="00E04A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E04A4B">
        <w:rPr>
          <w:rFonts w:ascii="Courier New" w:eastAsia="Malgun Gothic" w:hAnsi="Courier New"/>
          <w:noProof/>
          <w:sz w:val="16"/>
          <w:lang w:eastAsia="sv-SE"/>
        </w:rPr>
        <w:t>}</w:t>
      </w:r>
    </w:p>
    <w:p w:rsidR="00E04A4B" w:rsidRPr="00E04A4B" w:rsidRDefault="00E04A4B" w:rsidP="00404795">
      <w:pPr>
        <w:rPr>
          <w:lang w:eastAsia="ja-JP"/>
        </w:rPr>
      </w:pPr>
    </w:p>
    <w:p w:rsidR="00E04A4B" w:rsidRPr="00E04A4B" w:rsidRDefault="00494BB9" w:rsidP="00404795">
      <w:pPr>
        <w:rPr>
          <w:lang w:eastAsia="ja-JP"/>
        </w:rPr>
      </w:pPr>
      <w:r>
        <w:rPr>
          <w:rFonts w:hint="eastAsia"/>
          <w:lang w:eastAsia="ja-JP"/>
        </w:rPr>
        <w:t xml:space="preserve">These features seem not be necessary to </w:t>
      </w:r>
      <w:r>
        <w:rPr>
          <w:lang w:eastAsia="ja-JP"/>
        </w:rPr>
        <w:t>be supported or IOTed per CC-granularity. In lieu, per-UE capability or at least per-band capability would be sufficient.</w:t>
      </w:r>
    </w:p>
    <w:p w:rsidR="00E57063" w:rsidRDefault="00863065" w:rsidP="00C30470">
      <w:pPr>
        <w:pStyle w:val="2"/>
        <w:numPr>
          <w:ilvl w:val="0"/>
          <w:numId w:val="2"/>
        </w:numPr>
        <w:rPr>
          <w:lang w:eastAsia="ja-JP"/>
        </w:rPr>
      </w:pPr>
      <w:r>
        <w:rPr>
          <w:rFonts w:hint="eastAsia"/>
          <w:lang w:eastAsia="ja-JP"/>
        </w:rPr>
        <w:t>Summary and proposal</w:t>
      </w:r>
    </w:p>
    <w:p w:rsidR="00404795" w:rsidRDefault="002148C6" w:rsidP="00404795">
      <w:pPr>
        <w:rPr>
          <w:lang w:eastAsia="ja-JP"/>
        </w:rPr>
      </w:pPr>
      <w:r>
        <w:rPr>
          <w:rFonts w:hint="eastAsia"/>
          <w:lang w:eastAsia="ja-JP"/>
        </w:rPr>
        <w:t>In conclusion, the followings are proposed:</w:t>
      </w:r>
    </w:p>
    <w:p w:rsidR="002148C6" w:rsidRPr="00AC20EB" w:rsidRDefault="008D59CF" w:rsidP="008D59CF">
      <w:pPr>
        <w:pStyle w:val="B1"/>
        <w:rPr>
          <w:b/>
        </w:rPr>
      </w:pPr>
      <w:r w:rsidRPr="00AC20EB">
        <w:rPr>
          <w:rFonts w:hint="eastAsia"/>
          <w:b/>
        </w:rPr>
        <w:t>Proposal 1:</w:t>
      </w:r>
      <w:r w:rsidRPr="00AC20EB">
        <w:rPr>
          <w:rFonts w:hint="eastAsia"/>
          <w:b/>
        </w:rPr>
        <w:tab/>
      </w:r>
      <w:r w:rsidRPr="00AC20EB">
        <w:rPr>
          <w:b/>
        </w:rPr>
        <w:t>The following features are taken out of per-CC BPC and defined as per-UE capability:</w:t>
      </w:r>
    </w:p>
    <w:p w:rsidR="00C373F0" w:rsidRPr="00AC20EB" w:rsidRDefault="008D59CF" w:rsidP="00C373F0">
      <w:pPr>
        <w:pStyle w:val="B5"/>
        <w:rPr>
          <w:b/>
          <w:lang w:eastAsia="ja-JP"/>
        </w:rPr>
      </w:pPr>
      <w:r w:rsidRPr="00AC20EB">
        <w:rPr>
          <w:rFonts w:hint="eastAsia"/>
          <w:b/>
          <w:lang w:eastAsia="ja-JP"/>
        </w:rPr>
        <w:t>-</w:t>
      </w:r>
      <w:r w:rsidRPr="00AC20EB">
        <w:rPr>
          <w:rFonts w:hint="eastAsia"/>
          <w:b/>
          <w:lang w:eastAsia="ja-JP"/>
        </w:rPr>
        <w:tab/>
      </w:r>
      <w:r w:rsidR="00C373F0" w:rsidRPr="00AC20EB">
        <w:rPr>
          <w:b/>
          <w:lang w:eastAsia="ja-JP"/>
        </w:rPr>
        <w:t>scellWithoutSSB;</w:t>
      </w:r>
    </w:p>
    <w:p w:rsidR="00C373F0" w:rsidRPr="00AC20EB" w:rsidRDefault="00C373F0" w:rsidP="00C373F0">
      <w:pPr>
        <w:pStyle w:val="B5"/>
        <w:rPr>
          <w:b/>
          <w:lang w:eastAsia="ja-JP"/>
        </w:rPr>
      </w:pPr>
      <w:r w:rsidRPr="00AC20EB">
        <w:rPr>
          <w:b/>
          <w:lang w:eastAsia="ja-JP"/>
        </w:rPr>
        <w:t>-</w:t>
      </w:r>
      <w:r w:rsidRPr="00AC20EB">
        <w:rPr>
          <w:b/>
          <w:lang w:eastAsia="ja-JP"/>
        </w:rPr>
        <w:tab/>
        <w:t>csi-RS-MeasSCellWithoutSSB;</w:t>
      </w:r>
    </w:p>
    <w:p w:rsidR="00C373F0" w:rsidRPr="00AC20EB" w:rsidRDefault="00C373F0" w:rsidP="00C373F0">
      <w:pPr>
        <w:pStyle w:val="B5"/>
        <w:rPr>
          <w:b/>
          <w:lang w:eastAsia="ja-JP"/>
        </w:rPr>
      </w:pPr>
      <w:r w:rsidRPr="00AC20EB">
        <w:rPr>
          <w:b/>
          <w:lang w:eastAsia="ja-JP"/>
        </w:rPr>
        <w:t>-</w:t>
      </w:r>
      <w:r w:rsidRPr="00AC20EB">
        <w:rPr>
          <w:b/>
          <w:lang w:eastAsia="ja-JP"/>
        </w:rPr>
        <w:tab/>
        <w:t>srs-AssocCSI-RS, type1-3-CSS;</w:t>
      </w:r>
    </w:p>
    <w:p w:rsidR="00C373F0" w:rsidRPr="00AC20EB" w:rsidRDefault="00C373F0" w:rsidP="00C373F0">
      <w:pPr>
        <w:pStyle w:val="B5"/>
        <w:rPr>
          <w:b/>
          <w:lang w:eastAsia="ja-JP"/>
        </w:rPr>
      </w:pPr>
      <w:r w:rsidRPr="00AC20EB">
        <w:rPr>
          <w:b/>
          <w:lang w:eastAsia="ja-JP"/>
        </w:rPr>
        <w:t>-</w:t>
      </w:r>
      <w:r w:rsidRPr="00AC20EB">
        <w:rPr>
          <w:b/>
          <w:lang w:eastAsia="ja-JP"/>
        </w:rPr>
        <w:tab/>
        <w:t>pdcchMonitoringAnyOccasions;</w:t>
      </w:r>
    </w:p>
    <w:p w:rsidR="00C373F0" w:rsidRPr="00AC20EB" w:rsidRDefault="00C373F0" w:rsidP="00C373F0">
      <w:pPr>
        <w:pStyle w:val="B5"/>
        <w:rPr>
          <w:b/>
          <w:lang w:eastAsia="ja-JP"/>
        </w:rPr>
      </w:pPr>
      <w:r w:rsidRPr="00AC20EB">
        <w:rPr>
          <w:b/>
          <w:lang w:eastAsia="ja-JP"/>
        </w:rPr>
        <w:t>-</w:t>
      </w:r>
      <w:r w:rsidRPr="00AC20EB">
        <w:rPr>
          <w:b/>
          <w:lang w:eastAsia="ja-JP"/>
        </w:rPr>
        <w:tab/>
        <w:t>ue-SpecificUL-DL-Assignment;</w:t>
      </w:r>
    </w:p>
    <w:p w:rsidR="00C373F0" w:rsidRPr="00AC20EB" w:rsidRDefault="00C373F0" w:rsidP="00C373F0">
      <w:pPr>
        <w:pStyle w:val="B5"/>
        <w:rPr>
          <w:b/>
          <w:lang w:eastAsia="ja-JP"/>
        </w:rPr>
      </w:pPr>
      <w:r w:rsidRPr="00AC20EB">
        <w:rPr>
          <w:b/>
          <w:lang w:eastAsia="ja-JP"/>
        </w:rPr>
        <w:t>-</w:t>
      </w:r>
      <w:r w:rsidRPr="00AC20EB">
        <w:rPr>
          <w:b/>
          <w:lang w:eastAsia="ja-JP"/>
        </w:rPr>
        <w:tab/>
        <w:t>crossCarrierScheduling (DL/UL);</w:t>
      </w:r>
    </w:p>
    <w:p w:rsidR="00C373F0" w:rsidRPr="00AC20EB" w:rsidRDefault="00C373F0" w:rsidP="00C373F0">
      <w:pPr>
        <w:pStyle w:val="B5"/>
        <w:rPr>
          <w:b/>
          <w:lang w:eastAsia="ja-JP"/>
        </w:rPr>
      </w:pPr>
      <w:r w:rsidRPr="00AC20EB">
        <w:rPr>
          <w:b/>
          <w:lang w:eastAsia="ja-JP"/>
        </w:rPr>
        <w:t>-</w:t>
      </w:r>
      <w:r w:rsidRPr="00AC20EB">
        <w:rPr>
          <w:b/>
          <w:lang w:eastAsia="ja-JP"/>
        </w:rPr>
        <w:tab/>
        <w:t>searchSpaceSharingCA-DL/UL;</w:t>
      </w:r>
    </w:p>
    <w:p w:rsidR="00C373F0" w:rsidRPr="00AC20EB" w:rsidRDefault="00C373F0" w:rsidP="00C373F0">
      <w:pPr>
        <w:pStyle w:val="B5"/>
        <w:rPr>
          <w:b/>
          <w:lang w:eastAsia="ja-JP"/>
        </w:rPr>
      </w:pPr>
      <w:r w:rsidRPr="00AC20EB">
        <w:rPr>
          <w:b/>
          <w:lang w:eastAsia="ja-JP"/>
        </w:rPr>
        <w:lastRenderedPageBreak/>
        <w:t>-</w:t>
      </w:r>
      <w:r w:rsidRPr="00AC20EB">
        <w:rPr>
          <w:b/>
          <w:lang w:eastAsia="ja-JP"/>
        </w:rPr>
        <w:tab/>
        <w:t>supportedSRS-Resources;</w:t>
      </w:r>
    </w:p>
    <w:p w:rsidR="00C373F0" w:rsidRPr="00AC20EB" w:rsidRDefault="00C373F0" w:rsidP="00C373F0">
      <w:pPr>
        <w:pStyle w:val="B5"/>
        <w:rPr>
          <w:b/>
          <w:lang w:eastAsia="ja-JP"/>
        </w:rPr>
      </w:pPr>
      <w:r w:rsidRPr="00AC20EB">
        <w:rPr>
          <w:b/>
          <w:lang w:eastAsia="ja-JP"/>
        </w:rPr>
        <w:t>-</w:t>
      </w:r>
      <w:r w:rsidRPr="00AC20EB">
        <w:rPr>
          <w:b/>
          <w:lang w:eastAsia="ja-JP"/>
        </w:rPr>
        <w:tab/>
        <w:t>srs-TxSwitch;</w:t>
      </w:r>
    </w:p>
    <w:p w:rsidR="00C373F0" w:rsidRPr="00AC20EB" w:rsidRDefault="00C373F0" w:rsidP="00C373F0">
      <w:pPr>
        <w:pStyle w:val="B5"/>
        <w:rPr>
          <w:b/>
          <w:lang w:eastAsia="ja-JP"/>
        </w:rPr>
      </w:pPr>
      <w:r w:rsidRPr="00AC20EB">
        <w:rPr>
          <w:b/>
          <w:lang w:eastAsia="ja-JP"/>
        </w:rPr>
        <w:t>-</w:t>
      </w:r>
      <w:r w:rsidRPr="00AC20EB">
        <w:rPr>
          <w:b/>
          <w:lang w:eastAsia="ja-JP"/>
        </w:rPr>
        <w:tab/>
        <w:t>lowLatencyCSI-Feedback;</w:t>
      </w:r>
    </w:p>
    <w:p w:rsidR="00C373F0" w:rsidRPr="00AC20EB" w:rsidRDefault="00C373F0" w:rsidP="00C373F0">
      <w:pPr>
        <w:pStyle w:val="B5"/>
        <w:rPr>
          <w:b/>
          <w:lang w:eastAsia="ja-JP"/>
        </w:rPr>
      </w:pPr>
      <w:r w:rsidRPr="00AC20EB">
        <w:rPr>
          <w:b/>
          <w:lang w:eastAsia="ja-JP"/>
        </w:rPr>
        <w:t>-</w:t>
      </w:r>
      <w:r w:rsidRPr="00AC20EB">
        <w:rPr>
          <w:b/>
          <w:lang w:eastAsia="ja-JP"/>
        </w:rPr>
        <w:tab/>
        <w:t>twoPUCCH-Group;</w:t>
      </w:r>
    </w:p>
    <w:p w:rsidR="00C373F0" w:rsidRPr="00AC20EB" w:rsidRDefault="00C373F0" w:rsidP="00C373F0">
      <w:pPr>
        <w:pStyle w:val="B5"/>
        <w:rPr>
          <w:b/>
          <w:lang w:eastAsia="ja-JP"/>
        </w:rPr>
      </w:pPr>
      <w:r w:rsidRPr="00AC20EB">
        <w:rPr>
          <w:b/>
          <w:lang w:eastAsia="ja-JP"/>
        </w:rPr>
        <w:t>-</w:t>
      </w:r>
      <w:r w:rsidRPr="00AC20EB">
        <w:rPr>
          <w:b/>
          <w:lang w:eastAsia="ja-JP"/>
        </w:rPr>
        <w:tab/>
        <w:t>supportedNumberTAG;</w:t>
      </w:r>
    </w:p>
    <w:p w:rsidR="00C373F0" w:rsidRPr="00AC20EB" w:rsidRDefault="00C373F0" w:rsidP="00C373F0">
      <w:pPr>
        <w:pStyle w:val="B5"/>
        <w:rPr>
          <w:b/>
          <w:lang w:eastAsia="ja-JP"/>
        </w:rPr>
      </w:pPr>
      <w:r w:rsidRPr="00AC20EB">
        <w:rPr>
          <w:b/>
          <w:lang w:eastAsia="ja-JP"/>
        </w:rPr>
        <w:t>-</w:t>
      </w:r>
      <w:r w:rsidRPr="00AC20EB">
        <w:rPr>
          <w:b/>
          <w:lang w:eastAsia="ja-JP"/>
        </w:rPr>
        <w:tab/>
        <w:t>dynamicSwitchSUL;</w:t>
      </w:r>
    </w:p>
    <w:p w:rsidR="008D59CF" w:rsidRPr="00AC20EB" w:rsidRDefault="00C373F0" w:rsidP="00C373F0">
      <w:pPr>
        <w:pStyle w:val="B5"/>
        <w:rPr>
          <w:b/>
          <w:lang w:eastAsia="ja-JP"/>
        </w:rPr>
      </w:pPr>
      <w:r w:rsidRPr="00AC20EB">
        <w:rPr>
          <w:b/>
          <w:lang w:eastAsia="ja-JP"/>
        </w:rPr>
        <w:t>-</w:t>
      </w:r>
      <w:r w:rsidRPr="00AC20EB">
        <w:rPr>
          <w:b/>
          <w:lang w:eastAsia="ja-JP"/>
        </w:rPr>
        <w:tab/>
        <w:t>simultaneousTxSUL-NonSUL.</w:t>
      </w:r>
    </w:p>
    <w:p w:rsidR="008D59CF" w:rsidRPr="00AC20EB" w:rsidRDefault="008D59CF" w:rsidP="008D59CF">
      <w:pPr>
        <w:pStyle w:val="B1"/>
        <w:rPr>
          <w:b/>
        </w:rPr>
      </w:pPr>
      <w:r w:rsidRPr="00AC20EB">
        <w:rPr>
          <w:b/>
        </w:rPr>
        <w:t>Proposal 2:</w:t>
      </w:r>
      <w:r w:rsidRPr="00AC20EB">
        <w:rPr>
          <w:b/>
        </w:rPr>
        <w:tab/>
      </w:r>
      <w:r w:rsidR="00C373F0" w:rsidRPr="00AC20EB">
        <w:rPr>
          <w:b/>
        </w:rPr>
        <w:t>The following features are taken out of per-CC BPC and defined as per-band capability:</w:t>
      </w:r>
    </w:p>
    <w:p w:rsidR="00C373F0" w:rsidRPr="00AC20EB" w:rsidRDefault="00C373F0" w:rsidP="00C373F0">
      <w:pPr>
        <w:pStyle w:val="B5"/>
        <w:rPr>
          <w:b/>
          <w:lang w:eastAsia="ja-JP"/>
        </w:rPr>
      </w:pPr>
      <w:r w:rsidRPr="00AC20EB">
        <w:rPr>
          <w:rFonts w:hint="eastAsia"/>
          <w:b/>
          <w:lang w:eastAsia="ja-JP"/>
        </w:rPr>
        <w:t>-</w:t>
      </w:r>
      <w:r w:rsidRPr="00AC20EB">
        <w:rPr>
          <w:rFonts w:hint="eastAsia"/>
          <w:b/>
          <w:lang w:eastAsia="ja-JP"/>
        </w:rPr>
        <w:tab/>
      </w:r>
      <w:r w:rsidRPr="00AC20EB">
        <w:rPr>
          <w:b/>
          <w:lang w:eastAsia="ja-JP"/>
        </w:rPr>
        <w:t>timeDurationForQCL;</w:t>
      </w:r>
    </w:p>
    <w:p w:rsidR="002148C6" w:rsidRPr="00AC20EB" w:rsidRDefault="00C373F0" w:rsidP="00C373F0">
      <w:pPr>
        <w:pStyle w:val="B5"/>
        <w:rPr>
          <w:b/>
          <w:lang w:eastAsia="ja-JP"/>
        </w:rPr>
      </w:pPr>
      <w:r w:rsidRPr="00AC20EB">
        <w:rPr>
          <w:b/>
          <w:lang w:eastAsia="ja-JP"/>
        </w:rPr>
        <w:t>-</w:t>
      </w:r>
      <w:r w:rsidRPr="00AC20EB">
        <w:rPr>
          <w:b/>
          <w:lang w:eastAsia="ja-JP"/>
        </w:rPr>
        <w:tab/>
        <w:t>pdsch/pusch-DifferentTB-PerSlot.</w:t>
      </w:r>
    </w:p>
    <w:p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rsidR="00404795" w:rsidRDefault="00404795" w:rsidP="00404795">
      <w:pPr>
        <w:rPr>
          <w:lang w:eastAsia="ja-JP"/>
        </w:rPr>
      </w:pPr>
      <w:r>
        <w:rPr>
          <w:rFonts w:hint="eastAsia"/>
          <w:lang w:eastAsia="ja-JP"/>
        </w:rPr>
        <w:t xml:space="preserve">[1] </w:t>
      </w:r>
      <w:r>
        <w:rPr>
          <w:lang w:eastAsia="ja-JP"/>
        </w:rPr>
        <w:t>R2-1804216, “LS on NR UE feature list,” RAN1.</w:t>
      </w:r>
    </w:p>
    <w:p w:rsidR="00404795" w:rsidRPr="00404795" w:rsidRDefault="00404795" w:rsidP="00404795">
      <w:pPr>
        <w:rPr>
          <w:lang w:eastAsia="ja-JP"/>
        </w:rPr>
      </w:pPr>
      <w:r>
        <w:rPr>
          <w:lang w:eastAsia="ja-JP"/>
        </w:rPr>
        <w:t>[2] R2-180</w:t>
      </w:r>
      <w:r w:rsidR="00353FF9">
        <w:rPr>
          <w:lang w:eastAsia="ja-JP"/>
        </w:rPr>
        <w:t>4245, “LS on UE feature list,” RAN4.</w:t>
      </w:r>
    </w:p>
    <w:sectPr w:rsidR="00404795" w:rsidRPr="00404795">
      <w:headerReference w:type="default"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3C9" w:rsidRDefault="000423C9">
      <w:r>
        <w:separator/>
      </w:r>
    </w:p>
  </w:endnote>
  <w:endnote w:type="continuationSeparator" w:id="0">
    <w:p w:rsidR="000423C9" w:rsidRDefault="00042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0"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974882">
      <w:rPr>
        <w:rStyle w:val="af7"/>
      </w:rPr>
      <w:t>1</w:t>
    </w:r>
    <w:r>
      <w:rPr>
        <w:rStyle w:val="af7"/>
      </w:rPr>
      <w:fldChar w:fldCharType="end"/>
    </w:r>
  </w:p>
  <w:p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3C9" w:rsidRDefault="000423C9">
      <w:r>
        <w:separator/>
      </w:r>
    </w:p>
  </w:footnote>
  <w:footnote w:type="continuationSeparator" w:id="0">
    <w:p w:rsidR="000423C9" w:rsidRDefault="00042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0"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1"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2"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9"/>
  </w:num>
  <w:num w:numId="3">
    <w:abstractNumId w:val="7"/>
  </w:num>
  <w:num w:numId="4">
    <w:abstractNumId w:val="3"/>
  </w:num>
  <w:num w:numId="5">
    <w:abstractNumId w:val="1"/>
  </w:num>
  <w:num w:numId="6">
    <w:abstractNumId w:val="5"/>
  </w:num>
  <w:num w:numId="7">
    <w:abstractNumId w:val="11"/>
  </w:num>
  <w:num w:numId="8">
    <w:abstractNumId w:val="8"/>
  </w:num>
  <w:num w:numId="9">
    <w:abstractNumId w:val="4"/>
  </w:num>
  <w:num w:numId="10">
    <w:abstractNumId w:val="12"/>
  </w:num>
  <w:num w:numId="11">
    <w:abstractNumId w:val="0"/>
  </w:num>
  <w:num w:numId="12">
    <w:abstractNumId w:val="2"/>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4292"/>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3C9"/>
    <w:rsid w:val="00042571"/>
    <w:rsid w:val="00043099"/>
    <w:rsid w:val="00043A37"/>
    <w:rsid w:val="00043C51"/>
    <w:rsid w:val="000444FD"/>
    <w:rsid w:val="000453D0"/>
    <w:rsid w:val="0004555C"/>
    <w:rsid w:val="0004633C"/>
    <w:rsid w:val="000502DD"/>
    <w:rsid w:val="00052B2C"/>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E86"/>
    <w:rsid w:val="00081AFC"/>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4AAD"/>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8C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98D"/>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3FF9"/>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EB1"/>
    <w:rsid w:val="00392BA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304B"/>
    <w:rsid w:val="00403996"/>
    <w:rsid w:val="00403FA5"/>
    <w:rsid w:val="0040479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4BB9"/>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CA3"/>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123D"/>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4D55"/>
    <w:rsid w:val="00715511"/>
    <w:rsid w:val="0071628B"/>
    <w:rsid w:val="00717D35"/>
    <w:rsid w:val="00721E15"/>
    <w:rsid w:val="00724138"/>
    <w:rsid w:val="00724321"/>
    <w:rsid w:val="00724965"/>
    <w:rsid w:val="00724EE9"/>
    <w:rsid w:val="0072530D"/>
    <w:rsid w:val="0072752A"/>
    <w:rsid w:val="00727613"/>
    <w:rsid w:val="007277FF"/>
    <w:rsid w:val="00731FDA"/>
    <w:rsid w:val="007342B3"/>
    <w:rsid w:val="007346B4"/>
    <w:rsid w:val="00737400"/>
    <w:rsid w:val="0074048B"/>
    <w:rsid w:val="00740FE2"/>
    <w:rsid w:val="007413A0"/>
    <w:rsid w:val="00742BFE"/>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6347"/>
    <w:rsid w:val="007B736B"/>
    <w:rsid w:val="007B7817"/>
    <w:rsid w:val="007B7A28"/>
    <w:rsid w:val="007C0C4B"/>
    <w:rsid w:val="007C0EE2"/>
    <w:rsid w:val="007C1A72"/>
    <w:rsid w:val="007C3FBD"/>
    <w:rsid w:val="007C4C27"/>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26C"/>
    <w:rsid w:val="008C18E9"/>
    <w:rsid w:val="008C2A6A"/>
    <w:rsid w:val="008C3A95"/>
    <w:rsid w:val="008C4A4D"/>
    <w:rsid w:val="008C4DC4"/>
    <w:rsid w:val="008C6467"/>
    <w:rsid w:val="008C7E71"/>
    <w:rsid w:val="008C7E85"/>
    <w:rsid w:val="008D12CE"/>
    <w:rsid w:val="008D407B"/>
    <w:rsid w:val="008D50F9"/>
    <w:rsid w:val="008D59CF"/>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4882"/>
    <w:rsid w:val="00975096"/>
    <w:rsid w:val="00975EB8"/>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565"/>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20EB"/>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1238"/>
    <w:rsid w:val="00C344D5"/>
    <w:rsid w:val="00C34773"/>
    <w:rsid w:val="00C36D5D"/>
    <w:rsid w:val="00C373F0"/>
    <w:rsid w:val="00C37E9B"/>
    <w:rsid w:val="00C400E7"/>
    <w:rsid w:val="00C40A03"/>
    <w:rsid w:val="00C4100E"/>
    <w:rsid w:val="00C41131"/>
    <w:rsid w:val="00C435FC"/>
    <w:rsid w:val="00C46013"/>
    <w:rsid w:val="00C47441"/>
    <w:rsid w:val="00C51098"/>
    <w:rsid w:val="00C529C9"/>
    <w:rsid w:val="00C5308A"/>
    <w:rsid w:val="00C53655"/>
    <w:rsid w:val="00C53B87"/>
    <w:rsid w:val="00C546BD"/>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CDE"/>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77D87"/>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041"/>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2C97"/>
    <w:rsid w:val="00E03168"/>
    <w:rsid w:val="00E031D0"/>
    <w:rsid w:val="00E0384A"/>
    <w:rsid w:val="00E03B52"/>
    <w:rsid w:val="00E048FA"/>
    <w:rsid w:val="00E04A4B"/>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3901BE"/>
  <w15:chartTrackingRefBased/>
  <w15:docId w15:val="{5DAB39E2-9C27-4F5B-B674-2A49E9A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941</Words>
  <Characters>5366</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WG3 #xx</vt:lpstr>
      <vt:lpstr/>
    </vt:vector>
  </TitlesOfParts>
  <Company>NTT DOCOMO, Inc.</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dc:description/>
  <cp:lastModifiedBy>NTT DOCOMO, INC.</cp:lastModifiedBy>
  <cp:revision>3</cp:revision>
  <cp:lastPrinted>2006-02-09T00:55:00Z</cp:lastPrinted>
  <dcterms:created xsi:type="dcterms:W3CDTF">2018-04-06T06:39:00Z</dcterms:created>
  <dcterms:modified xsi:type="dcterms:W3CDTF">2018-04-06T06:40:00Z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