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25AADDF7" w:rsidR="007E1DEE" w:rsidRPr="00943E97" w:rsidRDefault="007E1DEE" w:rsidP="007E1DEE">
      <w:pPr>
        <w:pStyle w:val="Header"/>
        <w:tabs>
          <w:tab w:val="left" w:pos="6521"/>
        </w:tabs>
        <w:jc w:val="both"/>
        <w:rPr>
          <w:color w:val="auto"/>
          <w:sz w:val="24"/>
        </w:rPr>
      </w:pPr>
      <w:r w:rsidRPr="00943E97">
        <w:rPr>
          <w:color w:val="auto"/>
          <w:sz w:val="24"/>
          <w:lang w:eastAsia="en-GB"/>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D1E70C"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C527B">
        <w:rPr>
          <w:color w:val="auto"/>
          <w:sz w:val="24"/>
        </w:rPr>
        <w:t xml:space="preserve">3GPP TSG-RAN WG2 Meeting </w:t>
      </w:r>
      <w:r w:rsidR="00E71E28">
        <w:rPr>
          <w:color w:val="auto"/>
          <w:sz w:val="24"/>
        </w:rPr>
        <w:t>#100</w:t>
      </w:r>
      <w:r>
        <w:rPr>
          <w:rFonts w:hint="eastAsia"/>
          <w:color w:val="auto"/>
          <w:sz w:val="24"/>
          <w:lang w:eastAsia="zh-CN"/>
        </w:rPr>
        <w:tab/>
      </w:r>
      <w:r w:rsidR="00BF708D">
        <w:rPr>
          <w:color w:val="auto"/>
          <w:sz w:val="24"/>
          <w:lang w:eastAsia="zh-CN"/>
        </w:rPr>
        <w:tab/>
      </w:r>
      <w:r w:rsidRPr="00BF708D">
        <w:rPr>
          <w:i/>
          <w:color w:val="auto"/>
          <w:sz w:val="24"/>
        </w:rPr>
        <w:t>R2-</w:t>
      </w:r>
      <w:r w:rsidRPr="00BF708D">
        <w:rPr>
          <w:rFonts w:hint="eastAsia"/>
          <w:i/>
          <w:color w:val="auto"/>
          <w:sz w:val="24"/>
          <w:lang w:eastAsia="zh-CN"/>
        </w:rPr>
        <w:t>17</w:t>
      </w:r>
      <w:r w:rsidR="00E71E28">
        <w:rPr>
          <w:i/>
          <w:color w:val="auto"/>
          <w:sz w:val="24"/>
          <w:lang w:eastAsia="zh-CN"/>
        </w:rPr>
        <w:t>1</w:t>
      </w:r>
      <w:r w:rsidR="004C46CC">
        <w:rPr>
          <w:i/>
          <w:color w:val="auto"/>
          <w:sz w:val="24"/>
          <w:lang w:eastAsia="zh-CN"/>
        </w:rPr>
        <w:t>2665</w:t>
      </w:r>
    </w:p>
    <w:p w14:paraId="2AE6D983" w14:textId="3C3E4FD9" w:rsidR="007E1DEE" w:rsidRPr="00C036E6" w:rsidRDefault="00E71E28" w:rsidP="007E1DEE">
      <w:pPr>
        <w:pStyle w:val="Header"/>
        <w:tabs>
          <w:tab w:val="left" w:pos="6521"/>
        </w:tabs>
        <w:jc w:val="both"/>
        <w:rPr>
          <w:color w:val="auto"/>
          <w:sz w:val="24"/>
          <w:lang w:eastAsia="zh-CN"/>
        </w:rPr>
      </w:pPr>
      <w:r>
        <w:rPr>
          <w:color w:val="auto"/>
          <w:sz w:val="24"/>
          <w:lang w:eastAsia="zh-CN"/>
        </w:rPr>
        <w:t>Reno</w:t>
      </w:r>
      <w:r w:rsidR="007E1DEE" w:rsidRPr="00943E97">
        <w:rPr>
          <w:color w:val="auto"/>
          <w:sz w:val="24"/>
        </w:rPr>
        <w:t xml:space="preserve">, </w:t>
      </w:r>
      <w:r>
        <w:rPr>
          <w:color w:val="auto"/>
          <w:sz w:val="24"/>
        </w:rPr>
        <w:t>Nevada</w:t>
      </w:r>
      <w:r w:rsidR="007E1DEE" w:rsidRPr="00943E97">
        <w:rPr>
          <w:color w:val="auto"/>
          <w:sz w:val="24"/>
        </w:rPr>
        <w:t>,</w:t>
      </w:r>
      <w:r>
        <w:rPr>
          <w:color w:val="auto"/>
          <w:sz w:val="24"/>
        </w:rPr>
        <w:t xml:space="preserve"> USA,</w:t>
      </w:r>
      <w:r w:rsidR="007E1DEE" w:rsidRPr="00943E97">
        <w:rPr>
          <w:color w:val="auto"/>
          <w:sz w:val="24"/>
        </w:rPr>
        <w:t xml:space="preserve"> </w:t>
      </w:r>
      <w:r>
        <w:rPr>
          <w:color w:val="auto"/>
          <w:sz w:val="24"/>
        </w:rPr>
        <w:t>26 November – 2 December</w:t>
      </w:r>
      <w:r>
        <w:rPr>
          <w:rFonts w:hint="eastAsia"/>
          <w:color w:val="auto"/>
          <w:sz w:val="24"/>
        </w:rPr>
        <w:t>, 201</w:t>
      </w:r>
      <w:r>
        <w:rPr>
          <w:rFonts w:hint="eastAsia"/>
          <w:color w:val="auto"/>
          <w:sz w:val="24"/>
          <w:lang w:eastAsia="zh-CN"/>
        </w:rPr>
        <w:t>7</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4A95A7E7" w:rsidR="007E1DEE" w:rsidRPr="00E57929" w:rsidRDefault="007E1DEE" w:rsidP="007E1DEE">
      <w:pPr>
        <w:rPr>
          <w:rFonts w:ascii="Arial" w:eastAsia="SimSun"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A534F4">
        <w:rPr>
          <w:rFonts w:ascii="Arial" w:eastAsia="SimSun" w:hAnsi="Arial"/>
          <w:b/>
          <w:sz w:val="24"/>
          <w:lang w:val="en-US" w:eastAsia="zh-CN"/>
        </w:rPr>
        <w:t>10.4.2.2</w:t>
      </w:r>
    </w:p>
    <w:p w14:paraId="2AE6D986" w14:textId="77777777" w:rsidR="007E1DEE" w:rsidRPr="004E24A8" w:rsidRDefault="007E1DEE" w:rsidP="007E1DEE">
      <w:pPr>
        <w:tabs>
          <w:tab w:val="left" w:pos="1985"/>
        </w:tabs>
        <w:spacing w:afterLines="100" w:after="240"/>
        <w:rPr>
          <w:rFonts w:ascii="Arial" w:eastAsia="SimSun"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5490506C"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A90271">
        <w:rPr>
          <w:rFonts w:ascii="Arial" w:hAnsi="Arial"/>
          <w:b/>
          <w:sz w:val="24"/>
          <w:lang w:val="en-US"/>
        </w:rPr>
        <w:t>Measurement</w:t>
      </w:r>
      <w:r w:rsidR="0093217B">
        <w:rPr>
          <w:rFonts w:ascii="Arial" w:hAnsi="Arial"/>
          <w:b/>
          <w:sz w:val="24"/>
          <w:lang w:val="en-US"/>
        </w:rPr>
        <w:t xml:space="preserve"> reporting</w:t>
      </w:r>
      <w:r w:rsidR="00A90271">
        <w:rPr>
          <w:rFonts w:ascii="Arial" w:hAnsi="Arial"/>
          <w:b/>
          <w:sz w:val="24"/>
          <w:lang w:val="en-US"/>
        </w:rPr>
        <w:t xml:space="preserve"> of NR serving cells</w:t>
      </w:r>
      <w:r w:rsidR="00270F4F">
        <w:rPr>
          <w:rFonts w:ascii="Arial" w:hAnsi="Arial"/>
          <w:b/>
          <w:sz w:val="24"/>
          <w:lang w:val="en-US"/>
        </w:rPr>
        <w:t xml:space="preserve"> in EN-DC</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eastAsia="SimSun"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3D8A06A8" w14:textId="72DCE202" w:rsidR="00E71E28" w:rsidRDefault="00E71E28">
      <w:r>
        <w:t>In the last RAN2 meeting, the following was agreed for the reporting of serving cell measurement:</w:t>
      </w:r>
    </w:p>
    <w:p w14:paraId="0845C6DA" w14:textId="77777777" w:rsidR="00D632E0" w:rsidRPr="00D632E0" w:rsidRDefault="00D632E0" w:rsidP="00D632E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en-GB"/>
        </w:rPr>
      </w:pPr>
      <w:r w:rsidRPr="00D632E0">
        <w:rPr>
          <w:rFonts w:ascii="Arial" w:eastAsia="MS Mincho" w:hAnsi="Arial" w:cs="Times New Roman"/>
          <w:sz w:val="20"/>
          <w:szCs w:val="24"/>
          <w:lang w:eastAsia="en-GB"/>
        </w:rPr>
        <w:t>Agreements</w:t>
      </w:r>
    </w:p>
    <w:p w14:paraId="77EA5D4D" w14:textId="77777777" w:rsidR="00D632E0" w:rsidRPr="00D632E0" w:rsidRDefault="00D632E0" w:rsidP="00D632E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en-GB"/>
        </w:rPr>
      </w:pPr>
      <w:r w:rsidRPr="00D632E0">
        <w:rPr>
          <w:rFonts w:ascii="Arial" w:eastAsia="MS Mincho" w:hAnsi="Arial" w:cs="Times New Roman"/>
          <w:sz w:val="20"/>
          <w:szCs w:val="24"/>
          <w:lang w:eastAsia="en-GB"/>
        </w:rPr>
        <w:t>1:</w:t>
      </w:r>
      <w:r w:rsidRPr="00D632E0">
        <w:rPr>
          <w:rFonts w:ascii="Arial" w:eastAsia="MS Mincho" w:hAnsi="Arial" w:cs="Times New Roman"/>
          <w:sz w:val="20"/>
          <w:szCs w:val="24"/>
          <w:lang w:eastAsia="en-GB"/>
        </w:rPr>
        <w:tab/>
        <w:t>The UE can report NR serving cell measurements in Bx events related to NR measurements.</w:t>
      </w:r>
    </w:p>
    <w:p w14:paraId="750A5771" w14:textId="77777777" w:rsidR="00D632E0" w:rsidRPr="00D632E0" w:rsidRDefault="00D632E0" w:rsidP="00D632E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en-GB"/>
        </w:rPr>
      </w:pPr>
      <w:r w:rsidRPr="00D632E0">
        <w:rPr>
          <w:rFonts w:ascii="Arial" w:eastAsia="MS Mincho" w:hAnsi="Arial" w:cs="Times New Roman"/>
          <w:sz w:val="20"/>
          <w:szCs w:val="24"/>
          <w:lang w:eastAsia="en-GB"/>
        </w:rPr>
        <w:t>1.1:</w:t>
      </w:r>
      <w:r w:rsidRPr="00D632E0">
        <w:rPr>
          <w:rFonts w:ascii="Arial" w:eastAsia="MS Mincho" w:hAnsi="Arial" w:cs="Times New Roman"/>
          <w:sz w:val="20"/>
          <w:szCs w:val="24"/>
          <w:lang w:eastAsia="en-GB"/>
        </w:rPr>
        <w:tab/>
        <w:t>The NR serving cell measurements included in Bx events include both PSCell and SCell.</w:t>
      </w:r>
    </w:p>
    <w:p w14:paraId="28C98FA6" w14:textId="77777777" w:rsidR="00D632E0" w:rsidRPr="00D632E0" w:rsidRDefault="00D632E0" w:rsidP="00D632E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en-GB"/>
        </w:rPr>
      </w:pPr>
      <w:r w:rsidRPr="00D632E0">
        <w:rPr>
          <w:rFonts w:ascii="Arial" w:eastAsia="MS Mincho" w:hAnsi="Arial" w:cs="Times New Roman"/>
          <w:sz w:val="20"/>
          <w:szCs w:val="24"/>
          <w:lang w:eastAsia="en-GB"/>
        </w:rPr>
        <w:t>3:</w:t>
      </w:r>
      <w:r w:rsidRPr="00D632E0">
        <w:rPr>
          <w:rFonts w:ascii="Arial" w:eastAsia="MS Mincho" w:hAnsi="Arial" w:cs="Times New Roman"/>
          <w:sz w:val="20"/>
          <w:szCs w:val="24"/>
          <w:lang w:eastAsia="en-GB"/>
        </w:rPr>
        <w:tab/>
        <w:t>The UE includes ARFCN and PCI of the NR serving cells to identify the NR serving cell measurements.  SCellIndex is not used for this purpose. (May be revisited depending on the putcome of the discussion the uniqueness of the SCell index)</w:t>
      </w:r>
    </w:p>
    <w:p w14:paraId="5798A80C" w14:textId="77777777" w:rsidR="00D632E0" w:rsidRPr="00D632E0" w:rsidRDefault="00D632E0" w:rsidP="00D632E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en-GB"/>
        </w:rPr>
      </w:pPr>
      <w:r w:rsidRPr="00D632E0">
        <w:rPr>
          <w:rFonts w:ascii="Arial" w:eastAsia="MS Mincho" w:hAnsi="Arial" w:cs="Times New Roman"/>
          <w:sz w:val="20"/>
          <w:szCs w:val="24"/>
          <w:lang w:eastAsia="en-GB"/>
        </w:rPr>
        <w:t>FFS:</w:t>
      </w:r>
      <w:r w:rsidRPr="00D632E0">
        <w:rPr>
          <w:rFonts w:ascii="Arial" w:eastAsia="MS Mincho" w:hAnsi="Arial" w:cs="Times New Roman"/>
          <w:sz w:val="20"/>
          <w:szCs w:val="24"/>
          <w:lang w:eastAsia="en-GB"/>
        </w:rPr>
        <w:tab/>
        <w:t>The UE does not send NR serving cell measurements in measurement reports associated with LTE Ax events or in periodic measurement reports.</w:t>
      </w:r>
    </w:p>
    <w:p w14:paraId="1ED7655C" w14:textId="77777777" w:rsidR="00E71E28" w:rsidRDefault="00E71E28"/>
    <w:p w14:paraId="48582D00" w14:textId="70269415" w:rsidR="00E71E28" w:rsidRDefault="00A67E09">
      <w:r>
        <w:t>In this contribution, the FFS on whether to provide the NR serving cell measurements in the LTE measurement report</w:t>
      </w:r>
      <w:r w:rsidR="004329CF">
        <w:t xml:space="preserve"> for the Ax events</w:t>
      </w:r>
      <w:r>
        <w:t xml:space="preserve"> is discussed.</w:t>
      </w:r>
    </w:p>
    <w:p w14:paraId="2AE6D98D" w14:textId="77777777" w:rsidR="003E1A61" w:rsidRDefault="003E1A61" w:rsidP="00F13226">
      <w:pPr>
        <w:pStyle w:val="Heading1"/>
      </w:pPr>
      <w:r>
        <w:t>Discussion</w:t>
      </w:r>
    </w:p>
    <w:p w14:paraId="49B12E4E" w14:textId="722C2D60" w:rsidR="00D418D2" w:rsidRDefault="00D418D2" w:rsidP="00D418D2">
      <w:pPr>
        <w:pStyle w:val="Heading2"/>
      </w:pPr>
      <w:r>
        <w:t>Including NR serving cell measurements in Event A series</w:t>
      </w:r>
    </w:p>
    <w:p w14:paraId="6E3E0D32" w14:textId="77777777" w:rsidR="00A67E09" w:rsidRDefault="00A67E09" w:rsidP="00A67E09">
      <w:bookmarkStart w:id="2" w:name="_GoBack"/>
      <w:r w:rsidRPr="009472A7">
        <w:t xml:space="preserve">Event A series are used for intra-LTE handover and for LTE SCell management.  </w:t>
      </w:r>
    </w:p>
    <w:p w14:paraId="5D8D272E" w14:textId="31E3EFB6" w:rsidR="00A67E09" w:rsidRDefault="00A67E09" w:rsidP="00A67E09">
      <w:r w:rsidRPr="009472A7">
        <w:t xml:space="preserve">For LTE SCell management, Event A2 (SCell release), Event A3/A4/A5 (SCell addition) and Event A6 (SCell replacement) are typically used. </w:t>
      </w:r>
      <w:r>
        <w:t xml:space="preserve">For </w:t>
      </w:r>
      <w:r w:rsidR="007D0529">
        <w:t xml:space="preserve">the EN-DC </w:t>
      </w:r>
      <w:r>
        <w:t xml:space="preserve">case, </w:t>
      </w:r>
      <w:r w:rsidRPr="009472A7">
        <w:t xml:space="preserve">the measured results for SN NR serving </w:t>
      </w:r>
      <w:r>
        <w:t xml:space="preserve">cells do not seem useful </w:t>
      </w:r>
      <w:r w:rsidRPr="009472A7">
        <w:t xml:space="preserve">for MN to manage its SCell(s). Furthermore, </w:t>
      </w:r>
      <w:r w:rsidRPr="00EC04CF">
        <w:rPr>
          <w:rFonts w:eastAsia="MS Mincho" w:cs="Arial"/>
        </w:rPr>
        <w:t>RAN2 confirm that MN only initiates SN addition/ release i.e. that MN initiated SCG (cell) addition/ release is not supported</w:t>
      </w:r>
      <w:r w:rsidR="00EC04CF">
        <w:t>.</w:t>
      </w:r>
      <w:r w:rsidRPr="009472A7">
        <w:t xml:space="preserve"> </w:t>
      </w:r>
      <w:r w:rsidR="00EC04CF">
        <w:t xml:space="preserve">Hence, </w:t>
      </w:r>
      <w:r w:rsidRPr="009472A7">
        <w:t>SN will perform NR SCell management (NR SCell addition/release, PSCell change) on its own.</w:t>
      </w:r>
    </w:p>
    <w:p w14:paraId="0BB16036" w14:textId="715D8DA9" w:rsidR="00413750" w:rsidRDefault="00413750" w:rsidP="00A67E09">
      <w:r w:rsidRPr="00643C65">
        <w:rPr>
          <w:b/>
        </w:rPr>
        <w:t>Observation#1:</w:t>
      </w:r>
      <w:r>
        <w:t xml:space="preserve"> Event Ax for </w:t>
      </w:r>
      <w:r w:rsidR="00A56B3B">
        <w:t xml:space="preserve">MN </w:t>
      </w:r>
      <w:r>
        <w:t>LTE SCell management does not require NR serving cell measurement</w:t>
      </w:r>
      <w:r w:rsidR="00C06BD5">
        <w:t>.</w:t>
      </w:r>
    </w:p>
    <w:p w14:paraId="60FEC714" w14:textId="7927B252" w:rsidR="00413750" w:rsidRDefault="00413750" w:rsidP="00A67E09">
      <w:r w:rsidRPr="00643C65">
        <w:rPr>
          <w:b/>
        </w:rPr>
        <w:t>Observation#2:</w:t>
      </w:r>
      <w:r>
        <w:t xml:space="preserve"> </w:t>
      </w:r>
      <w:r w:rsidR="00A56B3B">
        <w:t xml:space="preserve">NR SCell management (NR SCell addition/release, PSCell change) is performed by SN. NR serving cell measurement </w:t>
      </w:r>
      <w:r w:rsidR="004C46CC">
        <w:t>is not needed by</w:t>
      </w:r>
      <w:r w:rsidR="00A56B3B">
        <w:t xml:space="preserve"> </w:t>
      </w:r>
      <w:r w:rsidR="00643C65">
        <w:t>MN</w:t>
      </w:r>
      <w:r w:rsidR="004C46CC">
        <w:t xml:space="preserve"> for NR SCell management</w:t>
      </w:r>
      <w:r w:rsidR="00C06BD5">
        <w:t>.</w:t>
      </w:r>
      <w:r w:rsidR="00643C65">
        <w:t xml:space="preserve"> </w:t>
      </w:r>
    </w:p>
    <w:p w14:paraId="713A2221" w14:textId="77777777" w:rsidR="004329CF" w:rsidRDefault="00A67E09" w:rsidP="00A67E09">
      <w:r w:rsidRPr="003A28F3">
        <w:t>For intra-LTE handover, Event A3 and A5 are typically used which compare between the PCell and neighbouring LTE cell(s). As it is for handover measurement, it needs to be sent as quickly as possible once the event occurs. Obtaining NR serving cell results may incur extra delay in sending the report in the UE. Any delay (e.g. in this case to coordinate with the measurement from the SCG side) may increase the probability of handover failure and drop call. Hence it would be good not to add unnecessary delay to the sending of the report.</w:t>
      </w:r>
      <w:r w:rsidR="001F1AB0">
        <w:t xml:space="preserve"> </w:t>
      </w:r>
    </w:p>
    <w:p w14:paraId="49F0188A" w14:textId="71081FC2" w:rsidR="00643C65" w:rsidRDefault="00643C65" w:rsidP="00A67E09">
      <w:r>
        <w:rPr>
          <w:b/>
        </w:rPr>
        <w:lastRenderedPageBreak/>
        <w:t>Observation#</w:t>
      </w:r>
      <w:r w:rsidR="00C06BD5">
        <w:rPr>
          <w:b/>
        </w:rPr>
        <w:t>3:</w:t>
      </w:r>
      <w:r>
        <w:t xml:space="preserve"> </w:t>
      </w:r>
      <w:r w:rsidR="00B13B43">
        <w:t xml:space="preserve">Including NR serving cell measurement in intra-LTE (intra-MN and inter-MN) HO event reporting may result in delay in sending the report which may increase the probability of handover failure. </w:t>
      </w:r>
    </w:p>
    <w:p w14:paraId="1FB9A4C2" w14:textId="0A093CE1" w:rsidR="00C313BE" w:rsidRDefault="00A67E09" w:rsidP="00A67E09">
      <w:r>
        <w:t xml:space="preserve">One </w:t>
      </w:r>
      <w:r w:rsidR="0068326F">
        <w:t>scenario where NR serving cell measurement may be useful is if the UE is alrea</w:t>
      </w:r>
      <w:r w:rsidR="001F1AB0">
        <w:t xml:space="preserve">dy configured with EN-DC and </w:t>
      </w:r>
      <w:r w:rsidR="0068326F">
        <w:t>the MN is performing</w:t>
      </w:r>
      <w:r w:rsidR="001F1AB0">
        <w:t xml:space="preserve"> inter-MN handover</w:t>
      </w:r>
      <w:r w:rsidR="0068326F">
        <w:t xml:space="preserve"> </w:t>
      </w:r>
      <w:r w:rsidR="001F1AB0">
        <w:t>with or without SN change. As it is agreed that</w:t>
      </w:r>
      <w:r w:rsidR="004329CF">
        <w:t xml:space="preserve"> the target M</w:t>
      </w:r>
      <w:r w:rsidR="001F1AB0">
        <w:t>N will make the decision on whether to</w:t>
      </w:r>
      <w:r w:rsidR="004329CF">
        <w:t xml:space="preserve"> keep, change or</w:t>
      </w:r>
      <w:r w:rsidR="001F1AB0">
        <w:t xml:space="preserve"> release</w:t>
      </w:r>
      <w:r w:rsidR="004329CF">
        <w:t xml:space="preserve"> the SCG, the target MN needs to make the decision based on some criteria</w:t>
      </w:r>
      <w:r w:rsidR="008A5359">
        <w:t>, either by load balancing or traffic volume or by some measurements</w:t>
      </w:r>
      <w:r w:rsidR="00D33C53">
        <w:t>.</w:t>
      </w:r>
    </w:p>
    <w:p w14:paraId="5363418B" w14:textId="217A08A7" w:rsidR="008A5359" w:rsidRDefault="008A5359" w:rsidP="00A67E09">
      <w:r>
        <w:t>For inter MN HO case without SN change, if the existing</w:t>
      </w:r>
      <w:r w:rsidR="007D0529">
        <w:t xml:space="preserve"> </w:t>
      </w:r>
      <w:r w:rsidR="00007482">
        <w:t>SN</w:t>
      </w:r>
      <w:r>
        <w:t xml:space="preserve"> is still in good RF condition (since there </w:t>
      </w:r>
      <w:r w:rsidR="007D0529">
        <w:t xml:space="preserve">has been </w:t>
      </w:r>
      <w:r>
        <w:t>no SN initiate</w:t>
      </w:r>
      <w:r w:rsidR="00D65559">
        <w:t>d SN release</w:t>
      </w:r>
      <w:r w:rsidR="00007482">
        <w:t>/change</w:t>
      </w:r>
      <w:r w:rsidR="00D65559">
        <w:t xml:space="preserve"> or Bx event </w:t>
      </w:r>
      <w:r w:rsidR="007E0947">
        <w:t xml:space="preserve">received </w:t>
      </w:r>
      <w:r>
        <w:t xml:space="preserve">when </w:t>
      </w:r>
      <w:r w:rsidR="007D0529">
        <w:t xml:space="preserve">the </w:t>
      </w:r>
      <w:r w:rsidR="00EC04CF">
        <w:t xml:space="preserve">source </w:t>
      </w:r>
      <w:r w:rsidR="007D0529">
        <w:t xml:space="preserve">MN </w:t>
      </w:r>
      <w:r>
        <w:t>receive</w:t>
      </w:r>
      <w:r w:rsidR="007E0947">
        <w:t>s</w:t>
      </w:r>
      <w:r>
        <w:t xml:space="preserve"> the inter-MN HO event), the target MN can </w:t>
      </w:r>
      <w:r w:rsidR="00007482">
        <w:t>infer from source MN not changing the SN</w:t>
      </w:r>
      <w:r>
        <w:t xml:space="preserve"> that the existing SN is still good and can just perform SN addition to the existing SN if target MN decides to keep</w:t>
      </w:r>
      <w:r w:rsidR="00E035F4">
        <w:t xml:space="preserve"> or release the SN based on </w:t>
      </w:r>
      <w:r w:rsidR="00D65559">
        <w:t>criteria such as</w:t>
      </w:r>
      <w:r>
        <w:t xml:space="preserve"> load balancing.  There is no need for SN serving cell measurement here.</w:t>
      </w:r>
      <w:r w:rsidR="00D65559">
        <w:t xml:space="preserve"> If there is an</w:t>
      </w:r>
      <w:r w:rsidR="00007482">
        <w:t xml:space="preserve"> occurrence of</w:t>
      </w:r>
      <w:r w:rsidR="00D65559">
        <w:t xml:space="preserve"> SN initiated SN release or change</w:t>
      </w:r>
      <w:r w:rsidR="00EC04CF">
        <w:t xml:space="preserve"> during the inter-MN HO</w:t>
      </w:r>
      <w:r w:rsidR="00D65559">
        <w:t>, the SN can accept or reject the SN addition</w:t>
      </w:r>
      <w:r w:rsidR="00E035F4">
        <w:t xml:space="preserve"> initiated</w:t>
      </w:r>
      <w:r w:rsidR="00D65559">
        <w:t xml:space="preserve"> by the target MN.</w:t>
      </w:r>
    </w:p>
    <w:p w14:paraId="60457FAC" w14:textId="5A27154F" w:rsidR="00B13B43" w:rsidRDefault="00B13B43" w:rsidP="00A67E09">
      <w:r w:rsidRPr="00B13B43">
        <w:rPr>
          <w:b/>
        </w:rPr>
        <w:t>Observation#4:</w:t>
      </w:r>
      <w:r>
        <w:t xml:space="preserve"> For inter-MN HO case without SN change, the target MN can infer from source MN not changing the SN that the SN is still good and thus can decide to keep or release the SN based on load balancing criteria. NR serving cell measurement is not needed to be provided by the source MN to the target MN.</w:t>
      </w:r>
    </w:p>
    <w:p w14:paraId="5FB75467" w14:textId="2C915176" w:rsidR="00B13B43" w:rsidRDefault="00B13B43" w:rsidP="00A67E09">
      <w:r w:rsidRPr="00B13B43">
        <w:rPr>
          <w:b/>
        </w:rPr>
        <w:t>Observation#5:</w:t>
      </w:r>
      <w:r>
        <w:t xml:space="preserve"> If there is an occurrence of SN initiated SN release or change during the inter-MN HO, the SN can accept or reject the SN addition initiated by the target MN. Again NR serving cell measurement is not needed from source MN to target MN.</w:t>
      </w:r>
    </w:p>
    <w:p w14:paraId="011FE297" w14:textId="04FE266A" w:rsidR="008A5359" w:rsidRDefault="008A5359" w:rsidP="00A67E09">
      <w:r>
        <w:t>For inter MN HO case with SN change, if there is Event Bx for NR neighbours occurring, the source MN can provide the NR neighbour measurement to the target MN. Just having the NR serving cell measurement is not sufficient to perform SN change</w:t>
      </w:r>
      <w:r w:rsidR="00D65559">
        <w:t>.</w:t>
      </w:r>
    </w:p>
    <w:p w14:paraId="0BDFE654" w14:textId="38353BA9" w:rsidR="00B13B43" w:rsidRDefault="00B13B43" w:rsidP="00A67E09">
      <w:r w:rsidRPr="00AC681E">
        <w:rPr>
          <w:b/>
        </w:rPr>
        <w:t>Observation#6:</w:t>
      </w:r>
      <w:r>
        <w:t xml:space="preserve"> NR serving cell measurement is not useful for inter-MN HO with SN change, as it also needs </w:t>
      </w:r>
      <w:r w:rsidR="00AC681E">
        <w:t>Event Bx to occur for NR neighbours.</w:t>
      </w:r>
    </w:p>
    <w:p w14:paraId="1EF8CBDA" w14:textId="24AB794E" w:rsidR="00D418D2" w:rsidRPr="003A28F3" w:rsidRDefault="00D418D2" w:rsidP="00D418D2">
      <w:r w:rsidRPr="003A28F3">
        <w:rPr>
          <w:b/>
        </w:rPr>
        <w:t>Proposal#1:</w:t>
      </w:r>
      <w:r w:rsidRPr="003A28F3">
        <w:t xml:space="preserve"> NR serving cell measurements are not included in measurement reporting for events not related to NR neighbours (e.g. Event A series and Event B series not related to NR neighbours</w:t>
      </w:r>
      <w:r w:rsidR="0001258F">
        <w:t xml:space="preserve"> and periodical reporting not reporting NR neighbours</w:t>
      </w:r>
      <w:r w:rsidRPr="003A28F3">
        <w:t>).</w:t>
      </w:r>
    </w:p>
    <w:bookmarkEnd w:id="2"/>
    <w:p w14:paraId="2AE6D99F" w14:textId="77777777" w:rsidR="00FB082B" w:rsidRPr="003A28F3" w:rsidRDefault="00FB082B" w:rsidP="00FB082B">
      <w:pPr>
        <w:pStyle w:val="Heading1"/>
        <w:rPr>
          <w:color w:val="auto"/>
        </w:rPr>
      </w:pPr>
      <w:r w:rsidRPr="003A28F3">
        <w:rPr>
          <w:color w:val="auto"/>
        </w:rPr>
        <w:t>Conclusion and proposals</w:t>
      </w:r>
    </w:p>
    <w:p w14:paraId="2AE6D9A0" w14:textId="77777777" w:rsidR="00FB082B" w:rsidRPr="003A28F3" w:rsidRDefault="00E30DAC" w:rsidP="00FB082B">
      <w:r w:rsidRPr="003A28F3">
        <w:t>It is requested that RAN 2 discuss and agree on the following proposal:</w:t>
      </w:r>
    </w:p>
    <w:p w14:paraId="2F1BC760" w14:textId="77777777" w:rsidR="00AC681E" w:rsidRDefault="00AC681E" w:rsidP="00AC681E">
      <w:r w:rsidRPr="00643C65">
        <w:rPr>
          <w:b/>
        </w:rPr>
        <w:t>Observation#1:</w:t>
      </w:r>
      <w:r>
        <w:t xml:space="preserve"> Event Ax for MN LTE SCell management does not require NR serving cell measurement.</w:t>
      </w:r>
    </w:p>
    <w:p w14:paraId="57BC840B" w14:textId="77777777" w:rsidR="00AC681E" w:rsidRDefault="00AC681E" w:rsidP="00AC681E">
      <w:r w:rsidRPr="00643C65">
        <w:rPr>
          <w:b/>
        </w:rPr>
        <w:t>Observation#2:</w:t>
      </w:r>
      <w:r>
        <w:t xml:space="preserve"> NR SCell management (NR SCell addition/release, PSCell change) is performed by SN. NR serving cell measurement is not needed for MN. </w:t>
      </w:r>
    </w:p>
    <w:p w14:paraId="2CA8B7AE" w14:textId="77777777" w:rsidR="00AC681E" w:rsidRDefault="00AC681E" w:rsidP="00AC681E">
      <w:r>
        <w:rPr>
          <w:b/>
        </w:rPr>
        <w:t>Observation#3:</w:t>
      </w:r>
      <w:r>
        <w:t xml:space="preserve"> Including NR serving cell measurement in intra-LTE (intra-MN and inter-MN) HO event reporting may result in delay in sending the report which may increase the probability of handover failure. </w:t>
      </w:r>
    </w:p>
    <w:p w14:paraId="7DC26474" w14:textId="77777777" w:rsidR="00AC681E" w:rsidRDefault="00AC681E" w:rsidP="00AC681E">
      <w:r w:rsidRPr="00B13B43">
        <w:rPr>
          <w:b/>
        </w:rPr>
        <w:lastRenderedPageBreak/>
        <w:t>Observation#4:</w:t>
      </w:r>
      <w:r>
        <w:t xml:space="preserve"> For inter-MN HO case without SN change, the target MN can infer from source MN not changing the SN that the SN is still good and thus can decide to keep or release the SN based on load balancing criteria. NR serving cell measurement is not needed to be provided by the source MN to the target MN.</w:t>
      </w:r>
    </w:p>
    <w:p w14:paraId="2594AF60" w14:textId="77777777" w:rsidR="00AC681E" w:rsidRDefault="00AC681E" w:rsidP="00AC681E">
      <w:r w:rsidRPr="00B13B43">
        <w:rPr>
          <w:b/>
        </w:rPr>
        <w:t>Observation#5:</w:t>
      </w:r>
      <w:r>
        <w:t xml:space="preserve"> If there is an occurrence of SN initiated SN release or change during the inter-MN HO, the SN can accept or reject the SN addition initiated by the target MN. Again NR serving cell measurement is not needed from source MN to target MN.</w:t>
      </w:r>
    </w:p>
    <w:p w14:paraId="564FF7E0" w14:textId="77777777" w:rsidR="00AC681E" w:rsidRDefault="00AC681E" w:rsidP="00AC681E">
      <w:r w:rsidRPr="00AC681E">
        <w:rPr>
          <w:b/>
        </w:rPr>
        <w:t>Observation#6:</w:t>
      </w:r>
      <w:r>
        <w:t xml:space="preserve"> NR serving cell measurement is not useful for inter-MN HO with SN change, as it also needs Event Bx to occur for NR neighbours.</w:t>
      </w:r>
    </w:p>
    <w:p w14:paraId="20295644" w14:textId="77777777" w:rsidR="00AC681E" w:rsidRPr="003A28F3" w:rsidRDefault="00AC681E" w:rsidP="00AC681E">
      <w:r w:rsidRPr="003A28F3">
        <w:rPr>
          <w:b/>
        </w:rPr>
        <w:t>Proposal#1:</w:t>
      </w:r>
      <w:r w:rsidRPr="003A28F3">
        <w:t xml:space="preserve"> NR serving cell measurements are not included in measurement reporting for events not related to NR neighbours (e.g. Event A series and Event B series not related to NR neighbours</w:t>
      </w:r>
      <w:r>
        <w:t xml:space="preserve"> and periodical reporting not reporting NR neighbours</w:t>
      </w:r>
      <w:r w:rsidRPr="003A28F3">
        <w:t>).</w:t>
      </w:r>
    </w:p>
    <w:p w14:paraId="2AE6D9A3" w14:textId="77777777" w:rsidR="00E30DAC" w:rsidRPr="006F7A26" w:rsidRDefault="00E30DAC" w:rsidP="00E30DAC"/>
    <w:p w14:paraId="2AE6D9A4" w14:textId="77777777" w:rsidR="00FB082B" w:rsidRPr="00FB082B" w:rsidRDefault="00FB082B" w:rsidP="00FB082B"/>
    <w:sectPr w:rsidR="00FB082B" w:rsidRPr="00FB082B">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
  </w:num>
  <w:num w:numId="2">
    <w:abstractNumId w:val="13"/>
  </w:num>
  <w:num w:numId="3">
    <w:abstractNumId w:val="11"/>
  </w:num>
  <w:num w:numId="4">
    <w:abstractNumId w:val="16"/>
  </w:num>
  <w:num w:numId="5">
    <w:abstractNumId w:val="8"/>
  </w:num>
  <w:num w:numId="6">
    <w:abstractNumId w:val="16"/>
  </w:num>
  <w:num w:numId="7">
    <w:abstractNumId w:val="17"/>
  </w:num>
  <w:num w:numId="8">
    <w:abstractNumId w:val="9"/>
  </w:num>
  <w:num w:numId="9">
    <w:abstractNumId w:val="6"/>
  </w:num>
  <w:num w:numId="10">
    <w:abstractNumId w:val="2"/>
  </w:num>
  <w:num w:numId="11">
    <w:abstractNumId w:val="12"/>
  </w:num>
  <w:num w:numId="12">
    <w:abstractNumId w:val="0"/>
  </w:num>
  <w:num w:numId="13">
    <w:abstractNumId w:val="7"/>
  </w:num>
  <w:num w:numId="14">
    <w:abstractNumId w:val="3"/>
  </w:num>
  <w:num w:numId="15">
    <w:abstractNumId w:val="4"/>
  </w:num>
  <w:num w:numId="16">
    <w:abstractNumId w:val="14"/>
  </w:num>
  <w:num w:numId="17">
    <w:abstractNumId w:val="10"/>
  </w:num>
  <w:num w:numId="18">
    <w:abstractNumId w:val="5"/>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07482"/>
    <w:rsid w:val="000108C2"/>
    <w:rsid w:val="00011610"/>
    <w:rsid w:val="000122EF"/>
    <w:rsid w:val="0001258F"/>
    <w:rsid w:val="000127B5"/>
    <w:rsid w:val="00013A53"/>
    <w:rsid w:val="00014DB9"/>
    <w:rsid w:val="00014EAC"/>
    <w:rsid w:val="0001633D"/>
    <w:rsid w:val="00016643"/>
    <w:rsid w:val="00017ADD"/>
    <w:rsid w:val="000209BD"/>
    <w:rsid w:val="00022227"/>
    <w:rsid w:val="0002567C"/>
    <w:rsid w:val="000260C4"/>
    <w:rsid w:val="00027DC1"/>
    <w:rsid w:val="000318D7"/>
    <w:rsid w:val="00032E19"/>
    <w:rsid w:val="00033C3E"/>
    <w:rsid w:val="00034A19"/>
    <w:rsid w:val="00035239"/>
    <w:rsid w:val="0003548E"/>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53C"/>
    <w:rsid w:val="00056C4E"/>
    <w:rsid w:val="000612E3"/>
    <w:rsid w:val="000619B5"/>
    <w:rsid w:val="00062544"/>
    <w:rsid w:val="00062EF3"/>
    <w:rsid w:val="0006393A"/>
    <w:rsid w:val="0006732D"/>
    <w:rsid w:val="00067760"/>
    <w:rsid w:val="00067C37"/>
    <w:rsid w:val="000702DE"/>
    <w:rsid w:val="000704FD"/>
    <w:rsid w:val="000717EA"/>
    <w:rsid w:val="00072D10"/>
    <w:rsid w:val="00073644"/>
    <w:rsid w:val="00074CF7"/>
    <w:rsid w:val="00075E89"/>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647B"/>
    <w:rsid w:val="000A6AC1"/>
    <w:rsid w:val="000A6C96"/>
    <w:rsid w:val="000A6F4D"/>
    <w:rsid w:val="000A75B0"/>
    <w:rsid w:val="000B6F71"/>
    <w:rsid w:val="000B7A4F"/>
    <w:rsid w:val="000C0749"/>
    <w:rsid w:val="000C088C"/>
    <w:rsid w:val="000C1817"/>
    <w:rsid w:val="000C1899"/>
    <w:rsid w:val="000C1CC4"/>
    <w:rsid w:val="000C1FE2"/>
    <w:rsid w:val="000C2537"/>
    <w:rsid w:val="000C4BD4"/>
    <w:rsid w:val="000C523A"/>
    <w:rsid w:val="000C7A7E"/>
    <w:rsid w:val="000D031F"/>
    <w:rsid w:val="000D0609"/>
    <w:rsid w:val="000D2585"/>
    <w:rsid w:val="000D2D90"/>
    <w:rsid w:val="000D33D7"/>
    <w:rsid w:val="000D3700"/>
    <w:rsid w:val="000D53F8"/>
    <w:rsid w:val="000D54E1"/>
    <w:rsid w:val="000D59A5"/>
    <w:rsid w:val="000D5D4E"/>
    <w:rsid w:val="000E02E3"/>
    <w:rsid w:val="000E17F5"/>
    <w:rsid w:val="000E419D"/>
    <w:rsid w:val="000E558E"/>
    <w:rsid w:val="000E614D"/>
    <w:rsid w:val="000E7453"/>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5979"/>
    <w:rsid w:val="00105A16"/>
    <w:rsid w:val="00105EA4"/>
    <w:rsid w:val="00107B60"/>
    <w:rsid w:val="001112EA"/>
    <w:rsid w:val="00112997"/>
    <w:rsid w:val="0011415B"/>
    <w:rsid w:val="00114899"/>
    <w:rsid w:val="0012062A"/>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40DA"/>
    <w:rsid w:val="00144E70"/>
    <w:rsid w:val="0014534A"/>
    <w:rsid w:val="001456C1"/>
    <w:rsid w:val="00146364"/>
    <w:rsid w:val="00146403"/>
    <w:rsid w:val="00146E07"/>
    <w:rsid w:val="0015140E"/>
    <w:rsid w:val="00151BE9"/>
    <w:rsid w:val="00151D67"/>
    <w:rsid w:val="00152274"/>
    <w:rsid w:val="00152315"/>
    <w:rsid w:val="0015254C"/>
    <w:rsid w:val="001536F2"/>
    <w:rsid w:val="001539C6"/>
    <w:rsid w:val="00153AE1"/>
    <w:rsid w:val="00154A26"/>
    <w:rsid w:val="00155892"/>
    <w:rsid w:val="00156F72"/>
    <w:rsid w:val="0016368A"/>
    <w:rsid w:val="00164CF9"/>
    <w:rsid w:val="00165AAC"/>
    <w:rsid w:val="00171235"/>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F7F"/>
    <w:rsid w:val="001B7242"/>
    <w:rsid w:val="001B79BF"/>
    <w:rsid w:val="001C0FA5"/>
    <w:rsid w:val="001C161F"/>
    <w:rsid w:val="001C1A9F"/>
    <w:rsid w:val="001C5006"/>
    <w:rsid w:val="001C527B"/>
    <w:rsid w:val="001C6CEB"/>
    <w:rsid w:val="001C6F55"/>
    <w:rsid w:val="001D1718"/>
    <w:rsid w:val="001D1C57"/>
    <w:rsid w:val="001D2345"/>
    <w:rsid w:val="001D24BC"/>
    <w:rsid w:val="001D25F9"/>
    <w:rsid w:val="001D26BC"/>
    <w:rsid w:val="001D33A9"/>
    <w:rsid w:val="001D3529"/>
    <w:rsid w:val="001D3C86"/>
    <w:rsid w:val="001D5B46"/>
    <w:rsid w:val="001D72BF"/>
    <w:rsid w:val="001D7312"/>
    <w:rsid w:val="001D7F40"/>
    <w:rsid w:val="001E21D2"/>
    <w:rsid w:val="001E4937"/>
    <w:rsid w:val="001E662C"/>
    <w:rsid w:val="001E6B62"/>
    <w:rsid w:val="001E7CB8"/>
    <w:rsid w:val="001F00E4"/>
    <w:rsid w:val="001F14D8"/>
    <w:rsid w:val="001F1673"/>
    <w:rsid w:val="001F1AB0"/>
    <w:rsid w:val="001F27E4"/>
    <w:rsid w:val="001F3A61"/>
    <w:rsid w:val="001F3C1E"/>
    <w:rsid w:val="001F42EE"/>
    <w:rsid w:val="001F4B9B"/>
    <w:rsid w:val="001F6AB1"/>
    <w:rsid w:val="001F7146"/>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4DCA"/>
    <w:rsid w:val="0023547A"/>
    <w:rsid w:val="00235E14"/>
    <w:rsid w:val="002368E4"/>
    <w:rsid w:val="002371D6"/>
    <w:rsid w:val="00237B3C"/>
    <w:rsid w:val="00237E21"/>
    <w:rsid w:val="00240588"/>
    <w:rsid w:val="002409D3"/>
    <w:rsid w:val="00241E41"/>
    <w:rsid w:val="002431DA"/>
    <w:rsid w:val="00243D3D"/>
    <w:rsid w:val="00244C3A"/>
    <w:rsid w:val="00245078"/>
    <w:rsid w:val="0024553B"/>
    <w:rsid w:val="00246F74"/>
    <w:rsid w:val="002523C0"/>
    <w:rsid w:val="00253C8C"/>
    <w:rsid w:val="00253DE4"/>
    <w:rsid w:val="002548DE"/>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8AB"/>
    <w:rsid w:val="002803B1"/>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279C"/>
    <w:rsid w:val="002E35FA"/>
    <w:rsid w:val="002E3AC0"/>
    <w:rsid w:val="002E4701"/>
    <w:rsid w:val="002E4813"/>
    <w:rsid w:val="002E5245"/>
    <w:rsid w:val="002F03ED"/>
    <w:rsid w:val="002F056C"/>
    <w:rsid w:val="002F21C3"/>
    <w:rsid w:val="002F320B"/>
    <w:rsid w:val="002F35A4"/>
    <w:rsid w:val="002F62B7"/>
    <w:rsid w:val="002F72D8"/>
    <w:rsid w:val="00301541"/>
    <w:rsid w:val="003019C6"/>
    <w:rsid w:val="00301BA2"/>
    <w:rsid w:val="00302282"/>
    <w:rsid w:val="00302D57"/>
    <w:rsid w:val="0030351A"/>
    <w:rsid w:val="00304477"/>
    <w:rsid w:val="00304DF5"/>
    <w:rsid w:val="00305445"/>
    <w:rsid w:val="00305DFE"/>
    <w:rsid w:val="0031134A"/>
    <w:rsid w:val="003115B7"/>
    <w:rsid w:val="003117A1"/>
    <w:rsid w:val="00312974"/>
    <w:rsid w:val="00313A61"/>
    <w:rsid w:val="00313C29"/>
    <w:rsid w:val="00314040"/>
    <w:rsid w:val="003149DD"/>
    <w:rsid w:val="00314ACD"/>
    <w:rsid w:val="0031731E"/>
    <w:rsid w:val="003210EC"/>
    <w:rsid w:val="0032134E"/>
    <w:rsid w:val="00322459"/>
    <w:rsid w:val="0032260A"/>
    <w:rsid w:val="0032559A"/>
    <w:rsid w:val="00325E3A"/>
    <w:rsid w:val="003279EB"/>
    <w:rsid w:val="00330356"/>
    <w:rsid w:val="00331196"/>
    <w:rsid w:val="00331512"/>
    <w:rsid w:val="00331BC9"/>
    <w:rsid w:val="0033360E"/>
    <w:rsid w:val="00334DA4"/>
    <w:rsid w:val="00334E2C"/>
    <w:rsid w:val="003367FF"/>
    <w:rsid w:val="00340D92"/>
    <w:rsid w:val="003436E2"/>
    <w:rsid w:val="00343827"/>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196A"/>
    <w:rsid w:val="00383EF3"/>
    <w:rsid w:val="00384C07"/>
    <w:rsid w:val="00386C16"/>
    <w:rsid w:val="003871D2"/>
    <w:rsid w:val="003875EE"/>
    <w:rsid w:val="003878D3"/>
    <w:rsid w:val="00387F7F"/>
    <w:rsid w:val="003906E6"/>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E50"/>
    <w:rsid w:val="003A4644"/>
    <w:rsid w:val="003A4D37"/>
    <w:rsid w:val="003A51D7"/>
    <w:rsid w:val="003B0001"/>
    <w:rsid w:val="003B088B"/>
    <w:rsid w:val="003B0953"/>
    <w:rsid w:val="003B0C30"/>
    <w:rsid w:val="003B0E90"/>
    <w:rsid w:val="003B1640"/>
    <w:rsid w:val="003B1C07"/>
    <w:rsid w:val="003B1DA4"/>
    <w:rsid w:val="003B24AB"/>
    <w:rsid w:val="003B2D45"/>
    <w:rsid w:val="003B5AAE"/>
    <w:rsid w:val="003B618E"/>
    <w:rsid w:val="003B64EB"/>
    <w:rsid w:val="003B718F"/>
    <w:rsid w:val="003B7D88"/>
    <w:rsid w:val="003C272A"/>
    <w:rsid w:val="003C2928"/>
    <w:rsid w:val="003C2CB9"/>
    <w:rsid w:val="003C3505"/>
    <w:rsid w:val="003C4363"/>
    <w:rsid w:val="003C448C"/>
    <w:rsid w:val="003C4A67"/>
    <w:rsid w:val="003C56AB"/>
    <w:rsid w:val="003C5F8F"/>
    <w:rsid w:val="003C6426"/>
    <w:rsid w:val="003D0607"/>
    <w:rsid w:val="003D1328"/>
    <w:rsid w:val="003D20E7"/>
    <w:rsid w:val="003D22BA"/>
    <w:rsid w:val="003D2390"/>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5BEF"/>
    <w:rsid w:val="003E6853"/>
    <w:rsid w:val="003E7FEC"/>
    <w:rsid w:val="003F042E"/>
    <w:rsid w:val="003F0DF6"/>
    <w:rsid w:val="003F0FBB"/>
    <w:rsid w:val="003F16B8"/>
    <w:rsid w:val="003F2E40"/>
    <w:rsid w:val="003F41AD"/>
    <w:rsid w:val="003F65B5"/>
    <w:rsid w:val="003F72CE"/>
    <w:rsid w:val="003F7B2C"/>
    <w:rsid w:val="00400B33"/>
    <w:rsid w:val="00403643"/>
    <w:rsid w:val="00407640"/>
    <w:rsid w:val="00407B1F"/>
    <w:rsid w:val="00407CFD"/>
    <w:rsid w:val="0041071E"/>
    <w:rsid w:val="00411406"/>
    <w:rsid w:val="00411C95"/>
    <w:rsid w:val="0041262B"/>
    <w:rsid w:val="00412645"/>
    <w:rsid w:val="0041304A"/>
    <w:rsid w:val="00413750"/>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5D65"/>
    <w:rsid w:val="004276FA"/>
    <w:rsid w:val="0042793A"/>
    <w:rsid w:val="00430179"/>
    <w:rsid w:val="004308F5"/>
    <w:rsid w:val="00431F0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411B"/>
    <w:rsid w:val="00447B76"/>
    <w:rsid w:val="0045058F"/>
    <w:rsid w:val="004507F8"/>
    <w:rsid w:val="0045094D"/>
    <w:rsid w:val="00451DB8"/>
    <w:rsid w:val="00453272"/>
    <w:rsid w:val="00455F90"/>
    <w:rsid w:val="00456DC3"/>
    <w:rsid w:val="00457030"/>
    <w:rsid w:val="0045782C"/>
    <w:rsid w:val="00457BE0"/>
    <w:rsid w:val="00460010"/>
    <w:rsid w:val="00462A11"/>
    <w:rsid w:val="0046375A"/>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1B9"/>
    <w:rsid w:val="0047747A"/>
    <w:rsid w:val="004774FE"/>
    <w:rsid w:val="00480210"/>
    <w:rsid w:val="004820E8"/>
    <w:rsid w:val="00483046"/>
    <w:rsid w:val="004863BE"/>
    <w:rsid w:val="004872C5"/>
    <w:rsid w:val="004930FC"/>
    <w:rsid w:val="0049314E"/>
    <w:rsid w:val="00493979"/>
    <w:rsid w:val="004946E1"/>
    <w:rsid w:val="00494B45"/>
    <w:rsid w:val="004953C7"/>
    <w:rsid w:val="00497203"/>
    <w:rsid w:val="00497786"/>
    <w:rsid w:val="004A2ACA"/>
    <w:rsid w:val="004A4311"/>
    <w:rsid w:val="004A5A97"/>
    <w:rsid w:val="004A6457"/>
    <w:rsid w:val="004A6822"/>
    <w:rsid w:val="004A7411"/>
    <w:rsid w:val="004B19B2"/>
    <w:rsid w:val="004B2ADE"/>
    <w:rsid w:val="004B2E4A"/>
    <w:rsid w:val="004B3A95"/>
    <w:rsid w:val="004B3B30"/>
    <w:rsid w:val="004B463C"/>
    <w:rsid w:val="004B55BD"/>
    <w:rsid w:val="004B69D2"/>
    <w:rsid w:val="004B7B32"/>
    <w:rsid w:val="004C02ED"/>
    <w:rsid w:val="004C1948"/>
    <w:rsid w:val="004C2DAD"/>
    <w:rsid w:val="004C3CFF"/>
    <w:rsid w:val="004C4696"/>
    <w:rsid w:val="004C46CC"/>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2161"/>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2A65"/>
    <w:rsid w:val="00503278"/>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DE2"/>
    <w:rsid w:val="005505C2"/>
    <w:rsid w:val="00550966"/>
    <w:rsid w:val="005510C8"/>
    <w:rsid w:val="0055388C"/>
    <w:rsid w:val="00553F1E"/>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704D2"/>
    <w:rsid w:val="00570610"/>
    <w:rsid w:val="0057079C"/>
    <w:rsid w:val="00570C2F"/>
    <w:rsid w:val="0057509B"/>
    <w:rsid w:val="0057680F"/>
    <w:rsid w:val="005768D7"/>
    <w:rsid w:val="00577492"/>
    <w:rsid w:val="00580438"/>
    <w:rsid w:val="00581967"/>
    <w:rsid w:val="0058431E"/>
    <w:rsid w:val="00585B50"/>
    <w:rsid w:val="00586287"/>
    <w:rsid w:val="00590137"/>
    <w:rsid w:val="00590694"/>
    <w:rsid w:val="00590DDE"/>
    <w:rsid w:val="005922E7"/>
    <w:rsid w:val="0059294B"/>
    <w:rsid w:val="005A1241"/>
    <w:rsid w:val="005A1A58"/>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57BC"/>
    <w:rsid w:val="005D74CE"/>
    <w:rsid w:val="005D7E7C"/>
    <w:rsid w:val="005E20C1"/>
    <w:rsid w:val="005E33FE"/>
    <w:rsid w:val="005E54A8"/>
    <w:rsid w:val="005E5F42"/>
    <w:rsid w:val="005E71C4"/>
    <w:rsid w:val="005F00EE"/>
    <w:rsid w:val="005F29FE"/>
    <w:rsid w:val="005F308D"/>
    <w:rsid w:val="005F35C2"/>
    <w:rsid w:val="005F428F"/>
    <w:rsid w:val="005F48E7"/>
    <w:rsid w:val="005F4F5E"/>
    <w:rsid w:val="005F5319"/>
    <w:rsid w:val="005F6752"/>
    <w:rsid w:val="005F6F33"/>
    <w:rsid w:val="005F71FC"/>
    <w:rsid w:val="005F76C2"/>
    <w:rsid w:val="005F79F3"/>
    <w:rsid w:val="00600E33"/>
    <w:rsid w:val="006011DC"/>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F15"/>
    <w:rsid w:val="00642455"/>
    <w:rsid w:val="0064286D"/>
    <w:rsid w:val="00643C65"/>
    <w:rsid w:val="0064450D"/>
    <w:rsid w:val="006448B3"/>
    <w:rsid w:val="00644D33"/>
    <w:rsid w:val="00645660"/>
    <w:rsid w:val="00646761"/>
    <w:rsid w:val="00646933"/>
    <w:rsid w:val="006470E3"/>
    <w:rsid w:val="006504A5"/>
    <w:rsid w:val="00651ABA"/>
    <w:rsid w:val="0065261C"/>
    <w:rsid w:val="0065268C"/>
    <w:rsid w:val="00652EC5"/>
    <w:rsid w:val="00653D5B"/>
    <w:rsid w:val="0066206D"/>
    <w:rsid w:val="00662575"/>
    <w:rsid w:val="00664189"/>
    <w:rsid w:val="006642A0"/>
    <w:rsid w:val="006647F5"/>
    <w:rsid w:val="00665D07"/>
    <w:rsid w:val="00666013"/>
    <w:rsid w:val="00666C11"/>
    <w:rsid w:val="00667C7C"/>
    <w:rsid w:val="00670367"/>
    <w:rsid w:val="00670830"/>
    <w:rsid w:val="00670FFC"/>
    <w:rsid w:val="00672463"/>
    <w:rsid w:val="006725C1"/>
    <w:rsid w:val="00674043"/>
    <w:rsid w:val="0067661D"/>
    <w:rsid w:val="00677232"/>
    <w:rsid w:val="0068052E"/>
    <w:rsid w:val="00680E72"/>
    <w:rsid w:val="00681090"/>
    <w:rsid w:val="006816C2"/>
    <w:rsid w:val="0068301E"/>
    <w:rsid w:val="0068326F"/>
    <w:rsid w:val="006845AF"/>
    <w:rsid w:val="006849B8"/>
    <w:rsid w:val="00685E1A"/>
    <w:rsid w:val="006870D8"/>
    <w:rsid w:val="00687FDD"/>
    <w:rsid w:val="00690C6D"/>
    <w:rsid w:val="006914E8"/>
    <w:rsid w:val="006915F7"/>
    <w:rsid w:val="00693049"/>
    <w:rsid w:val="006937F1"/>
    <w:rsid w:val="00693AD6"/>
    <w:rsid w:val="00694993"/>
    <w:rsid w:val="0069556C"/>
    <w:rsid w:val="00695C88"/>
    <w:rsid w:val="006960E2"/>
    <w:rsid w:val="00696D53"/>
    <w:rsid w:val="006974A1"/>
    <w:rsid w:val="006A1C3A"/>
    <w:rsid w:val="006A205A"/>
    <w:rsid w:val="006A27C1"/>
    <w:rsid w:val="006A345F"/>
    <w:rsid w:val="006A3D67"/>
    <w:rsid w:val="006A50E6"/>
    <w:rsid w:val="006A65D9"/>
    <w:rsid w:val="006A669D"/>
    <w:rsid w:val="006A68B1"/>
    <w:rsid w:val="006A6C74"/>
    <w:rsid w:val="006A774D"/>
    <w:rsid w:val="006B01F0"/>
    <w:rsid w:val="006B117D"/>
    <w:rsid w:val="006B1F1E"/>
    <w:rsid w:val="006B2CB3"/>
    <w:rsid w:val="006B36CB"/>
    <w:rsid w:val="006B44B3"/>
    <w:rsid w:val="006B6E3D"/>
    <w:rsid w:val="006C02AF"/>
    <w:rsid w:val="006C1303"/>
    <w:rsid w:val="006C1EFC"/>
    <w:rsid w:val="006C202B"/>
    <w:rsid w:val="006C2DCC"/>
    <w:rsid w:val="006C2F52"/>
    <w:rsid w:val="006C32CA"/>
    <w:rsid w:val="006C390F"/>
    <w:rsid w:val="006C41F6"/>
    <w:rsid w:val="006C5201"/>
    <w:rsid w:val="006C5832"/>
    <w:rsid w:val="006C584F"/>
    <w:rsid w:val="006C64B5"/>
    <w:rsid w:val="006C684A"/>
    <w:rsid w:val="006D067B"/>
    <w:rsid w:val="006D0703"/>
    <w:rsid w:val="006D0CB4"/>
    <w:rsid w:val="006D20E8"/>
    <w:rsid w:val="006D36D3"/>
    <w:rsid w:val="006D4D1B"/>
    <w:rsid w:val="006D7283"/>
    <w:rsid w:val="006E0187"/>
    <w:rsid w:val="006E0577"/>
    <w:rsid w:val="006E0843"/>
    <w:rsid w:val="006E0D2E"/>
    <w:rsid w:val="006E1DB3"/>
    <w:rsid w:val="006E5CAC"/>
    <w:rsid w:val="006E5D03"/>
    <w:rsid w:val="006E5E18"/>
    <w:rsid w:val="006E5EE9"/>
    <w:rsid w:val="006E637F"/>
    <w:rsid w:val="006E7FB8"/>
    <w:rsid w:val="006F3572"/>
    <w:rsid w:val="006F4569"/>
    <w:rsid w:val="006F4590"/>
    <w:rsid w:val="006F714C"/>
    <w:rsid w:val="006F773E"/>
    <w:rsid w:val="006F7A26"/>
    <w:rsid w:val="0070184D"/>
    <w:rsid w:val="007027B8"/>
    <w:rsid w:val="0070372E"/>
    <w:rsid w:val="00703D3A"/>
    <w:rsid w:val="00703E6E"/>
    <w:rsid w:val="00704556"/>
    <w:rsid w:val="00705516"/>
    <w:rsid w:val="00711251"/>
    <w:rsid w:val="00711BF7"/>
    <w:rsid w:val="0071529D"/>
    <w:rsid w:val="007152DF"/>
    <w:rsid w:val="0071661B"/>
    <w:rsid w:val="0071663A"/>
    <w:rsid w:val="007167FD"/>
    <w:rsid w:val="00720051"/>
    <w:rsid w:val="00720409"/>
    <w:rsid w:val="007206B0"/>
    <w:rsid w:val="0072146B"/>
    <w:rsid w:val="00722243"/>
    <w:rsid w:val="007224DA"/>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3F3"/>
    <w:rsid w:val="00764628"/>
    <w:rsid w:val="0076477C"/>
    <w:rsid w:val="00764899"/>
    <w:rsid w:val="00764965"/>
    <w:rsid w:val="00764F1B"/>
    <w:rsid w:val="00764F3E"/>
    <w:rsid w:val="007671CA"/>
    <w:rsid w:val="00770385"/>
    <w:rsid w:val="007713D9"/>
    <w:rsid w:val="007716F1"/>
    <w:rsid w:val="00771F63"/>
    <w:rsid w:val="00776F5F"/>
    <w:rsid w:val="00777CC7"/>
    <w:rsid w:val="00780E29"/>
    <w:rsid w:val="007820F7"/>
    <w:rsid w:val="00782905"/>
    <w:rsid w:val="00783CAF"/>
    <w:rsid w:val="007844A1"/>
    <w:rsid w:val="00784A45"/>
    <w:rsid w:val="00784D05"/>
    <w:rsid w:val="007850FC"/>
    <w:rsid w:val="007851E4"/>
    <w:rsid w:val="00785A29"/>
    <w:rsid w:val="00786595"/>
    <w:rsid w:val="007904EA"/>
    <w:rsid w:val="00790AD4"/>
    <w:rsid w:val="00791438"/>
    <w:rsid w:val="00792E5B"/>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4F26"/>
    <w:rsid w:val="007C5A03"/>
    <w:rsid w:val="007C5A3B"/>
    <w:rsid w:val="007D01A9"/>
    <w:rsid w:val="007D0529"/>
    <w:rsid w:val="007D0F8B"/>
    <w:rsid w:val="007D11D6"/>
    <w:rsid w:val="007D2012"/>
    <w:rsid w:val="007D23EB"/>
    <w:rsid w:val="007D277E"/>
    <w:rsid w:val="007D5206"/>
    <w:rsid w:val="007D5C2A"/>
    <w:rsid w:val="007D600D"/>
    <w:rsid w:val="007D6379"/>
    <w:rsid w:val="007E06C4"/>
    <w:rsid w:val="007E0832"/>
    <w:rsid w:val="007E0947"/>
    <w:rsid w:val="007E1DEA"/>
    <w:rsid w:val="007E1DEE"/>
    <w:rsid w:val="007E242F"/>
    <w:rsid w:val="007E2494"/>
    <w:rsid w:val="007E3FD5"/>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6336"/>
    <w:rsid w:val="00807AC3"/>
    <w:rsid w:val="00807BFD"/>
    <w:rsid w:val="00810E6D"/>
    <w:rsid w:val="00811ECD"/>
    <w:rsid w:val="00812E5D"/>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2927"/>
    <w:rsid w:val="00833904"/>
    <w:rsid w:val="00835BCE"/>
    <w:rsid w:val="0083691B"/>
    <w:rsid w:val="00836F12"/>
    <w:rsid w:val="00837D12"/>
    <w:rsid w:val="00840285"/>
    <w:rsid w:val="00841BDA"/>
    <w:rsid w:val="00845886"/>
    <w:rsid w:val="0084635C"/>
    <w:rsid w:val="0084702C"/>
    <w:rsid w:val="00850AC0"/>
    <w:rsid w:val="00851CAE"/>
    <w:rsid w:val="008526BA"/>
    <w:rsid w:val="00855703"/>
    <w:rsid w:val="00856631"/>
    <w:rsid w:val="00856968"/>
    <w:rsid w:val="00860AA1"/>
    <w:rsid w:val="008642B8"/>
    <w:rsid w:val="00864726"/>
    <w:rsid w:val="00864B1E"/>
    <w:rsid w:val="00865C64"/>
    <w:rsid w:val="00866011"/>
    <w:rsid w:val="00867B6F"/>
    <w:rsid w:val="00871A8C"/>
    <w:rsid w:val="00871A9C"/>
    <w:rsid w:val="00872C85"/>
    <w:rsid w:val="008734DE"/>
    <w:rsid w:val="00873BC8"/>
    <w:rsid w:val="00873E83"/>
    <w:rsid w:val="008747DE"/>
    <w:rsid w:val="008754FE"/>
    <w:rsid w:val="008756F0"/>
    <w:rsid w:val="008757F3"/>
    <w:rsid w:val="00877885"/>
    <w:rsid w:val="00883B61"/>
    <w:rsid w:val="00884405"/>
    <w:rsid w:val="00884EFD"/>
    <w:rsid w:val="00886635"/>
    <w:rsid w:val="00887134"/>
    <w:rsid w:val="0088765C"/>
    <w:rsid w:val="00890185"/>
    <w:rsid w:val="00891322"/>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5E57"/>
    <w:rsid w:val="008C705B"/>
    <w:rsid w:val="008D0E41"/>
    <w:rsid w:val="008D16D8"/>
    <w:rsid w:val="008D240E"/>
    <w:rsid w:val="008D29B1"/>
    <w:rsid w:val="008D34B5"/>
    <w:rsid w:val="008D4008"/>
    <w:rsid w:val="008D4097"/>
    <w:rsid w:val="008D4A5C"/>
    <w:rsid w:val="008D56D1"/>
    <w:rsid w:val="008D7252"/>
    <w:rsid w:val="008D7D7D"/>
    <w:rsid w:val="008E1981"/>
    <w:rsid w:val="008E4758"/>
    <w:rsid w:val="008F0FD3"/>
    <w:rsid w:val="008F1BF2"/>
    <w:rsid w:val="008F235D"/>
    <w:rsid w:val="008F2B4B"/>
    <w:rsid w:val="008F3876"/>
    <w:rsid w:val="008F3B2E"/>
    <w:rsid w:val="008F4925"/>
    <w:rsid w:val="008F5091"/>
    <w:rsid w:val="008F6481"/>
    <w:rsid w:val="008F7389"/>
    <w:rsid w:val="00902309"/>
    <w:rsid w:val="00902D34"/>
    <w:rsid w:val="00906EE4"/>
    <w:rsid w:val="0091135C"/>
    <w:rsid w:val="0091149E"/>
    <w:rsid w:val="00911773"/>
    <w:rsid w:val="009119D1"/>
    <w:rsid w:val="00912AC5"/>
    <w:rsid w:val="009138CD"/>
    <w:rsid w:val="00913A62"/>
    <w:rsid w:val="00915834"/>
    <w:rsid w:val="00916944"/>
    <w:rsid w:val="00920769"/>
    <w:rsid w:val="00921D6A"/>
    <w:rsid w:val="00921EAE"/>
    <w:rsid w:val="00921FB8"/>
    <w:rsid w:val="009221C1"/>
    <w:rsid w:val="009231BA"/>
    <w:rsid w:val="00924524"/>
    <w:rsid w:val="009245F2"/>
    <w:rsid w:val="00925023"/>
    <w:rsid w:val="00926478"/>
    <w:rsid w:val="009272FA"/>
    <w:rsid w:val="009276ED"/>
    <w:rsid w:val="00927D31"/>
    <w:rsid w:val="00927D6F"/>
    <w:rsid w:val="0093217B"/>
    <w:rsid w:val="00932808"/>
    <w:rsid w:val="00932B19"/>
    <w:rsid w:val="00932FC8"/>
    <w:rsid w:val="00933D4E"/>
    <w:rsid w:val="009350E8"/>
    <w:rsid w:val="00935C54"/>
    <w:rsid w:val="00936B22"/>
    <w:rsid w:val="009409C0"/>
    <w:rsid w:val="00940F8C"/>
    <w:rsid w:val="009416DA"/>
    <w:rsid w:val="00943A7C"/>
    <w:rsid w:val="009454F0"/>
    <w:rsid w:val="009456F0"/>
    <w:rsid w:val="00947168"/>
    <w:rsid w:val="009472A7"/>
    <w:rsid w:val="00947690"/>
    <w:rsid w:val="009502FE"/>
    <w:rsid w:val="009513D7"/>
    <w:rsid w:val="009514B4"/>
    <w:rsid w:val="009516E1"/>
    <w:rsid w:val="009518EA"/>
    <w:rsid w:val="00952965"/>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85A"/>
    <w:rsid w:val="00974689"/>
    <w:rsid w:val="00974B94"/>
    <w:rsid w:val="009755BE"/>
    <w:rsid w:val="0097636F"/>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1D"/>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563B"/>
    <w:rsid w:val="009B68C4"/>
    <w:rsid w:val="009C09E7"/>
    <w:rsid w:val="009C30C1"/>
    <w:rsid w:val="009C376B"/>
    <w:rsid w:val="009C5833"/>
    <w:rsid w:val="009C7D34"/>
    <w:rsid w:val="009D067A"/>
    <w:rsid w:val="009D1071"/>
    <w:rsid w:val="009D2422"/>
    <w:rsid w:val="009D258F"/>
    <w:rsid w:val="009D383F"/>
    <w:rsid w:val="009D412A"/>
    <w:rsid w:val="009D49F1"/>
    <w:rsid w:val="009D7417"/>
    <w:rsid w:val="009D76A7"/>
    <w:rsid w:val="009D76F4"/>
    <w:rsid w:val="009D792E"/>
    <w:rsid w:val="009E0861"/>
    <w:rsid w:val="009E0C33"/>
    <w:rsid w:val="009E14D0"/>
    <w:rsid w:val="009E3E64"/>
    <w:rsid w:val="009E4E74"/>
    <w:rsid w:val="009E5FA8"/>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A5B"/>
    <w:rsid w:val="00A45C0E"/>
    <w:rsid w:val="00A45D55"/>
    <w:rsid w:val="00A46F32"/>
    <w:rsid w:val="00A505B6"/>
    <w:rsid w:val="00A505BA"/>
    <w:rsid w:val="00A50C36"/>
    <w:rsid w:val="00A5255D"/>
    <w:rsid w:val="00A534F4"/>
    <w:rsid w:val="00A54D2C"/>
    <w:rsid w:val="00A56034"/>
    <w:rsid w:val="00A56B3B"/>
    <w:rsid w:val="00A578E2"/>
    <w:rsid w:val="00A600D8"/>
    <w:rsid w:val="00A608CC"/>
    <w:rsid w:val="00A60C0E"/>
    <w:rsid w:val="00A621CE"/>
    <w:rsid w:val="00A6278D"/>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FAC"/>
    <w:rsid w:val="00A753C0"/>
    <w:rsid w:val="00A75B9B"/>
    <w:rsid w:val="00A76AE7"/>
    <w:rsid w:val="00A775CB"/>
    <w:rsid w:val="00A80A97"/>
    <w:rsid w:val="00A81923"/>
    <w:rsid w:val="00A81FDD"/>
    <w:rsid w:val="00A828CC"/>
    <w:rsid w:val="00A8355B"/>
    <w:rsid w:val="00A841C8"/>
    <w:rsid w:val="00A84D34"/>
    <w:rsid w:val="00A84D85"/>
    <w:rsid w:val="00A86217"/>
    <w:rsid w:val="00A878B4"/>
    <w:rsid w:val="00A87A27"/>
    <w:rsid w:val="00A87FB7"/>
    <w:rsid w:val="00A90271"/>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62DA"/>
    <w:rsid w:val="00AC681E"/>
    <w:rsid w:val="00AC6FCF"/>
    <w:rsid w:val="00AC779E"/>
    <w:rsid w:val="00AC7D6A"/>
    <w:rsid w:val="00AD048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6D55"/>
    <w:rsid w:val="00AF75FD"/>
    <w:rsid w:val="00B015F3"/>
    <w:rsid w:val="00B01B58"/>
    <w:rsid w:val="00B02280"/>
    <w:rsid w:val="00B03F42"/>
    <w:rsid w:val="00B05F0A"/>
    <w:rsid w:val="00B10692"/>
    <w:rsid w:val="00B13B43"/>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39BD"/>
    <w:rsid w:val="00B34B55"/>
    <w:rsid w:val="00B35470"/>
    <w:rsid w:val="00B35688"/>
    <w:rsid w:val="00B36871"/>
    <w:rsid w:val="00B37060"/>
    <w:rsid w:val="00B3756B"/>
    <w:rsid w:val="00B403A6"/>
    <w:rsid w:val="00B40902"/>
    <w:rsid w:val="00B41FDA"/>
    <w:rsid w:val="00B42FA0"/>
    <w:rsid w:val="00B44C5F"/>
    <w:rsid w:val="00B46B65"/>
    <w:rsid w:val="00B46FA2"/>
    <w:rsid w:val="00B47BF3"/>
    <w:rsid w:val="00B47EED"/>
    <w:rsid w:val="00B50CED"/>
    <w:rsid w:val="00B510DC"/>
    <w:rsid w:val="00B5110C"/>
    <w:rsid w:val="00B52CA7"/>
    <w:rsid w:val="00B536A6"/>
    <w:rsid w:val="00B54901"/>
    <w:rsid w:val="00B55B0E"/>
    <w:rsid w:val="00B56F87"/>
    <w:rsid w:val="00B6046E"/>
    <w:rsid w:val="00B61D0C"/>
    <w:rsid w:val="00B62FC2"/>
    <w:rsid w:val="00B63DBE"/>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14F7"/>
    <w:rsid w:val="00B818C2"/>
    <w:rsid w:val="00B8268B"/>
    <w:rsid w:val="00B830DA"/>
    <w:rsid w:val="00B84168"/>
    <w:rsid w:val="00B85042"/>
    <w:rsid w:val="00B855F7"/>
    <w:rsid w:val="00B8794A"/>
    <w:rsid w:val="00B90030"/>
    <w:rsid w:val="00B93A44"/>
    <w:rsid w:val="00B946F3"/>
    <w:rsid w:val="00B95C02"/>
    <w:rsid w:val="00B95FA9"/>
    <w:rsid w:val="00B96946"/>
    <w:rsid w:val="00B97671"/>
    <w:rsid w:val="00BA047C"/>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62ED"/>
    <w:rsid w:val="00BD7BEB"/>
    <w:rsid w:val="00BE1069"/>
    <w:rsid w:val="00BE1777"/>
    <w:rsid w:val="00BE1F35"/>
    <w:rsid w:val="00BE21DD"/>
    <w:rsid w:val="00BE2D2B"/>
    <w:rsid w:val="00BE2E9C"/>
    <w:rsid w:val="00BE2F8F"/>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26A8"/>
    <w:rsid w:val="00C0312F"/>
    <w:rsid w:val="00C048C5"/>
    <w:rsid w:val="00C05458"/>
    <w:rsid w:val="00C0587B"/>
    <w:rsid w:val="00C058FF"/>
    <w:rsid w:val="00C05B3D"/>
    <w:rsid w:val="00C06172"/>
    <w:rsid w:val="00C06BD5"/>
    <w:rsid w:val="00C06C7B"/>
    <w:rsid w:val="00C06D70"/>
    <w:rsid w:val="00C06FC6"/>
    <w:rsid w:val="00C10EA6"/>
    <w:rsid w:val="00C11594"/>
    <w:rsid w:val="00C12476"/>
    <w:rsid w:val="00C13118"/>
    <w:rsid w:val="00C132DA"/>
    <w:rsid w:val="00C1356D"/>
    <w:rsid w:val="00C13C86"/>
    <w:rsid w:val="00C141F1"/>
    <w:rsid w:val="00C16304"/>
    <w:rsid w:val="00C16E7A"/>
    <w:rsid w:val="00C20EE9"/>
    <w:rsid w:val="00C2140A"/>
    <w:rsid w:val="00C216C7"/>
    <w:rsid w:val="00C2289D"/>
    <w:rsid w:val="00C228D0"/>
    <w:rsid w:val="00C24DB7"/>
    <w:rsid w:val="00C304A1"/>
    <w:rsid w:val="00C31317"/>
    <w:rsid w:val="00C313BE"/>
    <w:rsid w:val="00C3183F"/>
    <w:rsid w:val="00C31CCD"/>
    <w:rsid w:val="00C335DF"/>
    <w:rsid w:val="00C337FE"/>
    <w:rsid w:val="00C33CCE"/>
    <w:rsid w:val="00C35871"/>
    <w:rsid w:val="00C3692E"/>
    <w:rsid w:val="00C36C68"/>
    <w:rsid w:val="00C374C4"/>
    <w:rsid w:val="00C41B2D"/>
    <w:rsid w:val="00C41E36"/>
    <w:rsid w:val="00C42CA6"/>
    <w:rsid w:val="00C42E5A"/>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6F0"/>
    <w:rsid w:val="00C93DEF"/>
    <w:rsid w:val="00CA1719"/>
    <w:rsid w:val="00CA22B0"/>
    <w:rsid w:val="00CA2327"/>
    <w:rsid w:val="00CA2499"/>
    <w:rsid w:val="00CA2D97"/>
    <w:rsid w:val="00CA3E7D"/>
    <w:rsid w:val="00CA4D21"/>
    <w:rsid w:val="00CA6A0E"/>
    <w:rsid w:val="00CA7568"/>
    <w:rsid w:val="00CA79CD"/>
    <w:rsid w:val="00CB0466"/>
    <w:rsid w:val="00CB147F"/>
    <w:rsid w:val="00CB1C5C"/>
    <w:rsid w:val="00CB3137"/>
    <w:rsid w:val="00CB3B63"/>
    <w:rsid w:val="00CB48D7"/>
    <w:rsid w:val="00CB57F5"/>
    <w:rsid w:val="00CC03CC"/>
    <w:rsid w:val="00CC0A60"/>
    <w:rsid w:val="00CC0ABD"/>
    <w:rsid w:val="00CC2667"/>
    <w:rsid w:val="00CC5281"/>
    <w:rsid w:val="00CC6BA9"/>
    <w:rsid w:val="00CD004F"/>
    <w:rsid w:val="00CD0177"/>
    <w:rsid w:val="00CD2C72"/>
    <w:rsid w:val="00CD5AF3"/>
    <w:rsid w:val="00CE0604"/>
    <w:rsid w:val="00CE0FEB"/>
    <w:rsid w:val="00CE1841"/>
    <w:rsid w:val="00CE1870"/>
    <w:rsid w:val="00CE1983"/>
    <w:rsid w:val="00CE3843"/>
    <w:rsid w:val="00CE580D"/>
    <w:rsid w:val="00CE5C88"/>
    <w:rsid w:val="00CE7003"/>
    <w:rsid w:val="00CE7F87"/>
    <w:rsid w:val="00CF0BEB"/>
    <w:rsid w:val="00CF30CF"/>
    <w:rsid w:val="00CF58FC"/>
    <w:rsid w:val="00CF68DC"/>
    <w:rsid w:val="00CF701F"/>
    <w:rsid w:val="00D00E1E"/>
    <w:rsid w:val="00D0127C"/>
    <w:rsid w:val="00D01489"/>
    <w:rsid w:val="00D0199D"/>
    <w:rsid w:val="00D019C1"/>
    <w:rsid w:val="00D05285"/>
    <w:rsid w:val="00D05CD3"/>
    <w:rsid w:val="00D0664F"/>
    <w:rsid w:val="00D06EA4"/>
    <w:rsid w:val="00D07906"/>
    <w:rsid w:val="00D10025"/>
    <w:rsid w:val="00D119E4"/>
    <w:rsid w:val="00D12B36"/>
    <w:rsid w:val="00D13626"/>
    <w:rsid w:val="00D14410"/>
    <w:rsid w:val="00D1475C"/>
    <w:rsid w:val="00D14CFF"/>
    <w:rsid w:val="00D14FF9"/>
    <w:rsid w:val="00D157B1"/>
    <w:rsid w:val="00D169DA"/>
    <w:rsid w:val="00D17481"/>
    <w:rsid w:val="00D176A6"/>
    <w:rsid w:val="00D176F2"/>
    <w:rsid w:val="00D17883"/>
    <w:rsid w:val="00D23465"/>
    <w:rsid w:val="00D23AC5"/>
    <w:rsid w:val="00D24F46"/>
    <w:rsid w:val="00D268EC"/>
    <w:rsid w:val="00D30B0C"/>
    <w:rsid w:val="00D3286F"/>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5367F"/>
    <w:rsid w:val="00D53800"/>
    <w:rsid w:val="00D540C3"/>
    <w:rsid w:val="00D554C0"/>
    <w:rsid w:val="00D554C4"/>
    <w:rsid w:val="00D56392"/>
    <w:rsid w:val="00D56B04"/>
    <w:rsid w:val="00D60837"/>
    <w:rsid w:val="00D62D61"/>
    <w:rsid w:val="00D632E0"/>
    <w:rsid w:val="00D63780"/>
    <w:rsid w:val="00D63E9A"/>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9DD"/>
    <w:rsid w:val="00D76287"/>
    <w:rsid w:val="00D76C12"/>
    <w:rsid w:val="00D76D8E"/>
    <w:rsid w:val="00D772F1"/>
    <w:rsid w:val="00D80D4C"/>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124F"/>
    <w:rsid w:val="00DD15F4"/>
    <w:rsid w:val="00DD1CA1"/>
    <w:rsid w:val="00DD2FD5"/>
    <w:rsid w:val="00DD448F"/>
    <w:rsid w:val="00DD4B60"/>
    <w:rsid w:val="00DD4F46"/>
    <w:rsid w:val="00DD55F2"/>
    <w:rsid w:val="00DE05DE"/>
    <w:rsid w:val="00DE1ABB"/>
    <w:rsid w:val="00DE3012"/>
    <w:rsid w:val="00DE313F"/>
    <w:rsid w:val="00DE323E"/>
    <w:rsid w:val="00DE33A2"/>
    <w:rsid w:val="00DE36C2"/>
    <w:rsid w:val="00DE4110"/>
    <w:rsid w:val="00DE4D71"/>
    <w:rsid w:val="00DE566B"/>
    <w:rsid w:val="00DE61B2"/>
    <w:rsid w:val="00DE632C"/>
    <w:rsid w:val="00DE63C4"/>
    <w:rsid w:val="00DF067C"/>
    <w:rsid w:val="00DF0F81"/>
    <w:rsid w:val="00DF2535"/>
    <w:rsid w:val="00DF3031"/>
    <w:rsid w:val="00DF3816"/>
    <w:rsid w:val="00DF5EB4"/>
    <w:rsid w:val="00DF62F4"/>
    <w:rsid w:val="00DF71DA"/>
    <w:rsid w:val="00DF72A9"/>
    <w:rsid w:val="00DF7ED4"/>
    <w:rsid w:val="00DF7EF7"/>
    <w:rsid w:val="00E00310"/>
    <w:rsid w:val="00E00E58"/>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0AE3"/>
    <w:rsid w:val="00E30DAC"/>
    <w:rsid w:val="00E318D1"/>
    <w:rsid w:val="00E3194D"/>
    <w:rsid w:val="00E322F4"/>
    <w:rsid w:val="00E32719"/>
    <w:rsid w:val="00E32D15"/>
    <w:rsid w:val="00E34997"/>
    <w:rsid w:val="00E34E62"/>
    <w:rsid w:val="00E35B47"/>
    <w:rsid w:val="00E35E79"/>
    <w:rsid w:val="00E37DB7"/>
    <w:rsid w:val="00E40A6B"/>
    <w:rsid w:val="00E4253D"/>
    <w:rsid w:val="00E42841"/>
    <w:rsid w:val="00E43AAE"/>
    <w:rsid w:val="00E44273"/>
    <w:rsid w:val="00E44B14"/>
    <w:rsid w:val="00E46C82"/>
    <w:rsid w:val="00E509E7"/>
    <w:rsid w:val="00E5122C"/>
    <w:rsid w:val="00E518BC"/>
    <w:rsid w:val="00E5284F"/>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2C1"/>
    <w:rsid w:val="00E654CD"/>
    <w:rsid w:val="00E6617A"/>
    <w:rsid w:val="00E66D8B"/>
    <w:rsid w:val="00E67E6F"/>
    <w:rsid w:val="00E71E28"/>
    <w:rsid w:val="00E73F62"/>
    <w:rsid w:val="00E74072"/>
    <w:rsid w:val="00E74607"/>
    <w:rsid w:val="00E74B43"/>
    <w:rsid w:val="00E7615D"/>
    <w:rsid w:val="00E770ED"/>
    <w:rsid w:val="00E7778E"/>
    <w:rsid w:val="00E779BA"/>
    <w:rsid w:val="00E80723"/>
    <w:rsid w:val="00E81BC8"/>
    <w:rsid w:val="00E8323C"/>
    <w:rsid w:val="00E837B1"/>
    <w:rsid w:val="00E8467A"/>
    <w:rsid w:val="00E8497F"/>
    <w:rsid w:val="00E87839"/>
    <w:rsid w:val="00E906A0"/>
    <w:rsid w:val="00E90C69"/>
    <w:rsid w:val="00E91C09"/>
    <w:rsid w:val="00E9221B"/>
    <w:rsid w:val="00E92EEE"/>
    <w:rsid w:val="00E949F0"/>
    <w:rsid w:val="00E9586C"/>
    <w:rsid w:val="00E967B1"/>
    <w:rsid w:val="00EA0059"/>
    <w:rsid w:val="00EA005C"/>
    <w:rsid w:val="00EA0FF6"/>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C04CF"/>
    <w:rsid w:val="00EC078D"/>
    <w:rsid w:val="00EC0929"/>
    <w:rsid w:val="00EC128E"/>
    <w:rsid w:val="00EC235C"/>
    <w:rsid w:val="00EC2758"/>
    <w:rsid w:val="00EC29D4"/>
    <w:rsid w:val="00EC442C"/>
    <w:rsid w:val="00EC475F"/>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2672"/>
    <w:rsid w:val="00EE3EDB"/>
    <w:rsid w:val="00EE4C06"/>
    <w:rsid w:val="00EE625C"/>
    <w:rsid w:val="00EE718B"/>
    <w:rsid w:val="00EE7B38"/>
    <w:rsid w:val="00EF0018"/>
    <w:rsid w:val="00EF0A72"/>
    <w:rsid w:val="00EF2AA6"/>
    <w:rsid w:val="00EF2D25"/>
    <w:rsid w:val="00EF39B9"/>
    <w:rsid w:val="00EF49C7"/>
    <w:rsid w:val="00EF5FAE"/>
    <w:rsid w:val="00EF6B2A"/>
    <w:rsid w:val="00EF7F3A"/>
    <w:rsid w:val="00EF7FFA"/>
    <w:rsid w:val="00F00187"/>
    <w:rsid w:val="00F00311"/>
    <w:rsid w:val="00F00F77"/>
    <w:rsid w:val="00F03696"/>
    <w:rsid w:val="00F03FA4"/>
    <w:rsid w:val="00F04303"/>
    <w:rsid w:val="00F048C4"/>
    <w:rsid w:val="00F049D9"/>
    <w:rsid w:val="00F0738B"/>
    <w:rsid w:val="00F100A9"/>
    <w:rsid w:val="00F1029A"/>
    <w:rsid w:val="00F1036D"/>
    <w:rsid w:val="00F103AC"/>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3A3E"/>
    <w:rsid w:val="00F4411C"/>
    <w:rsid w:val="00F45F7E"/>
    <w:rsid w:val="00F47BD6"/>
    <w:rsid w:val="00F50B74"/>
    <w:rsid w:val="00F51CCC"/>
    <w:rsid w:val="00F533E7"/>
    <w:rsid w:val="00F53DE4"/>
    <w:rsid w:val="00F53FB2"/>
    <w:rsid w:val="00F540F9"/>
    <w:rsid w:val="00F558A2"/>
    <w:rsid w:val="00F562FC"/>
    <w:rsid w:val="00F5631C"/>
    <w:rsid w:val="00F57A3E"/>
    <w:rsid w:val="00F60B5D"/>
    <w:rsid w:val="00F60ED5"/>
    <w:rsid w:val="00F61396"/>
    <w:rsid w:val="00F62E7D"/>
    <w:rsid w:val="00F63532"/>
    <w:rsid w:val="00F63BB5"/>
    <w:rsid w:val="00F64350"/>
    <w:rsid w:val="00F65914"/>
    <w:rsid w:val="00F7096A"/>
    <w:rsid w:val="00F70ED9"/>
    <w:rsid w:val="00F71143"/>
    <w:rsid w:val="00F71475"/>
    <w:rsid w:val="00F73CA7"/>
    <w:rsid w:val="00F74A31"/>
    <w:rsid w:val="00F74B18"/>
    <w:rsid w:val="00F75607"/>
    <w:rsid w:val="00F767E4"/>
    <w:rsid w:val="00F77551"/>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5195"/>
    <w:rsid w:val="00FB5865"/>
    <w:rsid w:val="00FC0953"/>
    <w:rsid w:val="00FC1224"/>
    <w:rsid w:val="00FC177A"/>
    <w:rsid w:val="00FC229B"/>
    <w:rsid w:val="00FC30DB"/>
    <w:rsid w:val="00FC4378"/>
    <w:rsid w:val="00FC45ED"/>
    <w:rsid w:val="00FC4A91"/>
    <w:rsid w:val="00FC4B7E"/>
    <w:rsid w:val="00FC4F00"/>
    <w:rsid w:val="00FC5D27"/>
    <w:rsid w:val="00FC6988"/>
    <w:rsid w:val="00FD0F41"/>
    <w:rsid w:val="00FD1214"/>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eastAsia="SimSun"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basedOn w:val="Normal"/>
    <w:uiPriority w:val="34"/>
    <w:qFormat/>
    <w:rsid w:val="000E614D"/>
    <w:pPr>
      <w:ind w:left="720"/>
      <w:contextualSpacing/>
    </w:pPr>
  </w:style>
  <w:style w:type="character" w:styleId="CommentReference">
    <w:name w:val="annotation reference"/>
    <w:basedOn w:val="DefaultParagraphFont"/>
    <w:uiPriority w:val="99"/>
    <w:semiHidden/>
    <w:unhideWhenUsed/>
    <w:rsid w:val="00497203"/>
    <w:rPr>
      <w:sz w:val="16"/>
      <w:szCs w:val="16"/>
    </w:rPr>
  </w:style>
  <w:style w:type="paragraph" w:styleId="CommentText">
    <w:name w:val="annotation text"/>
    <w:basedOn w:val="Normal"/>
    <w:link w:val="CommentTextChar"/>
    <w:uiPriority w:val="99"/>
    <w:semiHidden/>
    <w:unhideWhenUsed/>
    <w:rsid w:val="00497203"/>
    <w:pPr>
      <w:spacing w:line="240" w:lineRule="auto"/>
    </w:pPr>
    <w:rPr>
      <w:sz w:val="20"/>
      <w:szCs w:val="20"/>
    </w:rPr>
  </w:style>
  <w:style w:type="character" w:customStyle="1" w:styleId="CommentTextChar">
    <w:name w:val="Comment Text Char"/>
    <w:basedOn w:val="DefaultParagraphFont"/>
    <w:link w:val="CommentText"/>
    <w:uiPriority w:val="99"/>
    <w:semiHidden/>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825A75-1CF7-4128-9B3A-5E5CEBF3147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218365A-72DB-4114-BFC6-0ED63A64F8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1071</Words>
  <Characters>5455</Characters>
  <Application>Microsoft Office Word</Application>
  <DocSecurity>0</DocSecurity>
  <Lines>99</Lines>
  <Paragraphs>43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CTPClassification=:VisualMarkings=, CTPClassification=CTP_IC:VisualMarkings=</cp:keywords>
  <dc:description/>
  <cp:lastModifiedBy>Intel4</cp:lastModifiedBy>
  <cp:revision>2</cp:revision>
  <dcterms:created xsi:type="dcterms:W3CDTF">2017-11-17T00:10:00Z</dcterms:created>
  <dcterms:modified xsi:type="dcterms:W3CDTF">2017-11-17T00:10:00Z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7d33f984-c08c-48c7-9f33-58a56fbc8827</vt:lpwstr>
  </property>
  <property fmtid="{D5CDD505-2E9C-101B-9397-08002B2CF9AE}" pid="3" name="CTP_BU">
    <vt:lpwstr>NEXT GEN AND STANDARDS GROUP</vt:lpwstr>
  </property>
  <property fmtid="{D5CDD505-2E9C-101B-9397-08002B2CF9AE}" pid="4" name="CTP_TimeStamp">
    <vt:lpwstr>2017-11-16 19:35:46Z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