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BDC8" w14:textId="4AEFB725"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3110B2">
        <w:rPr>
          <w:rFonts w:ascii="Arial" w:hAnsi="Arial" w:cs="Arial"/>
          <w:b/>
          <w:bCs/>
          <w:noProof/>
          <w:snapToGrid w:val="0"/>
          <w:kern w:val="0"/>
          <w:sz w:val="28"/>
          <w:szCs w:val="28"/>
          <w:lang w:val="en-GB"/>
        </w:rPr>
        <w:t>100</w:t>
      </w:r>
      <w:r w:rsidR="00940533">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sidR="00DE1B4A">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1F31F0">
        <w:rPr>
          <w:rFonts w:ascii="Arial" w:hAnsi="Arial" w:cs="Arial"/>
          <w:b/>
          <w:bCs/>
          <w:noProof/>
          <w:snapToGrid w:val="0"/>
          <w:kern w:val="0"/>
          <w:sz w:val="28"/>
          <w:szCs w:val="28"/>
        </w:rPr>
        <w:t>R2-17</w:t>
      </w:r>
      <w:r w:rsidR="00027EEC">
        <w:rPr>
          <w:rFonts w:ascii="Arial" w:hAnsi="Arial" w:cs="Arial"/>
          <w:b/>
          <w:bCs/>
          <w:noProof/>
          <w:snapToGrid w:val="0"/>
          <w:kern w:val="0"/>
          <w:sz w:val="28"/>
          <w:szCs w:val="28"/>
        </w:rPr>
        <w:t>12611</w:t>
      </w:r>
    </w:p>
    <w:p w14:paraId="36F8761A" w14:textId="1D7738BC" w:rsidR="00402985" w:rsidRPr="00402985" w:rsidRDefault="003110B2"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Reno</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USA</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27 Nov – 1 Dec</w:t>
      </w:r>
      <w:r w:rsidR="008A4FE1" w:rsidRPr="008A4FE1">
        <w:rPr>
          <w:rFonts w:ascii="Arial" w:hAnsi="Arial" w:cs="Arial"/>
          <w:b/>
          <w:bCs/>
          <w:noProof/>
          <w:kern w:val="0"/>
          <w:sz w:val="28"/>
          <w:szCs w:val="28"/>
          <w:lang w:val="en-GB"/>
        </w:rPr>
        <w:t xml:space="preserve"> 2017</w:t>
      </w:r>
      <w:r w:rsidR="00670351">
        <w:rPr>
          <w:rFonts w:ascii="Arial" w:hAnsi="Arial" w:cs="Arial"/>
          <w:b/>
          <w:bCs/>
          <w:noProof/>
          <w:kern w:val="0"/>
          <w:sz w:val="28"/>
          <w:szCs w:val="28"/>
        </w:rPr>
        <w:t xml:space="preserve"> </w:t>
      </w:r>
      <w:r w:rsidR="00DE1B4A">
        <w:rPr>
          <w:rFonts w:ascii="Arial" w:hAnsi="Arial" w:cs="Arial"/>
          <w:b/>
          <w:bCs/>
          <w:noProof/>
          <w:kern w:val="0"/>
          <w:sz w:val="28"/>
          <w:szCs w:val="28"/>
          <w:lang w:val="en-GB"/>
        </w:rPr>
        <w:tab/>
      </w:r>
      <w:r w:rsidR="00DE1B4A">
        <w:rPr>
          <w:rFonts w:ascii="Arial" w:hAnsi="Arial" w:cs="Arial"/>
          <w:b/>
          <w:bCs/>
          <w:noProof/>
          <w:kern w:val="0"/>
          <w:sz w:val="28"/>
          <w:szCs w:val="28"/>
          <w:lang w:val="en-GB"/>
        </w:rPr>
        <w:tab/>
        <w:t xml:space="preserve">  </w:t>
      </w:r>
    </w:p>
    <w:p w14:paraId="74D7921E" w14:textId="77777777" w:rsidR="003436BE" w:rsidRPr="00402985"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14:paraId="0D0D7E77" w14:textId="553F214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780871">
        <w:rPr>
          <w:rFonts w:ascii="Arial" w:hAnsi="Arial" w:cs="Arial"/>
          <w:b/>
          <w:bCs/>
          <w:noProof/>
          <w:snapToGrid w:val="0"/>
          <w:kern w:val="0"/>
          <w:sz w:val="28"/>
          <w:szCs w:val="28"/>
        </w:rPr>
        <w:t>, Sane</w:t>
      </w:r>
      <w:r w:rsidR="001806A8">
        <w:rPr>
          <w:rFonts w:ascii="Arial" w:hAnsi="Arial" w:cs="Arial"/>
          <w:b/>
          <w:bCs/>
          <w:noProof/>
          <w:snapToGrid w:val="0"/>
          <w:kern w:val="0"/>
          <w:sz w:val="28"/>
          <w:szCs w:val="28"/>
        </w:rPr>
        <w:t>chips</w:t>
      </w:r>
    </w:p>
    <w:p w14:paraId="59B94E8E" w14:textId="72A85D47"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BF0850">
        <w:rPr>
          <w:rFonts w:ascii="Arial" w:hAnsi="Arial" w:cs="Arial"/>
          <w:b/>
          <w:bCs/>
          <w:noProof/>
          <w:snapToGrid w:val="0"/>
          <w:kern w:val="0"/>
          <w:sz w:val="28"/>
          <w:szCs w:val="28"/>
        </w:rPr>
        <w:t>Data rate restrictions for user plane integrity protection</w:t>
      </w:r>
      <w:r w:rsidR="001806A8">
        <w:rPr>
          <w:rFonts w:ascii="Arial" w:hAnsi="Arial" w:cs="Arial"/>
          <w:b/>
          <w:bCs/>
          <w:noProof/>
          <w:snapToGrid w:val="0"/>
          <w:kern w:val="0"/>
          <w:sz w:val="28"/>
          <w:szCs w:val="28"/>
        </w:rPr>
        <w:t xml:space="preserve"> </w:t>
      </w:r>
    </w:p>
    <w:p w14:paraId="350787AF" w14:textId="2626572E"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780871">
        <w:rPr>
          <w:rFonts w:ascii="Arial" w:hAnsi="Arial" w:cs="Arial"/>
          <w:b/>
          <w:bCs/>
          <w:noProof/>
          <w:snapToGrid w:val="0"/>
          <w:kern w:val="0"/>
          <w:sz w:val="28"/>
          <w:szCs w:val="28"/>
        </w:rPr>
        <w:t>10.2.15</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C0BE9B9" w14:textId="27EB59C7" w:rsidR="0019547D" w:rsidRDefault="00BF3613" w:rsidP="006F2252">
      <w:pPr>
        <w:rPr>
          <w:rFonts w:ascii="Arial" w:hAnsi="Arial" w:cs="Arial"/>
          <w:b/>
          <w:bCs/>
          <w:kern w:val="0"/>
          <w:sz w:val="32"/>
          <w:szCs w:val="36"/>
        </w:rPr>
      </w:pPr>
      <w:r>
        <w:t xml:space="preserve">SA3 has agreed that supporting integrity protection for DRBs is mandatory for the UEs. At RAN2#99-bis, </w:t>
      </w:r>
      <w:r w:rsidR="00BF0850">
        <w:t xml:space="preserve">RAN2 discussed the data rate restrictions to use integrity protection for DRBs </w:t>
      </w:r>
      <w:r w:rsidR="00BF0850">
        <w:fldChar w:fldCharType="begin"/>
      </w:r>
      <w:r w:rsidR="00BF0850">
        <w:instrText xml:space="preserve"> REF _Ref498544858 \r \h </w:instrText>
      </w:r>
      <w:r w:rsidR="00BF0850">
        <w:fldChar w:fldCharType="separate"/>
      </w:r>
      <w:r w:rsidR="00BF0850">
        <w:t>[1]</w:t>
      </w:r>
      <w:r w:rsidR="00BF0850">
        <w:fldChar w:fldCharType="end"/>
      </w:r>
      <w:r w:rsidR="00BF0850">
        <w:t xml:space="preserve">. An LS was sent to SA3 informing the RAN2 intention to limit the use-cases of the user plane integrity protection to DRBs of low data rate </w:t>
      </w:r>
      <w:r w:rsidR="00BF0850">
        <w:fldChar w:fldCharType="begin"/>
      </w:r>
      <w:r w:rsidR="00BF0850">
        <w:instrText xml:space="preserve"> REF _Ref498544679 \r \h </w:instrText>
      </w:r>
      <w:r w:rsidR="00BF0850">
        <w:fldChar w:fldCharType="separate"/>
      </w:r>
      <w:r w:rsidR="00BF0850">
        <w:t>[2]</w:t>
      </w:r>
      <w:r w:rsidR="00BF0850">
        <w:fldChar w:fldCharType="end"/>
      </w:r>
      <w:r w:rsidR="00BF0850">
        <w:t xml:space="preserve">. In this contribution we discuss the details of how this can be achieved. </w:t>
      </w:r>
    </w:p>
    <w:p w14:paraId="36B65BB2" w14:textId="41E1209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1407AC5E" w14:textId="68013CDC" w:rsidR="00DB7729" w:rsidRDefault="00BF3613" w:rsidP="00C91C45">
      <w:r>
        <w:t xml:space="preserve">At RAN2#99-bis it was proposed to limit the usage of the integrity protection for DRBs to low data rate applications. The motivation for this proposal was to minimize the impact on UE hardware. It </w:t>
      </w:r>
      <w:r w:rsidR="009861C6">
        <w:t>is also assumed that the</w:t>
      </w:r>
      <w:r>
        <w:t xml:space="preserve"> main motivation of using integrity protection for UP data is to enable IoT applications. Whilst we agree with the motivation to restrict the usage of integrity protection for DRBs to IoT applications, the open question is </w:t>
      </w:r>
      <w:r w:rsidR="009861C6">
        <w:t>regarding the</w:t>
      </w:r>
      <w:r>
        <w:t xml:space="preserve"> data rates </w:t>
      </w:r>
      <w:r w:rsidR="009861C6">
        <w:t>applicable</w:t>
      </w:r>
      <w:r>
        <w:t xml:space="preserve"> to these IoT applications. It should be noted that IoT applications span a wide variety of data rates, ranging from a very low data rate (a few kbps – such as the smart meter applications) to high data rates (e.g. V2X applications). NR should support these variety of IoT applic</w:t>
      </w:r>
      <w:r w:rsidR="00D240AB">
        <w:t xml:space="preserve">ations. It is also clear that a UE’s designed specifically for </w:t>
      </w:r>
      <w:r w:rsidR="00780871">
        <w:t>a given application will also support the</w:t>
      </w:r>
      <w:r w:rsidR="00D240AB">
        <w:t xml:space="preserve"> data rates </w:t>
      </w:r>
      <w:r w:rsidR="00780871">
        <w:t xml:space="preserve">specific to that application </w:t>
      </w:r>
      <w:r w:rsidR="00D240AB">
        <w:t xml:space="preserve">(including UP integrity protection feature at these supported data rates). Given that IoT applications span a wide variety of applications with a range of data rates, fixing an arbitrary data rate threshold for UP integrity protection as an upper limit in RAN specifications is </w:t>
      </w:r>
      <w:r w:rsidR="000223BE">
        <w:t xml:space="preserve">unnecessarily </w:t>
      </w:r>
      <w:r w:rsidR="00D240AB">
        <w:t xml:space="preserve">restrictive. </w:t>
      </w:r>
    </w:p>
    <w:p w14:paraId="609C0195" w14:textId="5BF59801" w:rsidR="00D240AB" w:rsidRDefault="00D240AB" w:rsidP="00C91C45"/>
    <w:p w14:paraId="77D54743" w14:textId="4AC935BE" w:rsidR="00D240AB" w:rsidRPr="00D240AB" w:rsidRDefault="00D240AB" w:rsidP="00C91C45">
      <w:pPr>
        <w:rPr>
          <w:b/>
        </w:rPr>
      </w:pPr>
      <w:r w:rsidRPr="00D240AB">
        <w:rPr>
          <w:b/>
        </w:rPr>
        <w:t>Observation 1: IoT applications need to support a wide variety of data rates and devices supporting these applications need to support these data rates with integrity protection for DRB</w:t>
      </w:r>
    </w:p>
    <w:p w14:paraId="241FA865" w14:textId="6D8BF385" w:rsidR="00D240AB" w:rsidRPr="00D240AB" w:rsidRDefault="00D240AB" w:rsidP="00C91C45">
      <w:pPr>
        <w:rPr>
          <w:b/>
        </w:rPr>
      </w:pPr>
    </w:p>
    <w:p w14:paraId="2D0A2470" w14:textId="61E9B814" w:rsidR="00D240AB" w:rsidRPr="00D240AB" w:rsidRDefault="00D240AB" w:rsidP="00C91C45">
      <w:pPr>
        <w:rPr>
          <w:b/>
        </w:rPr>
      </w:pPr>
      <w:r w:rsidRPr="00D240AB">
        <w:rPr>
          <w:b/>
        </w:rPr>
        <w:t xml:space="preserve">Observation 2: </w:t>
      </w:r>
      <w:r w:rsidR="000223BE">
        <w:rPr>
          <w:b/>
        </w:rPr>
        <w:t>Limiting the</w:t>
      </w:r>
      <w:r w:rsidRPr="00D240AB">
        <w:rPr>
          <w:b/>
        </w:rPr>
        <w:t xml:space="preserve"> UP integrity protection to an arbitrary maximum data rate threshold is </w:t>
      </w:r>
      <w:r w:rsidR="000223BE">
        <w:rPr>
          <w:b/>
        </w:rPr>
        <w:t>unnecessarily restrictive</w:t>
      </w:r>
    </w:p>
    <w:p w14:paraId="0E5A7B97" w14:textId="40441B29" w:rsidR="00D240AB" w:rsidRDefault="00D240AB" w:rsidP="00C91C45"/>
    <w:p w14:paraId="0FD2BC6E" w14:textId="708509E0" w:rsidR="00D240AB" w:rsidRDefault="00D240AB" w:rsidP="00C91C45">
      <w:r>
        <w:t xml:space="preserve">Given the above observations, we propose that the UEs should indicate a capability (e.g. in the security capability container) indicating the upper limit on the data rate up to which UP integrity protection is supported by the UE. The network should ensure that the aggregated data rate (measured over a given period of time as agreed in RAN2) should not exceed this UE indicated data rate. This approach allows IoT applications with a wide variety of data rates to be supported whilst still restricting the UP integrity protection to an upper limit per the capability of the UE that is designed to support the specific IoT application. </w:t>
      </w:r>
      <w:r w:rsidR="00780871">
        <w:t xml:space="preserve">Given that further discussion on this needs to happen in SA2/SA3, we also propose to send an LS to these groups informing them about our decisions. </w:t>
      </w:r>
    </w:p>
    <w:p w14:paraId="2C55AEEF" w14:textId="6E24DA38" w:rsidR="00780871" w:rsidRDefault="00780871" w:rsidP="00C91C45"/>
    <w:p w14:paraId="11D3C0F9" w14:textId="2595F60D" w:rsidR="00D240AB" w:rsidRPr="00635291" w:rsidRDefault="00D240AB" w:rsidP="00C91C45">
      <w:pPr>
        <w:rPr>
          <w:b/>
        </w:rPr>
      </w:pPr>
      <w:r w:rsidRPr="00635291">
        <w:rPr>
          <w:b/>
        </w:rPr>
        <w:lastRenderedPageBreak/>
        <w:t>Proposal 1: The U</w:t>
      </w:r>
      <w:r w:rsidR="00635291" w:rsidRPr="00635291">
        <w:rPr>
          <w:b/>
        </w:rPr>
        <w:t xml:space="preserve">E shall indicate a capability of the maximum data rate up to which UP integrity protection can be supported. </w:t>
      </w:r>
    </w:p>
    <w:p w14:paraId="050D1E81" w14:textId="3AD8D7C7" w:rsidR="00635291" w:rsidRDefault="00635291" w:rsidP="00C91C45">
      <w:pPr>
        <w:rPr>
          <w:b/>
        </w:rPr>
      </w:pPr>
      <w:r w:rsidRPr="00635291">
        <w:rPr>
          <w:b/>
        </w:rPr>
        <w:t xml:space="preserve">Proposal 2: When using UP integrity protection, network shall ensure that the aggregated data rate of the user plane data over a given DRB </w:t>
      </w:r>
      <w:r w:rsidR="006D7C19">
        <w:rPr>
          <w:b/>
        </w:rPr>
        <w:t>does</w:t>
      </w:r>
      <w:r w:rsidRPr="00635291">
        <w:rPr>
          <w:b/>
        </w:rPr>
        <w:t xml:space="preserve"> not exceed the maximum indicated data rate per the UE capability. The aggregated data rate may be measured over a fixed window of time</w:t>
      </w:r>
      <w:r w:rsidR="00293A6E">
        <w:rPr>
          <w:b/>
        </w:rPr>
        <w:t xml:space="preserve"> (to be agreed by RAN2)</w:t>
      </w:r>
      <w:r w:rsidRPr="00635291">
        <w:rPr>
          <w:b/>
        </w:rPr>
        <w:t xml:space="preserve">. </w:t>
      </w:r>
    </w:p>
    <w:p w14:paraId="2BDABB72" w14:textId="56380761" w:rsidR="00780871" w:rsidRPr="00C91C45" w:rsidRDefault="00780871" w:rsidP="00C91C45">
      <w:r>
        <w:rPr>
          <w:b/>
        </w:rPr>
        <w:t>Proposal 3: RAN2 should send an LS to SA2 and SA3 informing them about the above agreements</w:t>
      </w:r>
    </w:p>
    <w:p w14:paraId="789B3D6C" w14:textId="3E5DFCC1"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17AEACC4" w14:textId="1AD582DB" w:rsidR="00F32911" w:rsidRDefault="00635291" w:rsidP="00F32911">
      <w:r>
        <w:t>In this contribution, we discussed the aspects related to UP integrity protection for DRB and the following observations/proposals are made:</w:t>
      </w:r>
    </w:p>
    <w:p w14:paraId="6FDDEC50" w14:textId="77777777" w:rsidR="00635291" w:rsidRDefault="00635291" w:rsidP="00635291">
      <w:pPr>
        <w:rPr>
          <w:b/>
        </w:rPr>
      </w:pPr>
    </w:p>
    <w:p w14:paraId="190A82E4" w14:textId="0C09D285" w:rsidR="00635291" w:rsidRPr="00D240AB" w:rsidRDefault="00635291" w:rsidP="00635291">
      <w:pPr>
        <w:rPr>
          <w:b/>
        </w:rPr>
      </w:pPr>
      <w:r w:rsidRPr="00D240AB">
        <w:rPr>
          <w:b/>
        </w:rPr>
        <w:t>Observation 1: IoT applications need to support a wide variety of data rates and devices supporting these applications need to support these data rates with integrity protection for DRB</w:t>
      </w:r>
    </w:p>
    <w:p w14:paraId="41ECC9E7" w14:textId="77777777" w:rsidR="00635291" w:rsidRDefault="00635291" w:rsidP="00635291">
      <w:pPr>
        <w:rPr>
          <w:b/>
        </w:rPr>
      </w:pPr>
    </w:p>
    <w:p w14:paraId="5A10B136" w14:textId="7B23A5E6" w:rsidR="00635291" w:rsidRPr="00D240AB" w:rsidRDefault="00635291" w:rsidP="00635291">
      <w:pPr>
        <w:rPr>
          <w:b/>
        </w:rPr>
      </w:pPr>
      <w:r w:rsidRPr="00D240AB">
        <w:rPr>
          <w:b/>
        </w:rPr>
        <w:t xml:space="preserve">Observation 2: </w:t>
      </w:r>
      <w:r w:rsidR="000223BE">
        <w:rPr>
          <w:b/>
        </w:rPr>
        <w:t>Limiting the</w:t>
      </w:r>
      <w:r w:rsidR="000223BE" w:rsidRPr="00D240AB">
        <w:rPr>
          <w:b/>
        </w:rPr>
        <w:t xml:space="preserve"> UP integrity protection to an arbitrary maximum data rate threshold is </w:t>
      </w:r>
      <w:r w:rsidR="000223BE">
        <w:rPr>
          <w:b/>
        </w:rPr>
        <w:t>unnecessarily restrictive</w:t>
      </w:r>
      <w:bookmarkStart w:id="2" w:name="_GoBack"/>
      <w:bookmarkEnd w:id="2"/>
    </w:p>
    <w:p w14:paraId="69897391" w14:textId="77777777" w:rsidR="00635291" w:rsidRDefault="00635291" w:rsidP="00635291">
      <w:pPr>
        <w:rPr>
          <w:b/>
        </w:rPr>
      </w:pPr>
    </w:p>
    <w:p w14:paraId="16D9C556" w14:textId="77777777" w:rsidR="00780871" w:rsidRPr="00635291" w:rsidRDefault="00780871" w:rsidP="00780871">
      <w:pPr>
        <w:rPr>
          <w:b/>
        </w:rPr>
      </w:pPr>
      <w:r w:rsidRPr="00635291">
        <w:rPr>
          <w:b/>
        </w:rPr>
        <w:t xml:space="preserve">Proposal 1: The UE shall indicate a capability of the maximum data rate up to which UP integrity protection can be supported. </w:t>
      </w:r>
    </w:p>
    <w:p w14:paraId="7041AF8E" w14:textId="77777777" w:rsidR="00780871" w:rsidRDefault="00780871" w:rsidP="00780871">
      <w:pPr>
        <w:rPr>
          <w:b/>
        </w:rPr>
      </w:pPr>
    </w:p>
    <w:p w14:paraId="3B7426BF" w14:textId="660F33C3" w:rsidR="00780871" w:rsidRDefault="00780871" w:rsidP="00780871">
      <w:pPr>
        <w:rPr>
          <w:b/>
        </w:rPr>
      </w:pPr>
      <w:r w:rsidRPr="00635291">
        <w:rPr>
          <w:b/>
        </w:rPr>
        <w:t xml:space="preserve">Proposal 2: When using UP integrity protection, network shall ensure that the aggregated data rate of the user plane data over a given DRB </w:t>
      </w:r>
      <w:r>
        <w:rPr>
          <w:b/>
        </w:rPr>
        <w:t>does</w:t>
      </w:r>
      <w:r w:rsidRPr="00635291">
        <w:rPr>
          <w:b/>
        </w:rPr>
        <w:t xml:space="preserve"> not exceed the maximum indicated data rate per the UE capability. The aggregated data rate may be measured over a fixed window of time</w:t>
      </w:r>
      <w:r>
        <w:rPr>
          <w:b/>
        </w:rPr>
        <w:t xml:space="preserve"> (to be agreed by RAN2)</w:t>
      </w:r>
      <w:r w:rsidRPr="00635291">
        <w:rPr>
          <w:b/>
        </w:rPr>
        <w:t xml:space="preserve">. </w:t>
      </w:r>
    </w:p>
    <w:p w14:paraId="3EEE74B7" w14:textId="77777777" w:rsidR="00780871" w:rsidRDefault="00780871" w:rsidP="00780871">
      <w:pPr>
        <w:rPr>
          <w:b/>
        </w:rPr>
      </w:pPr>
    </w:p>
    <w:p w14:paraId="72B4BD77" w14:textId="737A4347" w:rsidR="00635291" w:rsidRPr="00C91C45" w:rsidRDefault="00780871" w:rsidP="00635291">
      <w:r>
        <w:rPr>
          <w:b/>
        </w:rPr>
        <w:t>Proposal 3: RAN2 should send an LS to SA2 and SA3 informing them about the above agreements</w:t>
      </w:r>
      <w:r w:rsidR="00635291" w:rsidRPr="00635291">
        <w:rPr>
          <w:b/>
        </w:rPr>
        <w:t xml:space="preserve">. </w:t>
      </w:r>
    </w:p>
    <w:p w14:paraId="110DF84A" w14:textId="23FD7581" w:rsidR="001D2FB0" w:rsidRDefault="00A93FD6"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36E13809" w14:textId="2CE9AE1A" w:rsidR="00BF0850" w:rsidRDefault="00BF0850" w:rsidP="00BF0850">
      <w:pPr>
        <w:pStyle w:val="ListParagraph"/>
        <w:numPr>
          <w:ilvl w:val="0"/>
          <w:numId w:val="26"/>
        </w:numPr>
        <w:ind w:firstLineChars="0"/>
      </w:pPr>
      <w:bookmarkStart w:id="3" w:name="_Ref498544858"/>
      <w:r w:rsidRPr="00BC5238">
        <w:t>R2-1711520</w:t>
      </w:r>
      <w:r>
        <w:t>, "</w:t>
      </w:r>
      <w:r w:rsidRPr="00BC5238">
        <w:t>Usage of data integrity protection for DRB in NR</w:t>
      </w:r>
      <w:r>
        <w:t>", Qualcomm Incorporated</w:t>
      </w:r>
      <w:bookmarkEnd w:id="3"/>
    </w:p>
    <w:p w14:paraId="1BC8D49E" w14:textId="43262826" w:rsidR="00BF0850" w:rsidRDefault="00BF0850" w:rsidP="00BF0850">
      <w:pPr>
        <w:pStyle w:val="ListParagraph"/>
        <w:numPr>
          <w:ilvl w:val="0"/>
          <w:numId w:val="26"/>
        </w:numPr>
        <w:ind w:firstLineChars="0"/>
      </w:pPr>
      <w:bookmarkStart w:id="4" w:name="_Ref498544679"/>
      <w:r w:rsidRPr="00C70B98">
        <w:t>R2-1712051</w:t>
      </w:r>
      <w:r>
        <w:t>, "</w:t>
      </w:r>
      <w:r w:rsidRPr="00C70B98">
        <w:t>LS on usage of user plane integrity protection for DRB</w:t>
      </w:r>
      <w:r>
        <w:t>", RAN2</w:t>
      </w:r>
      <w:bookmarkEnd w:id="4"/>
    </w:p>
    <w:p w14:paraId="4D919939" w14:textId="77777777" w:rsidR="00BF0850" w:rsidRPr="00BF0850" w:rsidRDefault="00BF0850" w:rsidP="00BF0850"/>
    <w:p w14:paraId="7CF7477A" w14:textId="1ECD3A9D" w:rsidR="003E6BF7" w:rsidRDefault="003E6BF7" w:rsidP="003E6BF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 – Stage 2 text proposal</w:t>
      </w:r>
    </w:p>
    <w:p w14:paraId="36C1AFEF" w14:textId="77777777" w:rsidR="00C97FD3" w:rsidRPr="00C97FD3" w:rsidRDefault="00C97FD3" w:rsidP="00C97FD3">
      <w:pPr>
        <w:pStyle w:val="Heading1"/>
        <w:widowControl/>
        <w:pBdr>
          <w:top w:val="single" w:sz="12" w:space="3" w:color="auto"/>
        </w:pBdr>
        <w:tabs>
          <w:tab w:val="clear" w:pos="432"/>
        </w:tabs>
        <w:overflowPunct w:val="0"/>
        <w:autoSpaceDE w:val="0"/>
        <w:autoSpaceDN w:val="0"/>
        <w:adjustRightInd w:val="0"/>
        <w:spacing w:before="240" w:after="180" w:line="240" w:lineRule="auto"/>
        <w:ind w:left="1134" w:hanging="1134"/>
        <w:jc w:val="left"/>
        <w:textAlignment w:val="baseline"/>
        <w:rPr>
          <w:rFonts w:ascii="Arial" w:eastAsia="Times New Roman" w:hAnsi="Arial"/>
          <w:b w:val="0"/>
          <w:bCs w:val="0"/>
          <w:kern w:val="0"/>
          <w:sz w:val="36"/>
          <w:szCs w:val="20"/>
          <w:lang w:eastAsia="ja-JP"/>
        </w:rPr>
      </w:pPr>
      <w:r w:rsidRPr="00C97FD3">
        <w:rPr>
          <w:rFonts w:ascii="Arial" w:eastAsia="Times New Roman" w:hAnsi="Arial"/>
          <w:b w:val="0"/>
          <w:bCs w:val="0"/>
          <w:kern w:val="0"/>
          <w:sz w:val="36"/>
          <w:szCs w:val="20"/>
          <w:lang w:eastAsia="ja-JP"/>
        </w:rPr>
        <w:t>13</w:t>
      </w:r>
      <w:r w:rsidRPr="00C97FD3">
        <w:rPr>
          <w:rFonts w:ascii="Arial" w:eastAsia="Times New Roman" w:hAnsi="Arial"/>
          <w:b w:val="0"/>
          <w:bCs w:val="0"/>
          <w:kern w:val="0"/>
          <w:sz w:val="36"/>
          <w:szCs w:val="20"/>
          <w:lang w:eastAsia="ja-JP"/>
        </w:rPr>
        <w:tab/>
        <w:t>Security</w:t>
      </w:r>
    </w:p>
    <w:p w14:paraId="3F87290F" w14:textId="77777777" w:rsidR="00C97FD3" w:rsidRPr="00C97FD3" w:rsidRDefault="00C97FD3" w:rsidP="00C97FD3">
      <w:pPr>
        <w:pStyle w:val="Heading2"/>
        <w:ind w:left="1134" w:hanging="1134"/>
        <w:rPr>
          <w:rFonts w:eastAsia="Times New Roman"/>
          <w:szCs w:val="20"/>
          <w:lang w:val="x-none" w:eastAsia="x-none"/>
        </w:rPr>
      </w:pPr>
      <w:r w:rsidRPr="00C97FD3">
        <w:rPr>
          <w:rFonts w:eastAsia="Times New Roman"/>
          <w:szCs w:val="20"/>
          <w:lang w:val="x-none" w:eastAsia="x-none"/>
        </w:rPr>
        <w:t>13.1</w:t>
      </w:r>
      <w:r w:rsidRPr="00C97FD3">
        <w:rPr>
          <w:rFonts w:eastAsia="Times New Roman"/>
          <w:szCs w:val="20"/>
          <w:lang w:val="x-none" w:eastAsia="x-none"/>
        </w:rPr>
        <w:tab/>
        <w:t>Overview and Principles</w:t>
      </w:r>
    </w:p>
    <w:p w14:paraId="3F3EF7FF" w14:textId="77777777" w:rsidR="00C97FD3" w:rsidRDefault="00C97FD3" w:rsidP="00C97FD3">
      <w:r>
        <w:t>The following principles apply to NR connected to 5GC security, see 3GPP TS 33.501 [5]:</w:t>
      </w:r>
    </w:p>
    <w:p w14:paraId="6DBCB96A" w14:textId="77777777" w:rsidR="00C97FD3" w:rsidRPr="00C97FD3" w:rsidRDefault="00C97FD3" w:rsidP="00C97FD3">
      <w:pPr>
        <w:pStyle w:val="B1"/>
        <w:contextualSpacing w:val="0"/>
        <w:rPr>
          <w:rFonts w:eastAsia="Times New Roman"/>
        </w:rPr>
      </w:pPr>
      <w:r w:rsidRPr="00C97FD3">
        <w:rPr>
          <w:rFonts w:eastAsia="Times New Roman"/>
        </w:rPr>
        <w:t>-</w:t>
      </w:r>
      <w:r w:rsidRPr="00C97FD3">
        <w:rPr>
          <w:rFonts w:eastAsia="Times New Roman"/>
        </w:rPr>
        <w:tab/>
        <w:t>For user data (DRBs), ciphering and integrity protection;</w:t>
      </w:r>
    </w:p>
    <w:p w14:paraId="7C221828" w14:textId="77777777" w:rsidR="00C97FD3" w:rsidRPr="00C97FD3" w:rsidRDefault="00C97FD3" w:rsidP="00C97FD3">
      <w:pPr>
        <w:pStyle w:val="B1"/>
        <w:contextualSpacing w:val="0"/>
        <w:rPr>
          <w:rFonts w:eastAsia="Times New Roman"/>
        </w:rPr>
      </w:pPr>
      <w:r w:rsidRPr="00C97FD3">
        <w:rPr>
          <w:rFonts w:eastAsia="Times New Roman"/>
        </w:rPr>
        <w:lastRenderedPageBreak/>
        <w:t>-</w:t>
      </w:r>
      <w:r w:rsidRPr="00C97FD3">
        <w:rPr>
          <w:rFonts w:eastAsia="Times New Roman"/>
        </w:rPr>
        <w:tab/>
        <w:t>For RRC signalling (SRBs), ciphering and integrity protection;</w:t>
      </w:r>
    </w:p>
    <w:p w14:paraId="4305B217" w14:textId="0FF48F07" w:rsidR="00C97FD3" w:rsidRDefault="00C97FD3" w:rsidP="00C97FD3">
      <w:pPr>
        <w:pStyle w:val="NO"/>
        <w:rPr>
          <w:rFonts w:eastAsia="Times New Roman"/>
        </w:rPr>
      </w:pPr>
      <w:r w:rsidRPr="00C97FD3">
        <w:rPr>
          <w:rFonts w:eastAsia="Times New Roman"/>
        </w:rPr>
        <w:t>NOTE</w:t>
      </w:r>
      <w:r>
        <w:rPr>
          <w:rFonts w:eastAsia="Times New Roman"/>
        </w:rPr>
        <w:t xml:space="preserve"> </w:t>
      </w:r>
      <w:r w:rsidRPr="00C97FD3">
        <w:rPr>
          <w:rFonts w:eastAsia="Times New Roman"/>
          <w:color w:val="0070C0"/>
          <w:u w:val="single"/>
        </w:rPr>
        <w:t>1</w:t>
      </w:r>
      <w:r w:rsidRPr="00C97FD3">
        <w:rPr>
          <w:rFonts w:eastAsia="Times New Roman"/>
        </w:rPr>
        <w:t>:</w:t>
      </w:r>
      <w:r w:rsidRPr="00C97FD3">
        <w:rPr>
          <w:rFonts w:eastAsia="Times New Roman"/>
        </w:rPr>
        <w:tab/>
        <w:t>Ciphering and integrity protections are optionally configured except for RRC signalling for which integrity protection is always configured. Integrity protection can be configured per DRB.</w:t>
      </w:r>
    </w:p>
    <w:p w14:paraId="341FA8AE" w14:textId="459C8505" w:rsidR="00C97FD3" w:rsidRPr="00C97FD3" w:rsidRDefault="00C97FD3" w:rsidP="00C97FD3">
      <w:pPr>
        <w:pStyle w:val="NO"/>
        <w:rPr>
          <w:rFonts w:eastAsia="Times New Roman"/>
          <w:color w:val="0070C0"/>
          <w:u w:val="single"/>
        </w:rPr>
      </w:pPr>
      <w:r w:rsidRPr="00C97FD3">
        <w:rPr>
          <w:rFonts w:eastAsia="Times New Roman"/>
          <w:color w:val="0070C0"/>
          <w:u w:val="single"/>
        </w:rPr>
        <w:t xml:space="preserve">NOTE 2: When integrity protection for </w:t>
      </w:r>
      <w:r w:rsidR="00FD1379">
        <w:rPr>
          <w:rFonts w:eastAsia="Times New Roman"/>
          <w:color w:val="0070C0"/>
          <w:u w:val="single"/>
        </w:rPr>
        <w:t>DRB</w:t>
      </w:r>
      <w:r w:rsidRPr="00C97FD3">
        <w:rPr>
          <w:rFonts w:eastAsia="Times New Roman"/>
          <w:color w:val="0070C0"/>
          <w:u w:val="single"/>
        </w:rPr>
        <w:t xml:space="preserve"> is enabled, the gNB ensures that the maximum aggregated data rate over the DRB doesn’t exceed the signalled </w:t>
      </w:r>
      <w:r w:rsidR="00FD1379">
        <w:rPr>
          <w:rFonts w:eastAsia="Times New Roman"/>
          <w:color w:val="0070C0"/>
          <w:u w:val="single"/>
        </w:rPr>
        <w:t>UE capability</w:t>
      </w:r>
    </w:p>
    <w:p w14:paraId="46E74FA4" w14:textId="77777777" w:rsidR="00C97FD3" w:rsidRDefault="00C97FD3" w:rsidP="00C97FD3"/>
    <w:p w14:paraId="4C8DE410" w14:textId="1813B3D9" w:rsidR="00C97FD3" w:rsidRPr="00C97FD3" w:rsidRDefault="00C97FD3" w:rsidP="00C97FD3">
      <w:pPr>
        <w:pStyle w:val="Guidance"/>
        <w:overflowPunct w:val="0"/>
        <w:autoSpaceDE w:val="0"/>
        <w:autoSpaceDN w:val="0"/>
        <w:adjustRightInd w:val="0"/>
        <w:textAlignment w:val="baseline"/>
        <w:rPr>
          <w:rFonts w:eastAsia="Times New Roman"/>
          <w:color w:val="FF0000"/>
        </w:rPr>
      </w:pPr>
      <w:r w:rsidRPr="00C97FD3">
        <w:rPr>
          <w:rFonts w:eastAsia="Times New Roman"/>
          <w:color w:val="FF0000"/>
        </w:rPr>
        <w:t>FFS whether possible exceptions are possible (SA3).</w:t>
      </w:r>
    </w:p>
    <w:p w14:paraId="7A730D21" w14:textId="77777777" w:rsidR="00C97FD3" w:rsidRPr="00C97FD3" w:rsidRDefault="00C97FD3" w:rsidP="00C97FD3">
      <w:pPr>
        <w:pStyle w:val="B1"/>
        <w:contextualSpacing w:val="0"/>
        <w:rPr>
          <w:rFonts w:eastAsia="Times New Roman"/>
        </w:rPr>
      </w:pPr>
      <w:r w:rsidRPr="00C97FD3">
        <w:rPr>
          <w:rFonts w:eastAsia="Times New Roman"/>
        </w:rPr>
        <w:t>-</w:t>
      </w:r>
      <w:r w:rsidRPr="00C97FD3">
        <w:rPr>
          <w:rFonts w:eastAsia="Times New Roman"/>
        </w:rPr>
        <w:tab/>
        <w:t>For key management and data handling, any entity processing cleartext shall be protected from physical attacks and located in a secure environment;</w:t>
      </w:r>
    </w:p>
    <w:p w14:paraId="424E66BC" w14:textId="2ACBAA98" w:rsidR="00C97FD3" w:rsidRPr="00C97FD3" w:rsidRDefault="00C97FD3" w:rsidP="00C97FD3">
      <w:pPr>
        <w:pStyle w:val="B1"/>
        <w:contextualSpacing w:val="0"/>
        <w:rPr>
          <w:rFonts w:eastAsia="Times New Roman"/>
        </w:rPr>
      </w:pPr>
      <w:r w:rsidRPr="00C97FD3">
        <w:rPr>
          <w:rFonts w:eastAsia="Times New Roman"/>
        </w:rPr>
        <w:t>-</w:t>
      </w:r>
      <w:r w:rsidRPr="00C97FD3">
        <w:rPr>
          <w:rFonts w:eastAsia="Times New Roman"/>
        </w:rPr>
        <w:tab/>
        <w:t>After connection establishment, enabling or disabling integrity protection on a DRB requires a handover.</w:t>
      </w:r>
    </w:p>
    <w:p w14:paraId="230E0733" w14:textId="77777777" w:rsidR="00A504A8" w:rsidRPr="00A504A8" w:rsidRDefault="00A504A8" w:rsidP="00A504A8"/>
    <w:sectPr w:rsidR="00A504A8" w:rsidRPr="00A504A8" w:rsidSect="00BF085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F118E" w14:textId="77777777" w:rsidR="00B5008D" w:rsidRDefault="00B5008D" w:rsidP="00FF0AAD">
      <w:r>
        <w:separator/>
      </w:r>
    </w:p>
  </w:endnote>
  <w:endnote w:type="continuationSeparator" w:id="0">
    <w:p w14:paraId="2AB78272" w14:textId="77777777" w:rsidR="00B5008D" w:rsidRDefault="00B5008D"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F86ED" w14:textId="77777777" w:rsidR="00B5008D" w:rsidRDefault="00B5008D" w:rsidP="00FF0AAD">
      <w:r>
        <w:separator/>
      </w:r>
    </w:p>
  </w:footnote>
  <w:footnote w:type="continuationSeparator" w:id="0">
    <w:p w14:paraId="6B5A1CE4" w14:textId="77777777" w:rsidR="00B5008D" w:rsidRDefault="00B5008D"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2"/>
  </w:num>
  <w:num w:numId="4">
    <w:abstractNumId w:val="2"/>
  </w:num>
  <w:num w:numId="5">
    <w:abstractNumId w:val="13"/>
  </w:num>
  <w:num w:numId="6">
    <w:abstractNumId w:val="9"/>
  </w:num>
  <w:num w:numId="7">
    <w:abstractNumId w:val="15"/>
  </w:num>
  <w:num w:numId="8">
    <w:abstractNumId w:val="21"/>
  </w:num>
  <w:num w:numId="9">
    <w:abstractNumId w:val="25"/>
  </w:num>
  <w:num w:numId="10">
    <w:abstractNumId w:val="7"/>
  </w:num>
  <w:num w:numId="11">
    <w:abstractNumId w:val="17"/>
  </w:num>
  <w:num w:numId="12">
    <w:abstractNumId w:val="16"/>
  </w:num>
  <w:num w:numId="13">
    <w:abstractNumId w:val="24"/>
  </w:num>
  <w:num w:numId="14">
    <w:abstractNumId w:val="3"/>
  </w:num>
  <w:num w:numId="15">
    <w:abstractNumId w:val="4"/>
  </w:num>
  <w:num w:numId="16">
    <w:abstractNumId w:val="20"/>
  </w:num>
  <w:num w:numId="17">
    <w:abstractNumId w:val="6"/>
  </w:num>
  <w:num w:numId="18">
    <w:abstractNumId w:val="23"/>
  </w:num>
  <w:num w:numId="19">
    <w:abstractNumId w:val="8"/>
  </w:num>
  <w:num w:numId="20">
    <w:abstractNumId w:val="11"/>
  </w:num>
  <w:num w:numId="21">
    <w:abstractNumId w:val="12"/>
  </w:num>
  <w:num w:numId="22">
    <w:abstractNumId w:val="14"/>
  </w:num>
  <w:num w:numId="23">
    <w:abstractNumId w:val="5"/>
  </w:num>
  <w:num w:numId="24">
    <w:abstractNumId w:val="18"/>
  </w:num>
  <w:num w:numId="25">
    <w:abstractNumId w:val="10"/>
  </w:num>
  <w:num w:numId="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6E3D"/>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D4E"/>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52B"/>
    <w:rsid w:val="003A7F66"/>
    <w:rsid w:val="003B132E"/>
    <w:rsid w:val="003B139B"/>
    <w:rsid w:val="003B3A50"/>
    <w:rsid w:val="003B448B"/>
    <w:rsid w:val="003B774C"/>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214BE"/>
    <w:rsid w:val="005219AA"/>
    <w:rsid w:val="00522736"/>
    <w:rsid w:val="00525585"/>
    <w:rsid w:val="0052657B"/>
    <w:rsid w:val="00534869"/>
    <w:rsid w:val="005371D2"/>
    <w:rsid w:val="00537528"/>
    <w:rsid w:val="00542ED7"/>
    <w:rsid w:val="00545A76"/>
    <w:rsid w:val="005506C7"/>
    <w:rsid w:val="005514AA"/>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D17"/>
    <w:rsid w:val="008702BF"/>
    <w:rsid w:val="008719DB"/>
    <w:rsid w:val="00872250"/>
    <w:rsid w:val="008731B8"/>
    <w:rsid w:val="00873D16"/>
    <w:rsid w:val="00880F6C"/>
    <w:rsid w:val="008855E2"/>
    <w:rsid w:val="00886521"/>
    <w:rsid w:val="00887F76"/>
    <w:rsid w:val="008937A3"/>
    <w:rsid w:val="0089509A"/>
    <w:rsid w:val="008A4FE1"/>
    <w:rsid w:val="008A5E28"/>
    <w:rsid w:val="008B4198"/>
    <w:rsid w:val="008B4609"/>
    <w:rsid w:val="008B725C"/>
    <w:rsid w:val="008C1D6D"/>
    <w:rsid w:val="008C3F98"/>
    <w:rsid w:val="008C594A"/>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10AE"/>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2907"/>
    <w:rsid w:val="00B43371"/>
    <w:rsid w:val="00B44CA2"/>
    <w:rsid w:val="00B454AE"/>
    <w:rsid w:val="00B5008D"/>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56DB9"/>
    <w:rsid w:val="00C621A1"/>
    <w:rsid w:val="00C63153"/>
    <w:rsid w:val="00C63CB8"/>
    <w:rsid w:val="00C65327"/>
    <w:rsid w:val="00C67382"/>
    <w:rsid w:val="00C72471"/>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B7739"/>
    <w:rsid w:val="00EC1D1E"/>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4AA7"/>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61C24-024E-4F79-9FD3-942C6BEFC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20</cp:revision>
  <cp:lastPrinted>2113-01-01T00:00:00Z</cp:lastPrinted>
  <dcterms:created xsi:type="dcterms:W3CDTF">2017-11-02T12:11:00Z</dcterms:created>
  <dcterms:modified xsi:type="dcterms:W3CDTF">2017-11-16T16:04:00Z</dcterms:modified>
</cp:coreProperties>
</file>