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11E04" w14:textId="12FE7D8E" w:rsidR="005E2016" w:rsidRPr="008E4F00" w:rsidRDefault="005E2016" w:rsidP="005E2016">
      <w:pPr>
        <w:tabs>
          <w:tab w:val="center" w:pos="4536"/>
          <w:tab w:val="right" w:pos="8280"/>
          <w:tab w:val="right" w:pos="9639"/>
        </w:tabs>
        <w:spacing w:after="0"/>
        <w:ind w:right="2"/>
        <w:rPr>
          <w:rFonts w:ascii="Arial" w:hAnsi="Arial" w:cs="Arial"/>
          <w:b/>
          <w:bCs/>
          <w:sz w:val="22"/>
        </w:rPr>
      </w:pPr>
      <w:r w:rsidRPr="008E4F00">
        <w:rPr>
          <w:rFonts w:ascii="Arial" w:hAnsi="Arial" w:cs="Arial"/>
          <w:b/>
          <w:bCs/>
          <w:sz w:val="22"/>
        </w:rPr>
        <w:t>3GPP TSG RAN WG1 Meeting AH 1801</w:t>
      </w:r>
      <w:r w:rsidRPr="008E4F00">
        <w:rPr>
          <w:rFonts w:ascii="Arial" w:hAnsi="Arial" w:cs="Arial"/>
          <w:b/>
          <w:bCs/>
          <w:sz w:val="22"/>
        </w:rPr>
        <w:tab/>
      </w:r>
      <w:r w:rsidRPr="008E4F00">
        <w:rPr>
          <w:rFonts w:ascii="Arial" w:hAnsi="Arial" w:cs="Arial"/>
          <w:b/>
          <w:bCs/>
          <w:sz w:val="22"/>
        </w:rPr>
        <w:tab/>
      </w:r>
      <w:r w:rsidRPr="008E4F00">
        <w:rPr>
          <w:rFonts w:ascii="Arial" w:hAnsi="Arial" w:cs="Arial"/>
          <w:b/>
          <w:bCs/>
          <w:sz w:val="22"/>
        </w:rPr>
        <w:tab/>
      </w:r>
      <w:r w:rsidR="006B51FF" w:rsidRPr="006B51FF">
        <w:rPr>
          <w:rFonts w:ascii="Arial" w:hAnsi="Arial" w:cs="Arial"/>
          <w:b/>
          <w:bCs/>
          <w:sz w:val="22"/>
        </w:rPr>
        <w:t>R1-</w:t>
      </w:r>
      <w:r w:rsidR="001620C5" w:rsidRPr="001620C5">
        <w:t xml:space="preserve"> </w:t>
      </w:r>
      <w:r w:rsidR="001620C5" w:rsidRPr="001620C5">
        <w:rPr>
          <w:rFonts w:ascii="Arial" w:hAnsi="Arial" w:cs="Arial"/>
          <w:b/>
          <w:bCs/>
          <w:sz w:val="22"/>
        </w:rPr>
        <w:t>1801151</w:t>
      </w:r>
    </w:p>
    <w:p w14:paraId="1A6978C4" w14:textId="77777777" w:rsidR="005E2016" w:rsidRPr="008E4F00" w:rsidRDefault="005E2016" w:rsidP="005E2016">
      <w:pPr>
        <w:tabs>
          <w:tab w:val="center" w:pos="4536"/>
          <w:tab w:val="right" w:pos="9072"/>
        </w:tabs>
        <w:spacing w:after="0"/>
        <w:rPr>
          <w:rFonts w:ascii="Arial" w:eastAsia="MS Mincho" w:hAnsi="Arial" w:cs="Arial"/>
          <w:b/>
          <w:bCs/>
          <w:sz w:val="22"/>
          <w:lang w:eastAsia="ja-JP"/>
        </w:rPr>
      </w:pPr>
      <w:r w:rsidRPr="008E4F00">
        <w:rPr>
          <w:rFonts w:ascii="Arial" w:eastAsia="MS Mincho" w:hAnsi="Arial" w:cs="Arial"/>
          <w:b/>
          <w:bCs/>
          <w:sz w:val="22"/>
          <w:lang w:eastAsia="ja-JP"/>
        </w:rPr>
        <w:t>Vancouver, Canada, January 22</w:t>
      </w:r>
      <w:r w:rsidRPr="008E4F00">
        <w:rPr>
          <w:rFonts w:ascii="Arial" w:eastAsia="MS Mincho" w:hAnsi="Arial" w:cs="Arial"/>
          <w:b/>
          <w:bCs/>
          <w:sz w:val="22"/>
          <w:vertAlign w:val="superscript"/>
          <w:lang w:eastAsia="ja-JP"/>
        </w:rPr>
        <w:t>nd</w:t>
      </w:r>
      <w:r w:rsidRPr="008E4F00">
        <w:rPr>
          <w:rFonts w:ascii="Arial" w:eastAsia="MS Mincho" w:hAnsi="Arial" w:cs="Arial"/>
          <w:b/>
          <w:bCs/>
          <w:sz w:val="22"/>
          <w:lang w:eastAsia="ja-JP"/>
        </w:rPr>
        <w:t xml:space="preserve"> – 26</w:t>
      </w:r>
      <w:r w:rsidRPr="008E4F00">
        <w:rPr>
          <w:rFonts w:ascii="Arial" w:eastAsia="MS Mincho" w:hAnsi="Arial" w:cs="Arial"/>
          <w:b/>
          <w:bCs/>
          <w:sz w:val="22"/>
          <w:vertAlign w:val="superscript"/>
          <w:lang w:eastAsia="ja-JP"/>
        </w:rPr>
        <w:t>th</w:t>
      </w:r>
      <w:r w:rsidRPr="008E4F00">
        <w:rPr>
          <w:rFonts w:ascii="Arial" w:eastAsia="MS Mincho" w:hAnsi="Arial" w:cs="Arial"/>
          <w:b/>
          <w:bCs/>
          <w:sz w:val="22"/>
          <w:lang w:eastAsia="ja-JP"/>
        </w:rPr>
        <w:t>, 2018</w:t>
      </w:r>
    </w:p>
    <w:p w14:paraId="6EABF170" w14:textId="77777777" w:rsidR="005E2016" w:rsidRDefault="005E2016" w:rsidP="0002714E">
      <w:pPr>
        <w:tabs>
          <w:tab w:val="left" w:pos="1985"/>
        </w:tabs>
        <w:spacing w:after="0"/>
        <w:jc w:val="both"/>
        <w:rPr>
          <w:b/>
        </w:rPr>
      </w:pPr>
    </w:p>
    <w:p w14:paraId="7F492FCD" w14:textId="32367825" w:rsidR="0045039C" w:rsidRPr="00FC0C34" w:rsidRDefault="0045039C" w:rsidP="0002714E">
      <w:pPr>
        <w:tabs>
          <w:tab w:val="left" w:pos="1985"/>
        </w:tabs>
        <w:spacing w:after="0"/>
        <w:jc w:val="both"/>
      </w:pPr>
      <w:r w:rsidRPr="00FC0C34">
        <w:rPr>
          <w:b/>
        </w:rPr>
        <w:t>Agenda item:</w:t>
      </w:r>
      <w:r w:rsidRPr="00FC0C34">
        <w:tab/>
      </w:r>
      <w:r w:rsidR="00E93B37">
        <w:t>7</w:t>
      </w:r>
      <w:r w:rsidR="00C21830" w:rsidRPr="00FC0C34">
        <w:t>.</w:t>
      </w:r>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08BA12DC" w:rsidR="0045039C" w:rsidRPr="00FC0C34" w:rsidRDefault="0045039C" w:rsidP="0002714E">
      <w:pPr>
        <w:spacing w:after="0"/>
        <w:ind w:left="1988" w:hanging="1988"/>
      </w:pPr>
      <w:r w:rsidRPr="00FC0C34">
        <w:rPr>
          <w:b/>
        </w:rPr>
        <w:t>Title:</w:t>
      </w:r>
      <w:r w:rsidRPr="00FC0C34">
        <w:t xml:space="preserve"> </w:t>
      </w:r>
      <w:r w:rsidRPr="00FC0C34">
        <w:tab/>
      </w:r>
      <w:r w:rsidR="00BE738D" w:rsidRPr="00BE738D">
        <w:t>Remaining details on MCS</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7F492FE1" w14:textId="7BED5B20" w:rsidR="00CD739E" w:rsidRPr="005E2016" w:rsidRDefault="005E2016" w:rsidP="005E2016">
      <w:pPr>
        <w:jc w:val="both"/>
      </w:pPr>
      <w:r>
        <w:t xml:space="preserve">In this contribution, we provide </w:t>
      </w:r>
      <w:r w:rsidR="00BE738D">
        <w:t>a text proposal for the CQI reference section of</w:t>
      </w:r>
      <w:r>
        <w:t xml:space="preserve"> 38.214 [1].</w:t>
      </w:r>
    </w:p>
    <w:p w14:paraId="633C4C94" w14:textId="44616758" w:rsidR="00BE738D" w:rsidRDefault="00BE738D" w:rsidP="00F26D5C">
      <w:pPr>
        <w:pStyle w:val="Heading1"/>
        <w:rPr>
          <w:rFonts w:ascii="Times New Roman" w:hAnsi="Times New Roman"/>
        </w:rPr>
      </w:pPr>
      <w:bookmarkStart w:id="0" w:name="_Ref378529477"/>
      <w:r>
        <w:rPr>
          <w:rFonts w:ascii="Times New Roman" w:hAnsi="Times New Roman"/>
        </w:rPr>
        <w:t>Discussion</w:t>
      </w:r>
    </w:p>
    <w:p w14:paraId="67C66419" w14:textId="24E025FD" w:rsidR="00BE738D" w:rsidRDefault="00BE738D" w:rsidP="00BE738D">
      <w:pPr>
        <w:rPr>
          <w:lang w:val="en-GB"/>
        </w:rPr>
      </w:pPr>
      <w:r>
        <w:rPr>
          <w:lang w:val="en-GB"/>
        </w:rPr>
        <w:t>The following agreement was reached in RAN1 #91 as the UE’s assumption for CQI computation:</w:t>
      </w:r>
    </w:p>
    <w:p w14:paraId="1233EDDE" w14:textId="77777777" w:rsidR="00BE738D" w:rsidRPr="00BE738D" w:rsidRDefault="00BE738D" w:rsidP="00BE738D">
      <w:pPr>
        <w:pStyle w:val="text"/>
        <w:spacing w:after="0"/>
        <w:rPr>
          <w:i/>
          <w:iCs/>
          <w:sz w:val="20"/>
        </w:rPr>
      </w:pPr>
      <w:r w:rsidRPr="00BE738D">
        <w:rPr>
          <w:i/>
          <w:sz w:val="20"/>
          <w:highlight w:val="green"/>
        </w:rPr>
        <w:t>Agreement</w:t>
      </w:r>
    </w:p>
    <w:p w14:paraId="6D392341" w14:textId="77777777" w:rsidR="00BE738D" w:rsidRPr="00BE738D" w:rsidRDefault="00BE738D" w:rsidP="00BE738D">
      <w:pPr>
        <w:pStyle w:val="text"/>
        <w:spacing w:after="0"/>
        <w:rPr>
          <w:rStyle w:val="BookTitle"/>
          <w:b w:val="0"/>
          <w:bCs w:val="0"/>
          <w:sz w:val="20"/>
        </w:rPr>
      </w:pPr>
      <w:r w:rsidRPr="00BE738D">
        <w:rPr>
          <w:rStyle w:val="BookTitle"/>
          <w:rFonts w:eastAsia="Malgun Gothic"/>
          <w:b w:val="0"/>
          <w:sz w:val="20"/>
        </w:rPr>
        <w:t xml:space="preserve">UE can assume the following for CSI computation for </w:t>
      </w:r>
      <w:proofErr w:type="spellStart"/>
      <w:r w:rsidRPr="00BE738D">
        <w:rPr>
          <w:rStyle w:val="BookTitle"/>
          <w:rFonts w:eastAsia="Malgun Gothic"/>
          <w:b w:val="0"/>
          <w:sz w:val="20"/>
        </w:rPr>
        <w:t>eMBB</w:t>
      </w:r>
      <w:proofErr w:type="spellEnd"/>
      <w:r w:rsidRPr="00BE738D">
        <w:rPr>
          <w:rStyle w:val="BookTitle"/>
          <w:rFonts w:eastAsia="Malgun Gothic"/>
          <w:b w:val="0"/>
          <w:sz w:val="20"/>
        </w:rPr>
        <w:t xml:space="preserve">: </w:t>
      </w:r>
    </w:p>
    <w:p w14:paraId="440A6B00" w14:textId="77777777" w:rsidR="00BE738D" w:rsidRPr="00BE738D" w:rsidRDefault="00BE738D" w:rsidP="00BE738D">
      <w:pPr>
        <w:pStyle w:val="bullet1"/>
        <w:rPr>
          <w:rStyle w:val="BookTitle"/>
          <w:rFonts w:ascii="Times New Roman" w:eastAsia="Malgun Gothic" w:hAnsi="Times New Roman"/>
          <w:b w:val="0"/>
          <w:bCs w:val="0"/>
          <w:iCs w:val="0"/>
          <w:sz w:val="20"/>
        </w:rPr>
      </w:pPr>
      <w:r w:rsidRPr="00BE738D">
        <w:rPr>
          <w:rStyle w:val="BookTitle"/>
          <w:rFonts w:ascii="Times New Roman" w:hAnsi="Times New Roman"/>
          <w:b w:val="0"/>
          <w:sz w:val="20"/>
        </w:rPr>
        <w:t>Control symbols equal to 2 OFDM symbols</w:t>
      </w:r>
    </w:p>
    <w:p w14:paraId="5EB7B88A" w14:textId="77777777" w:rsidR="00BE738D" w:rsidRPr="00BE738D" w:rsidRDefault="00BE738D" w:rsidP="00BE738D">
      <w:pPr>
        <w:pStyle w:val="bullet1"/>
        <w:rPr>
          <w:rFonts w:ascii="Times New Roman" w:eastAsia="Malgun Gothic" w:hAnsi="Times New Roman"/>
          <w:i/>
          <w:sz w:val="20"/>
        </w:rPr>
      </w:pPr>
      <w:r w:rsidRPr="00BE738D">
        <w:rPr>
          <w:rFonts w:ascii="Times New Roman" w:eastAsia="Malgun Gothic" w:hAnsi="Times New Roman"/>
          <w:i/>
          <w:sz w:val="20"/>
        </w:rPr>
        <w:t>Number of PDSCH symbols is equal to 12</w:t>
      </w:r>
    </w:p>
    <w:p w14:paraId="492F624B" w14:textId="77777777" w:rsidR="00BE738D" w:rsidRPr="00BE738D" w:rsidRDefault="00BE738D" w:rsidP="00BE738D">
      <w:pPr>
        <w:pStyle w:val="bullet1"/>
        <w:rPr>
          <w:rFonts w:ascii="Times New Roman" w:eastAsia="Malgun Gothic" w:hAnsi="Times New Roman"/>
          <w:i/>
          <w:sz w:val="20"/>
        </w:rPr>
      </w:pPr>
      <w:r w:rsidRPr="00BE738D">
        <w:rPr>
          <w:rFonts w:ascii="Times New Roman" w:eastAsia="Malgun Gothic" w:hAnsi="Times New Roman"/>
          <w:i/>
          <w:sz w:val="20"/>
        </w:rPr>
        <w:t>BWP PDSCH numerology</w:t>
      </w:r>
    </w:p>
    <w:p w14:paraId="39DAC11F" w14:textId="77777777" w:rsidR="00BE738D" w:rsidRPr="00BE738D" w:rsidRDefault="00BE738D" w:rsidP="00BE738D">
      <w:pPr>
        <w:pStyle w:val="bullet1"/>
        <w:rPr>
          <w:rFonts w:ascii="Times New Roman" w:eastAsia="Malgun Gothic" w:hAnsi="Times New Roman"/>
          <w:i/>
          <w:sz w:val="20"/>
        </w:rPr>
      </w:pPr>
      <w:r w:rsidRPr="00BE738D">
        <w:rPr>
          <w:rFonts w:ascii="Times New Roman" w:eastAsia="Malgun Gothic" w:hAnsi="Times New Roman"/>
          <w:i/>
          <w:sz w:val="20"/>
        </w:rPr>
        <w:t>UE assumes the same BW as the BW that it reports CQI for</w:t>
      </w:r>
    </w:p>
    <w:p w14:paraId="182F8EFE" w14:textId="77777777" w:rsidR="00BE738D" w:rsidRPr="00BE738D" w:rsidRDefault="00BE738D" w:rsidP="00BE738D">
      <w:pPr>
        <w:pStyle w:val="bullet1"/>
        <w:rPr>
          <w:rFonts w:ascii="Times New Roman" w:eastAsia="Malgun Gothic" w:hAnsi="Times New Roman"/>
          <w:i/>
          <w:sz w:val="20"/>
        </w:rPr>
      </w:pPr>
      <w:r w:rsidRPr="00BE738D">
        <w:rPr>
          <w:rFonts w:ascii="Times New Roman" w:eastAsia="Malgun Gothic" w:hAnsi="Times New Roman"/>
          <w:i/>
          <w:sz w:val="20"/>
        </w:rPr>
        <w:t>RV equal to 0</w:t>
      </w:r>
    </w:p>
    <w:p w14:paraId="738D59BF" w14:textId="77777777" w:rsidR="00BE738D" w:rsidRPr="00BE738D" w:rsidRDefault="00BE738D" w:rsidP="00BE738D">
      <w:pPr>
        <w:pStyle w:val="bullet1"/>
        <w:rPr>
          <w:rFonts w:ascii="Times New Roman" w:eastAsia="Malgun Gothic" w:hAnsi="Times New Roman"/>
          <w:i/>
          <w:sz w:val="20"/>
        </w:rPr>
      </w:pPr>
      <w:r w:rsidRPr="00BE738D">
        <w:rPr>
          <w:rFonts w:ascii="Times New Roman" w:eastAsia="Malgun Gothic" w:hAnsi="Times New Roman"/>
          <w:i/>
          <w:sz w:val="20"/>
        </w:rPr>
        <w:t>Configured DMRS including type and symbol</w:t>
      </w:r>
    </w:p>
    <w:p w14:paraId="10B8EC6D" w14:textId="77777777" w:rsidR="00BE738D" w:rsidRPr="00BE738D" w:rsidRDefault="00BE738D" w:rsidP="00BE738D">
      <w:pPr>
        <w:pStyle w:val="bullet2"/>
        <w:rPr>
          <w:rFonts w:ascii="Times New Roman" w:hAnsi="Times New Roman"/>
          <w:i/>
          <w:sz w:val="20"/>
        </w:rPr>
      </w:pPr>
      <w:r w:rsidRPr="00BE738D">
        <w:rPr>
          <w:rFonts w:ascii="Times New Roman" w:hAnsi="Times New Roman"/>
          <w:i/>
          <w:sz w:val="20"/>
        </w:rPr>
        <w:t>The number of front loaded DMRS symbols assumed to be same as the maximum front-loaded symbols configured by RRC</w:t>
      </w:r>
    </w:p>
    <w:p w14:paraId="2152C4C7" w14:textId="77777777" w:rsidR="00BE738D" w:rsidRPr="00BE738D" w:rsidRDefault="00BE738D" w:rsidP="00BE738D">
      <w:pPr>
        <w:pStyle w:val="bullet2"/>
        <w:rPr>
          <w:rFonts w:ascii="Times New Roman" w:hAnsi="Times New Roman"/>
          <w:i/>
          <w:sz w:val="20"/>
        </w:rPr>
      </w:pPr>
      <w:r w:rsidRPr="00BE738D">
        <w:rPr>
          <w:rFonts w:ascii="Times New Roman" w:hAnsi="Times New Roman"/>
          <w:i/>
          <w:sz w:val="20"/>
        </w:rPr>
        <w:t>The number of additional DMRS symbols assumed to be same as the additional symbols configured by RRC</w:t>
      </w:r>
    </w:p>
    <w:p w14:paraId="7F53BC17" w14:textId="77777777" w:rsidR="00BE738D" w:rsidRPr="00BE738D" w:rsidRDefault="00BE738D" w:rsidP="00BE738D">
      <w:pPr>
        <w:pStyle w:val="bullet1"/>
        <w:rPr>
          <w:rFonts w:ascii="Times New Roman" w:hAnsi="Times New Roman"/>
          <w:i/>
          <w:sz w:val="20"/>
        </w:rPr>
      </w:pPr>
      <w:r w:rsidRPr="00BE738D">
        <w:rPr>
          <w:rFonts w:ascii="Times New Roman" w:hAnsi="Times New Roman"/>
          <w:i/>
          <w:sz w:val="20"/>
        </w:rPr>
        <w:t>Assume TDM of DMRS and PDSCH</w:t>
      </w:r>
    </w:p>
    <w:p w14:paraId="461E2F0E" w14:textId="355BC890" w:rsidR="00BE738D" w:rsidRDefault="00BE738D" w:rsidP="00BE738D">
      <w:pPr>
        <w:rPr>
          <w:lang w:val="en-GB"/>
        </w:rPr>
      </w:pPr>
    </w:p>
    <w:p w14:paraId="1D2A037F" w14:textId="014CF343" w:rsidR="00BE738D" w:rsidRDefault="00BE738D" w:rsidP="00BE738D">
      <w:pPr>
        <w:rPr>
          <w:lang w:val="en-GB"/>
        </w:rPr>
      </w:pPr>
      <w:r>
        <w:rPr>
          <w:lang w:val="en-GB"/>
        </w:rPr>
        <w:t xml:space="preserve">The above agreement was captured as follows in the current 38.214 text: </w:t>
      </w:r>
    </w:p>
    <w:tbl>
      <w:tblPr>
        <w:tblStyle w:val="TableGrid"/>
        <w:tblW w:w="0" w:type="auto"/>
        <w:tblLook w:val="04A0" w:firstRow="1" w:lastRow="0" w:firstColumn="1" w:lastColumn="0" w:noHBand="0" w:noVBand="1"/>
      </w:tblPr>
      <w:tblGrid>
        <w:gridCol w:w="9962"/>
      </w:tblGrid>
      <w:tr w:rsidR="00BE738D" w14:paraId="75E6C92D" w14:textId="77777777" w:rsidTr="00BE738D">
        <w:tc>
          <w:tcPr>
            <w:tcW w:w="9962" w:type="dxa"/>
          </w:tcPr>
          <w:p w14:paraId="66A7E32A" w14:textId="77777777" w:rsidR="00BE738D" w:rsidRPr="0048482F" w:rsidRDefault="00BE738D" w:rsidP="00BE738D">
            <w:pPr>
              <w:spacing w:after="0"/>
              <w:rPr>
                <w:color w:val="000000"/>
              </w:rPr>
            </w:pPr>
            <w:r w:rsidRPr="0048482F">
              <w:rPr>
                <w:color w:val="000000"/>
              </w:rPr>
              <w:t>In the CSI reference resource, the UE shall assume the following for the purpose of deriving the CQI index, and if also configured, PMI and RI:</w:t>
            </w:r>
          </w:p>
          <w:p w14:paraId="51C2B45F" w14:textId="77777777" w:rsidR="00BE738D" w:rsidRPr="0048482F" w:rsidRDefault="00BE738D" w:rsidP="00BE738D">
            <w:pPr>
              <w:pStyle w:val="B1"/>
              <w:spacing w:after="0"/>
              <w:rPr>
                <w:color w:val="000000"/>
              </w:rPr>
            </w:pPr>
            <w:r w:rsidRPr="0048482F">
              <w:rPr>
                <w:color w:val="000000"/>
              </w:rPr>
              <w:t>-</w:t>
            </w:r>
            <w:r w:rsidRPr="0048482F">
              <w:rPr>
                <w:color w:val="000000"/>
              </w:rPr>
              <w:tab/>
              <w:t>The first 2 OFDM symbols are occupied by control signaling</w:t>
            </w:r>
          </w:p>
          <w:p w14:paraId="358E92DA" w14:textId="77777777" w:rsidR="00BE738D" w:rsidRPr="0048482F" w:rsidRDefault="00BE738D" w:rsidP="00BE738D">
            <w:pPr>
              <w:pStyle w:val="B1"/>
              <w:spacing w:after="0"/>
              <w:rPr>
                <w:color w:val="000000"/>
              </w:rPr>
            </w:pPr>
            <w:r w:rsidRPr="0048482F">
              <w:rPr>
                <w:color w:val="000000"/>
              </w:rPr>
              <w:t>-</w:t>
            </w:r>
            <w:r w:rsidRPr="0048482F">
              <w:rPr>
                <w:color w:val="000000"/>
              </w:rPr>
              <w:tab/>
              <w:t>The number of PDSCH symbols is equal to 12.</w:t>
            </w:r>
          </w:p>
          <w:p w14:paraId="39A49614" w14:textId="77777777" w:rsidR="00BE738D" w:rsidRPr="0048482F" w:rsidRDefault="00BE738D" w:rsidP="00BE738D">
            <w:pPr>
              <w:pStyle w:val="B1"/>
              <w:spacing w:after="0"/>
              <w:rPr>
                <w:color w:val="000000"/>
              </w:rPr>
            </w:pPr>
            <w:r w:rsidRPr="0048482F">
              <w:rPr>
                <w:color w:val="000000"/>
              </w:rPr>
              <w:t>-</w:t>
            </w:r>
            <w:r w:rsidRPr="0048482F">
              <w:rPr>
                <w:color w:val="000000"/>
              </w:rPr>
              <w:tab/>
              <w:t>The bandwidth part subcarrier spacing configured for the PDSCH reception</w:t>
            </w:r>
          </w:p>
          <w:p w14:paraId="7A1E51C8" w14:textId="77777777" w:rsidR="00BE738D" w:rsidRPr="0048482F" w:rsidRDefault="00BE738D" w:rsidP="00BE738D">
            <w:pPr>
              <w:pStyle w:val="B1"/>
              <w:spacing w:after="0"/>
              <w:rPr>
                <w:color w:val="000000"/>
              </w:rPr>
            </w:pPr>
            <w:r w:rsidRPr="0048482F">
              <w:rPr>
                <w:color w:val="000000"/>
              </w:rPr>
              <w:t>-</w:t>
            </w:r>
            <w:r w:rsidRPr="0048482F">
              <w:rPr>
                <w:color w:val="000000"/>
              </w:rPr>
              <w:tab/>
              <w:t>The bandwidth as configured for the PDSCH reception</w:t>
            </w:r>
          </w:p>
          <w:p w14:paraId="783461A9" w14:textId="77777777" w:rsidR="00BE738D" w:rsidRPr="0048482F" w:rsidRDefault="00BE738D" w:rsidP="00BE738D">
            <w:pPr>
              <w:pStyle w:val="B1"/>
              <w:spacing w:after="0"/>
              <w:rPr>
                <w:color w:val="000000"/>
              </w:rPr>
            </w:pPr>
            <w:r w:rsidRPr="0048482F">
              <w:rPr>
                <w:color w:val="000000"/>
              </w:rPr>
              <w:t>-</w:t>
            </w:r>
            <w:r w:rsidRPr="0048482F">
              <w:rPr>
                <w:color w:val="000000"/>
              </w:rPr>
              <w:tab/>
              <w:t xml:space="preserve">The reference resource uses the CP length and subcarrier spacing configured for PDSCH reception </w:t>
            </w:r>
          </w:p>
          <w:p w14:paraId="0C9381EA" w14:textId="77777777" w:rsidR="00BE738D" w:rsidRPr="0048482F" w:rsidRDefault="00BE738D" w:rsidP="00BE738D">
            <w:pPr>
              <w:pStyle w:val="B1"/>
              <w:spacing w:after="0"/>
              <w:rPr>
                <w:color w:val="000000"/>
              </w:rPr>
            </w:pPr>
            <w:r w:rsidRPr="0048482F">
              <w:rPr>
                <w:color w:val="000000"/>
              </w:rPr>
              <w:t>-</w:t>
            </w:r>
            <w:r w:rsidRPr="0048482F">
              <w:rPr>
                <w:color w:val="000000"/>
              </w:rPr>
              <w:tab/>
              <w:t>No resource elements used by primary or secondary synchronization signals or PBCH.</w:t>
            </w:r>
          </w:p>
          <w:p w14:paraId="11EBA8AE" w14:textId="77777777" w:rsidR="00BE738D" w:rsidRPr="0048482F" w:rsidRDefault="00BE738D" w:rsidP="00BE738D">
            <w:pPr>
              <w:pStyle w:val="B1"/>
              <w:spacing w:after="0"/>
              <w:rPr>
                <w:color w:val="000000"/>
              </w:rPr>
            </w:pPr>
            <w:r w:rsidRPr="0048482F">
              <w:rPr>
                <w:color w:val="000000"/>
              </w:rPr>
              <w:t>-</w:t>
            </w:r>
            <w:r w:rsidRPr="0048482F">
              <w:rPr>
                <w:color w:val="000000"/>
              </w:rPr>
              <w:tab/>
              <w:t>Redundancy Version 0</w:t>
            </w:r>
          </w:p>
          <w:p w14:paraId="18B2D74E" w14:textId="77777777" w:rsidR="00BE738D" w:rsidRPr="0048482F" w:rsidRDefault="00BE738D" w:rsidP="00BE738D">
            <w:pPr>
              <w:pStyle w:val="B1"/>
              <w:spacing w:after="0"/>
              <w:rPr>
                <w:color w:val="000000"/>
              </w:rPr>
            </w:pPr>
            <w:r w:rsidRPr="0048482F">
              <w:rPr>
                <w:color w:val="000000"/>
              </w:rPr>
              <w:t>-</w:t>
            </w:r>
            <w:r w:rsidRPr="0048482F">
              <w:rPr>
                <w:color w:val="000000"/>
              </w:rPr>
              <w:tab/>
              <w:t xml:space="preserve">The ratio of PDSCH EPRE to CSI-RS EPRE is as given in </w:t>
            </w:r>
            <w:proofErr w:type="spellStart"/>
            <w:r w:rsidRPr="0048482F">
              <w:rPr>
                <w:color w:val="000000"/>
              </w:rPr>
              <w:t>Subclause</w:t>
            </w:r>
            <w:proofErr w:type="spellEnd"/>
            <w:r w:rsidRPr="0048482F">
              <w:rPr>
                <w:color w:val="000000"/>
              </w:rPr>
              <w:t xml:space="preserve"> 4.1.</w:t>
            </w:r>
          </w:p>
          <w:p w14:paraId="1FFA98BD" w14:textId="77777777" w:rsidR="00BE738D" w:rsidRPr="0048482F" w:rsidRDefault="00BE738D" w:rsidP="00BE738D">
            <w:pPr>
              <w:pStyle w:val="B1"/>
              <w:spacing w:after="0"/>
              <w:rPr>
                <w:color w:val="000000"/>
              </w:rPr>
            </w:pPr>
            <w:r w:rsidRPr="0048482F">
              <w:rPr>
                <w:color w:val="000000"/>
              </w:rPr>
              <w:t>-</w:t>
            </w:r>
            <w:r w:rsidRPr="0048482F">
              <w:rPr>
                <w:color w:val="000000"/>
              </w:rPr>
              <w:tab/>
              <w:t>Assume no REs allocated for CSI-RS and zero-power CSI-RS</w:t>
            </w:r>
          </w:p>
          <w:p w14:paraId="6BC2567C" w14:textId="77777777" w:rsidR="00BE738D" w:rsidRPr="0048482F" w:rsidRDefault="00BE738D" w:rsidP="00BE738D">
            <w:pPr>
              <w:pStyle w:val="B1"/>
              <w:spacing w:after="0"/>
              <w:rPr>
                <w:color w:val="000000"/>
              </w:rPr>
            </w:pPr>
            <w:r w:rsidRPr="0048482F">
              <w:rPr>
                <w:color w:val="000000"/>
              </w:rPr>
              <w:t>-</w:t>
            </w:r>
            <w:r w:rsidRPr="0048482F">
              <w:rPr>
                <w:color w:val="000000"/>
              </w:rPr>
              <w:tab/>
              <w:t>Assume the same number of front loaded DM-RS symbols as the maximum front-loaded symbols configured by the higher layer parameter</w:t>
            </w:r>
            <w:r w:rsidRPr="0048482F">
              <w:rPr>
                <w:i/>
                <w:color w:val="000000"/>
              </w:rPr>
              <w:t xml:space="preserve"> DL-DMRS-max-</w:t>
            </w:r>
            <w:proofErr w:type="spellStart"/>
            <w:r w:rsidRPr="0048482F">
              <w:rPr>
                <w:i/>
                <w:color w:val="000000"/>
              </w:rPr>
              <w:t>len</w:t>
            </w:r>
            <w:proofErr w:type="spellEnd"/>
            <w:r w:rsidRPr="0048482F">
              <w:rPr>
                <w:i/>
                <w:color w:val="000000"/>
              </w:rPr>
              <w:t>.</w:t>
            </w:r>
            <w:r w:rsidRPr="0048482F">
              <w:rPr>
                <w:color w:val="000000"/>
              </w:rPr>
              <w:t xml:space="preserve"> </w:t>
            </w:r>
          </w:p>
          <w:p w14:paraId="197CCC5C" w14:textId="77777777" w:rsidR="00BE738D" w:rsidRPr="0048482F" w:rsidRDefault="00BE738D" w:rsidP="00BE738D">
            <w:pPr>
              <w:pStyle w:val="B1"/>
              <w:spacing w:after="0"/>
              <w:rPr>
                <w:color w:val="000000"/>
              </w:rPr>
            </w:pPr>
            <w:r w:rsidRPr="0048482F">
              <w:rPr>
                <w:color w:val="000000"/>
              </w:rPr>
              <w:lastRenderedPageBreak/>
              <w:t>-</w:t>
            </w:r>
            <w:r w:rsidRPr="0048482F">
              <w:rPr>
                <w:color w:val="000000"/>
              </w:rPr>
              <w:tab/>
              <w:t xml:space="preserve">Assume the same number of additional DM-RS symbols as the additional symbols configured by the higher layer parameter </w:t>
            </w:r>
            <w:r w:rsidRPr="0048482F">
              <w:rPr>
                <w:i/>
                <w:color w:val="000000"/>
              </w:rPr>
              <w:t>DL-DMRS-add-pos</w:t>
            </w:r>
            <w:r w:rsidRPr="0048482F">
              <w:rPr>
                <w:color w:val="000000"/>
              </w:rPr>
              <w:t>.</w:t>
            </w:r>
          </w:p>
          <w:p w14:paraId="63B89BE5" w14:textId="77777777" w:rsidR="00BE738D" w:rsidRPr="0048482F" w:rsidRDefault="00BE738D" w:rsidP="00BE738D">
            <w:pPr>
              <w:pStyle w:val="B1"/>
              <w:spacing w:after="0"/>
              <w:rPr>
                <w:color w:val="000000"/>
              </w:rPr>
            </w:pPr>
            <w:r w:rsidRPr="0048482F">
              <w:rPr>
                <w:color w:val="000000"/>
              </w:rPr>
              <w:t>-</w:t>
            </w:r>
            <w:r w:rsidRPr="0048482F">
              <w:rPr>
                <w:color w:val="000000"/>
              </w:rPr>
              <w:tab/>
              <w:t>Assume the PDSCH symbols are not containing DM-RS.</w:t>
            </w:r>
          </w:p>
          <w:p w14:paraId="0D28EBB2" w14:textId="2EB2B6E1" w:rsidR="00BE738D" w:rsidRPr="00BE738D" w:rsidRDefault="00BE738D" w:rsidP="00BE738D">
            <w:pPr>
              <w:pStyle w:val="B2"/>
              <w:spacing w:after="0"/>
              <w:ind w:left="568"/>
              <w:rPr>
                <w:color w:val="000000"/>
              </w:rPr>
            </w:pPr>
            <w:r w:rsidRPr="0048482F">
              <w:rPr>
                <w:color w:val="000000"/>
              </w:rPr>
              <w:t>-</w:t>
            </w:r>
            <w:r w:rsidRPr="0048482F">
              <w:rPr>
                <w:color w:val="000000"/>
              </w:rPr>
              <w:tab/>
              <w:t xml:space="preserve">The PDSCH transmission scheme where the UE may assume that the </w:t>
            </w:r>
            <w:proofErr w:type="spellStart"/>
            <w:r w:rsidRPr="0048482F">
              <w:rPr>
                <w:color w:val="000000"/>
              </w:rPr>
              <w:t>gNB</w:t>
            </w:r>
            <w:proofErr w:type="spellEnd"/>
            <w:r w:rsidRPr="0048482F">
              <w:rPr>
                <w:color w:val="000000"/>
              </w:rPr>
              <w:t xml:space="preserve"> transmission on the PDSCH would be performed with up to 8 transmission layers on antenna ports [1000-1011] as defined in </w:t>
            </w:r>
            <w:proofErr w:type="spellStart"/>
            <w:r w:rsidRPr="0048482F">
              <w:rPr>
                <w:color w:val="000000"/>
              </w:rPr>
              <w:t>Subclause</w:t>
            </w:r>
            <w:proofErr w:type="spellEnd"/>
            <w:r w:rsidRPr="0048482F">
              <w:rPr>
                <w:color w:val="000000"/>
              </w:rPr>
              <w:t xml:space="preserve"> 7.3.1.4 of [4, TS 38.211].</w:t>
            </w:r>
            <w:r w:rsidRPr="0048482F">
              <w:rPr>
                <w:rFonts w:hint="eastAsia"/>
                <w:color w:val="000000"/>
                <w:lang w:eastAsia="zh-CN"/>
              </w:rPr>
              <w:t xml:space="preserve"> </w:t>
            </w:r>
            <w:r w:rsidRPr="0048482F">
              <w:rPr>
                <w:color w:val="000000"/>
              </w:rPr>
              <w:t xml:space="preserve"> </w:t>
            </w:r>
          </w:p>
        </w:tc>
      </w:tr>
    </w:tbl>
    <w:p w14:paraId="001D1082" w14:textId="4E89B361" w:rsidR="00BE738D" w:rsidRDefault="00BE738D" w:rsidP="00BE738D">
      <w:pPr>
        <w:rPr>
          <w:lang w:val="en-GB"/>
        </w:rPr>
      </w:pPr>
    </w:p>
    <w:p w14:paraId="13B36D74" w14:textId="4A83D2F8" w:rsidR="00BE738D" w:rsidRDefault="00BE738D" w:rsidP="00BE738D">
      <w:pPr>
        <w:rPr>
          <w:lang w:val="en-GB"/>
        </w:rPr>
      </w:pPr>
      <w:r>
        <w:rPr>
          <w:lang w:val="en-GB"/>
        </w:rPr>
        <w:t>Comparing the above agreement and wording in the spec we make the following observations:</w:t>
      </w:r>
    </w:p>
    <w:tbl>
      <w:tblPr>
        <w:tblpPr w:leftFromText="180" w:rightFromText="180" w:vertAnchor="text" w:horzAnchor="margin" w:tblpXSpec="center" w:tblpY="-21"/>
        <w:tblW w:w="9952" w:type="dxa"/>
        <w:tblCellMar>
          <w:left w:w="0" w:type="dxa"/>
          <w:right w:w="0" w:type="dxa"/>
        </w:tblCellMar>
        <w:tblLook w:val="0420" w:firstRow="1" w:lastRow="0" w:firstColumn="0" w:lastColumn="0" w:noHBand="0" w:noVBand="1"/>
      </w:tblPr>
      <w:tblGrid>
        <w:gridCol w:w="3860"/>
        <w:gridCol w:w="2768"/>
        <w:gridCol w:w="3324"/>
      </w:tblGrid>
      <w:tr w:rsidR="00BE738D" w:rsidRPr="00BE738D" w14:paraId="51668170" w14:textId="77777777" w:rsidTr="00BE738D">
        <w:trPr>
          <w:trHeight w:val="584"/>
        </w:trPr>
        <w:tc>
          <w:tcPr>
            <w:tcW w:w="38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2C904D2D" w14:textId="77777777" w:rsidR="00BE738D" w:rsidRPr="00BE738D" w:rsidRDefault="00BE738D" w:rsidP="00BE738D">
            <w:pPr>
              <w:jc w:val="center"/>
            </w:pPr>
            <w:r w:rsidRPr="00BE738D">
              <w:rPr>
                <w:b/>
                <w:bCs/>
              </w:rPr>
              <w:t>Current text</w:t>
            </w:r>
          </w:p>
        </w:tc>
        <w:tc>
          <w:tcPr>
            <w:tcW w:w="2768" w:type="dxa"/>
            <w:tcBorders>
              <w:top w:val="single" w:sz="8" w:space="0" w:color="FFFFFF"/>
              <w:left w:val="single" w:sz="8" w:space="0" w:color="FFFFFF"/>
              <w:bottom w:val="single" w:sz="24" w:space="0" w:color="FFFFFF"/>
              <w:right w:val="single" w:sz="8" w:space="0" w:color="FFFFFF"/>
            </w:tcBorders>
            <w:shd w:val="clear" w:color="auto" w:fill="70CFEE"/>
            <w:vAlign w:val="center"/>
          </w:tcPr>
          <w:p w14:paraId="1C724EEC" w14:textId="3143A950" w:rsidR="00BE738D" w:rsidRPr="00BE738D" w:rsidRDefault="00BE738D" w:rsidP="00BE738D">
            <w:pPr>
              <w:jc w:val="center"/>
              <w:rPr>
                <w:b/>
                <w:bCs/>
              </w:rPr>
            </w:pPr>
            <w:r w:rsidRPr="00BE738D">
              <w:rPr>
                <w:b/>
                <w:bCs/>
              </w:rPr>
              <w:t>Agreement text</w:t>
            </w:r>
          </w:p>
        </w:tc>
        <w:tc>
          <w:tcPr>
            <w:tcW w:w="3324"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vAlign w:val="center"/>
            <w:hideMark/>
          </w:tcPr>
          <w:p w14:paraId="36ED8726" w14:textId="571F086A" w:rsidR="00BE738D" w:rsidRPr="00BE738D" w:rsidRDefault="00BE738D" w:rsidP="00BE738D">
            <w:pPr>
              <w:jc w:val="center"/>
            </w:pPr>
            <w:r w:rsidRPr="00BE738D">
              <w:rPr>
                <w:b/>
                <w:bCs/>
              </w:rPr>
              <w:t>Proposal</w:t>
            </w:r>
            <w:r>
              <w:rPr>
                <w:b/>
                <w:bCs/>
              </w:rPr>
              <w:t xml:space="preserve"> / Comment</w:t>
            </w:r>
          </w:p>
        </w:tc>
      </w:tr>
      <w:tr w:rsidR="00BE738D" w:rsidRPr="00BE738D" w14:paraId="270398FB" w14:textId="77777777" w:rsidTr="00BE738D">
        <w:trPr>
          <w:trHeight w:val="584"/>
        </w:trPr>
        <w:tc>
          <w:tcPr>
            <w:tcW w:w="38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32DC965E" w14:textId="77777777" w:rsidR="00BE738D" w:rsidRPr="00BE738D" w:rsidRDefault="00BE738D" w:rsidP="00BE738D">
            <w:pPr>
              <w:jc w:val="center"/>
            </w:pPr>
            <w:r w:rsidRPr="00BE738D">
              <w:t>The bandwidth as configured for the PDSCH reception</w:t>
            </w:r>
          </w:p>
        </w:tc>
        <w:tc>
          <w:tcPr>
            <w:tcW w:w="2768" w:type="dxa"/>
            <w:tcBorders>
              <w:top w:val="single" w:sz="24" w:space="0" w:color="FFFFFF"/>
              <w:left w:val="single" w:sz="8" w:space="0" w:color="FFFFFF"/>
              <w:bottom w:val="single" w:sz="8" w:space="0" w:color="FFFFFF"/>
              <w:right w:val="single" w:sz="8" w:space="0" w:color="FFFFFF"/>
            </w:tcBorders>
            <w:shd w:val="clear" w:color="auto" w:fill="D5EDF8"/>
            <w:vAlign w:val="center"/>
          </w:tcPr>
          <w:p w14:paraId="0A776802" w14:textId="0BC3213B" w:rsidR="00BE738D" w:rsidRDefault="00BE738D" w:rsidP="00BE738D">
            <w:pPr>
              <w:jc w:val="center"/>
            </w:pPr>
            <w:r w:rsidRPr="00BE738D">
              <w:rPr>
                <w:lang w:val="en-GB"/>
              </w:rPr>
              <w:t>UE assumes the same BW as the BW that it reports CQI for</w:t>
            </w:r>
          </w:p>
        </w:tc>
        <w:tc>
          <w:tcPr>
            <w:tcW w:w="3324"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53816B70" w14:textId="06B1758E" w:rsidR="00BE738D" w:rsidRPr="00BE738D" w:rsidRDefault="00BE738D" w:rsidP="00BE738D">
            <w:pPr>
              <w:jc w:val="center"/>
            </w:pPr>
            <w:r>
              <w:t>Text proposa</w:t>
            </w:r>
            <w:r w:rsidR="00405B32">
              <w:t>l</w:t>
            </w:r>
            <w:r>
              <w:t>: “</w:t>
            </w:r>
            <w:r w:rsidRPr="00BE738D">
              <w:t>The bandwidth as configured for the corresponding CQI report</w:t>
            </w:r>
            <w:r>
              <w:t>”</w:t>
            </w:r>
          </w:p>
        </w:tc>
      </w:tr>
      <w:tr w:rsidR="00BE738D" w:rsidRPr="00BE738D" w14:paraId="1A55B169" w14:textId="77777777" w:rsidTr="00BE738D">
        <w:trPr>
          <w:trHeight w:val="584"/>
        </w:trPr>
        <w:tc>
          <w:tcPr>
            <w:tcW w:w="38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290662A6" w14:textId="77777777" w:rsidR="00BE738D" w:rsidRPr="00BE738D" w:rsidRDefault="00BE738D" w:rsidP="00BE738D">
            <w:pPr>
              <w:jc w:val="center"/>
            </w:pPr>
            <w:r w:rsidRPr="00BE738D">
              <w:t>No resource elements used by primary or secondary synchronization signals or PBCH.</w:t>
            </w:r>
          </w:p>
        </w:tc>
        <w:tc>
          <w:tcPr>
            <w:tcW w:w="2768" w:type="dxa"/>
            <w:tcBorders>
              <w:top w:val="single" w:sz="8" w:space="0" w:color="FFFFFF"/>
              <w:left w:val="single" w:sz="8" w:space="0" w:color="FFFFFF"/>
              <w:bottom w:val="single" w:sz="8" w:space="0" w:color="FFFFFF"/>
              <w:right w:val="single" w:sz="8" w:space="0" w:color="FFFFFF"/>
            </w:tcBorders>
            <w:shd w:val="clear" w:color="auto" w:fill="EBF6FC"/>
            <w:vAlign w:val="center"/>
          </w:tcPr>
          <w:p w14:paraId="531732EB" w14:textId="57DE8CA1" w:rsidR="00BE738D" w:rsidRDefault="00BE738D" w:rsidP="00BE738D">
            <w:pPr>
              <w:jc w:val="center"/>
            </w:pPr>
            <w:r w:rsidRPr="00BE738D">
              <w:t>Not in the agreement</w:t>
            </w:r>
          </w:p>
        </w:tc>
        <w:tc>
          <w:tcPr>
            <w:tcW w:w="3324"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vAlign w:val="center"/>
            <w:hideMark/>
          </w:tcPr>
          <w:p w14:paraId="75034AB3" w14:textId="734A85C4" w:rsidR="00BE738D" w:rsidRPr="00BE738D" w:rsidRDefault="00BE738D" w:rsidP="00BE738D">
            <w:pPr>
              <w:jc w:val="center"/>
            </w:pPr>
            <w:r>
              <w:t>Comment: Even though this is not in the agreement, this is reasonable to keep, similar to LTE.</w:t>
            </w:r>
          </w:p>
        </w:tc>
      </w:tr>
      <w:tr w:rsidR="00BE738D" w:rsidRPr="00BE738D" w14:paraId="170D190D" w14:textId="77777777" w:rsidTr="00BE738D">
        <w:trPr>
          <w:trHeight w:val="584"/>
        </w:trPr>
        <w:tc>
          <w:tcPr>
            <w:tcW w:w="3860"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2FEA4EC7" w14:textId="77777777" w:rsidR="00BE738D" w:rsidRPr="00BE738D" w:rsidRDefault="00BE738D" w:rsidP="00BE738D">
            <w:pPr>
              <w:jc w:val="center"/>
            </w:pPr>
            <w:r w:rsidRPr="00BE738D">
              <w:t xml:space="preserve">The ratio of PDSCH EPRE to CSI-RS EPRE is as given in </w:t>
            </w:r>
            <w:proofErr w:type="spellStart"/>
            <w:r w:rsidRPr="00BE738D">
              <w:t>Subclause</w:t>
            </w:r>
            <w:proofErr w:type="spellEnd"/>
            <w:r w:rsidRPr="00BE738D">
              <w:t xml:space="preserve"> 4.1.</w:t>
            </w:r>
          </w:p>
        </w:tc>
        <w:tc>
          <w:tcPr>
            <w:tcW w:w="2768" w:type="dxa"/>
            <w:tcBorders>
              <w:top w:val="single" w:sz="8" w:space="0" w:color="FFFFFF"/>
              <w:left w:val="single" w:sz="8" w:space="0" w:color="FFFFFF"/>
              <w:bottom w:val="single" w:sz="8" w:space="0" w:color="FFFFFF"/>
              <w:right w:val="single" w:sz="8" w:space="0" w:color="FFFFFF"/>
            </w:tcBorders>
            <w:shd w:val="clear" w:color="auto" w:fill="D5EDF8"/>
            <w:vAlign w:val="center"/>
          </w:tcPr>
          <w:p w14:paraId="48AFFE1C" w14:textId="0FC5DF2C" w:rsidR="00BE738D" w:rsidRDefault="00BE738D" w:rsidP="00BE738D">
            <w:pPr>
              <w:jc w:val="center"/>
            </w:pPr>
            <w:r w:rsidRPr="00BE738D">
              <w:t>Not in the agreement</w:t>
            </w:r>
          </w:p>
        </w:tc>
        <w:tc>
          <w:tcPr>
            <w:tcW w:w="3324"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vAlign w:val="center"/>
            <w:hideMark/>
          </w:tcPr>
          <w:p w14:paraId="4ADCE369" w14:textId="21743223" w:rsidR="00BE738D" w:rsidRPr="00BE738D" w:rsidRDefault="00BE738D" w:rsidP="00BE738D">
            <w:pPr>
              <w:jc w:val="center"/>
            </w:pPr>
            <w:r>
              <w:t>Comment: even though this is not formally agreed, it is reasonable to keep in the 214 spec.</w:t>
            </w:r>
          </w:p>
        </w:tc>
      </w:tr>
    </w:tbl>
    <w:p w14:paraId="43D31C56" w14:textId="14324F6B" w:rsidR="00BE738D" w:rsidRDefault="00BE738D" w:rsidP="00BE738D">
      <w:pPr>
        <w:rPr>
          <w:lang w:val="en-GB"/>
        </w:rPr>
      </w:pPr>
    </w:p>
    <w:p w14:paraId="11A4E604" w14:textId="4CD67679" w:rsidR="008E41E3" w:rsidRDefault="008E41E3" w:rsidP="008E41E3">
      <w:pPr>
        <w:rPr>
          <w:b/>
          <w:i/>
          <w:lang w:val="en-GB"/>
        </w:rPr>
      </w:pPr>
      <w:r w:rsidRPr="00405B32">
        <w:rPr>
          <w:b/>
          <w:i/>
          <w:lang w:val="en-GB"/>
        </w:rPr>
        <w:t>Proposal 1: In the CQI assumption definition, update the wording: “</w:t>
      </w:r>
      <w:r w:rsidRPr="00405B32">
        <w:rPr>
          <w:b/>
          <w:i/>
        </w:rPr>
        <w:t xml:space="preserve">The bandwidth as configured for </w:t>
      </w:r>
      <w:r w:rsidRPr="00E941AD">
        <w:rPr>
          <w:b/>
          <w:i/>
          <w:strike/>
          <w:color w:val="FF0000"/>
        </w:rPr>
        <w:t>the PDSCH reception</w:t>
      </w:r>
      <w:r>
        <w:rPr>
          <w:b/>
          <w:i/>
          <w:strike/>
          <w:color w:val="FF0000"/>
        </w:rPr>
        <w:t xml:space="preserve"> </w:t>
      </w:r>
      <w:r w:rsidRPr="00E941AD">
        <w:rPr>
          <w:b/>
          <w:i/>
          <w:color w:val="00B050"/>
        </w:rPr>
        <w:t>the corresponding CQI report</w:t>
      </w:r>
      <w:r w:rsidRPr="00405B32">
        <w:rPr>
          <w:b/>
          <w:i/>
          <w:lang w:val="en-GB"/>
        </w:rPr>
        <w:t>”.</w:t>
      </w:r>
    </w:p>
    <w:p w14:paraId="0F1EFFD1" w14:textId="7ADEA828" w:rsidR="005B1957" w:rsidRDefault="005B1957" w:rsidP="005B1957">
      <w:pPr>
        <w:pStyle w:val="Heading1"/>
      </w:pPr>
      <w:r>
        <w:t xml:space="preserve">Performance </w:t>
      </w:r>
      <w:r w:rsidR="00022F53">
        <w:t>using</w:t>
      </w:r>
      <w:r>
        <w:t xml:space="preserve"> CP-OFDM</w:t>
      </w:r>
    </w:p>
    <w:p w14:paraId="53B10E3B" w14:textId="3C50B343" w:rsidR="005B1957" w:rsidRDefault="005B1957" w:rsidP="00022F53">
      <w:pPr>
        <w:jc w:val="both"/>
        <w:rPr>
          <w:lang w:val="en-GB"/>
        </w:rPr>
      </w:pPr>
      <w:r>
        <w:rPr>
          <w:lang w:val="en-GB"/>
        </w:rPr>
        <w:t xml:space="preserve">In our earlier contribution </w:t>
      </w:r>
      <w:r>
        <w:rPr>
          <w:lang w:val="en-GB"/>
        </w:rPr>
        <w:fldChar w:fldCharType="begin"/>
      </w:r>
      <w:r>
        <w:rPr>
          <w:lang w:val="en-GB"/>
        </w:rPr>
        <w:instrText xml:space="preserve"> REF _Ref504633039 \r \h </w:instrText>
      </w:r>
      <w:r w:rsidR="00022F53">
        <w:rPr>
          <w:lang w:val="en-GB"/>
        </w:rPr>
        <w:instrText xml:space="preserve"> \* MERGEFORMAT </w:instrText>
      </w:r>
      <w:r>
        <w:rPr>
          <w:lang w:val="en-GB"/>
        </w:rPr>
      </w:r>
      <w:r>
        <w:rPr>
          <w:lang w:val="en-GB"/>
        </w:rPr>
        <w:fldChar w:fldCharType="separate"/>
      </w:r>
      <w:r>
        <w:rPr>
          <w:lang w:val="en-GB"/>
        </w:rPr>
        <w:t>[3]</w:t>
      </w:r>
      <w:r>
        <w:rPr>
          <w:lang w:val="en-GB"/>
        </w:rPr>
        <w:fldChar w:fldCharType="end"/>
      </w:r>
      <w:r>
        <w:rPr>
          <w:lang w:val="en-GB"/>
        </w:rPr>
        <w:t xml:space="preserve">, we tested the performance of different modulation and code rate combinations and proposed a new MCS table for NR. In that contribution we reported simulation results showing that, over the EPA fading channel, better performance was obtained by lowering the code rate at which the modulation order is increase. The results are listed in </w:t>
      </w:r>
      <w:r w:rsidR="00DE17C4">
        <w:rPr>
          <w:lang w:val="en-GB"/>
        </w:rPr>
        <w:fldChar w:fldCharType="begin"/>
      </w:r>
      <w:r w:rsidR="00DE17C4">
        <w:rPr>
          <w:lang w:val="en-GB"/>
        </w:rPr>
        <w:instrText xml:space="preserve"> REF _Ref504636959 \h </w:instrText>
      </w:r>
      <w:r w:rsidR="00022F53">
        <w:rPr>
          <w:lang w:val="en-GB"/>
        </w:rPr>
        <w:instrText xml:space="preserve"> \* MERGEFORMAT </w:instrText>
      </w:r>
      <w:r w:rsidR="00DE17C4">
        <w:rPr>
          <w:lang w:val="en-GB"/>
        </w:rPr>
      </w:r>
      <w:r w:rsidR="00DE17C4">
        <w:rPr>
          <w:lang w:val="en-GB"/>
        </w:rPr>
        <w:fldChar w:fldCharType="separate"/>
      </w:r>
      <w:r w:rsidR="00DE17C4">
        <w:t xml:space="preserve">Table </w:t>
      </w:r>
      <w:r w:rsidR="00DE17C4">
        <w:rPr>
          <w:noProof/>
        </w:rPr>
        <w:t>1</w:t>
      </w:r>
      <w:r w:rsidR="00DE17C4">
        <w:rPr>
          <w:lang w:val="en-GB"/>
        </w:rPr>
        <w:fldChar w:fldCharType="end"/>
      </w:r>
      <w:r w:rsidR="00DE17C4">
        <w:rPr>
          <w:lang w:val="en-GB"/>
        </w:rPr>
        <w:t>.</w:t>
      </w:r>
      <w:r w:rsidR="00022F53">
        <w:rPr>
          <w:lang w:val="en-GB"/>
        </w:rPr>
        <w:t xml:space="preserve"> </w:t>
      </w:r>
      <w:r w:rsidR="00C7614C">
        <w:rPr>
          <w:lang w:val="en-GB"/>
        </w:rPr>
        <w:t>The simulations used base-graph 1 with the systematic-bit priority mapping interleaver.</w:t>
      </w:r>
      <w:bookmarkStart w:id="1" w:name="_GoBack"/>
      <w:bookmarkEnd w:id="1"/>
    </w:p>
    <w:p w14:paraId="67330183" w14:textId="4B394B2E" w:rsidR="006F7A7A" w:rsidRDefault="00022F53" w:rsidP="005B1957">
      <w:pPr>
        <w:rPr>
          <w:lang w:val="en-GB"/>
        </w:rPr>
      </w:pPr>
      <w:r w:rsidRPr="009C1011">
        <w:rPr>
          <w:b/>
          <w:i/>
          <w:lang w:val="en-GB"/>
        </w:rPr>
        <w:t>Observation 1</w:t>
      </w:r>
      <w:r w:rsidRPr="009C1011">
        <w:rPr>
          <w:b/>
          <w:lang w:val="en-GB"/>
        </w:rPr>
        <w:t>:</w:t>
      </w:r>
      <w:r>
        <w:rPr>
          <w:lang w:val="en-GB"/>
        </w:rPr>
        <w:t xml:space="preserve"> Using CP-OFDM, performance over fading is degraded if the modulation order transition code rate is</w:t>
      </w:r>
      <w:r w:rsidR="00873FE8">
        <w:rPr>
          <w:lang w:val="en-GB"/>
        </w:rPr>
        <w:t xml:space="preserve"> high</w:t>
      </w:r>
      <w:r>
        <w:rPr>
          <w:lang w:val="en-GB"/>
        </w:rPr>
        <w:t>.</w:t>
      </w:r>
    </w:p>
    <w:p w14:paraId="7FFD0C41" w14:textId="61EBCE70" w:rsidR="006F7A7A" w:rsidRDefault="006F7A7A" w:rsidP="006F7A7A">
      <w:pPr>
        <w:pStyle w:val="Caption"/>
        <w:keepNext/>
      </w:pPr>
      <w:bookmarkStart w:id="2" w:name="_Ref504636959"/>
      <w:r>
        <w:lastRenderedPageBreak/>
        <w:t xml:space="preserve">Table </w:t>
      </w:r>
      <w:fldSimple w:instr=" SEQ Table \* ARABIC ">
        <w:r>
          <w:rPr>
            <w:noProof/>
          </w:rPr>
          <w:t>1</w:t>
        </w:r>
      </w:fldSimple>
      <w:bookmarkEnd w:id="2"/>
      <w:r>
        <w:t xml:space="preserve"> Performance of the NR LDPC coding chain over the EPA channel</w:t>
      </w:r>
    </w:p>
    <w:p w14:paraId="5B13C756" w14:textId="07180797" w:rsidR="006F7A7A" w:rsidRPr="005B1957" w:rsidRDefault="006F7A7A" w:rsidP="005B1957">
      <w:pPr>
        <w:rPr>
          <w:lang w:val="en-GB"/>
        </w:rPr>
      </w:pPr>
      <w:r w:rsidRPr="00EF0050">
        <w:rPr>
          <w:noProof/>
        </w:rPr>
        <w:drawing>
          <wp:inline distT="0" distB="0" distL="0" distR="0" wp14:anchorId="3FE7DC42" wp14:editId="14DA57F7">
            <wp:extent cx="6332220" cy="374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740785"/>
                    </a:xfrm>
                    <a:prstGeom prst="rect">
                      <a:avLst/>
                    </a:prstGeom>
                    <a:noFill/>
                    <a:ln>
                      <a:noFill/>
                    </a:ln>
                  </pic:spPr>
                </pic:pic>
              </a:graphicData>
            </a:graphic>
          </wp:inline>
        </w:drawing>
      </w:r>
    </w:p>
    <w:p w14:paraId="4252ACF3" w14:textId="78B3518C" w:rsidR="00F26D5C" w:rsidRDefault="003A38AC" w:rsidP="00022F53">
      <w:pPr>
        <w:pStyle w:val="Heading1"/>
      </w:pPr>
      <w:r w:rsidRPr="00A86FDA">
        <w:t>C</w:t>
      </w:r>
      <w:r w:rsidR="001021DD" w:rsidRPr="00A86FDA">
        <w:t>onclusions</w:t>
      </w:r>
      <w:bookmarkEnd w:id="0"/>
    </w:p>
    <w:p w14:paraId="6BD58FC9" w14:textId="49A46F1E" w:rsidR="00405B32" w:rsidRDefault="00405B32" w:rsidP="00405B32">
      <w:pPr>
        <w:rPr>
          <w:b/>
          <w:i/>
          <w:lang w:val="en-GB"/>
        </w:rPr>
      </w:pPr>
      <w:r w:rsidRPr="00405B32">
        <w:rPr>
          <w:b/>
          <w:i/>
          <w:lang w:val="en-GB"/>
        </w:rPr>
        <w:t>Proposal 1: In the CQI assumption definition, update the wording: “</w:t>
      </w:r>
      <w:r w:rsidRPr="00405B32">
        <w:rPr>
          <w:b/>
          <w:i/>
        </w:rPr>
        <w:t xml:space="preserve">The bandwidth as configured for </w:t>
      </w:r>
      <w:r w:rsidRPr="00E941AD">
        <w:rPr>
          <w:b/>
          <w:i/>
          <w:strike/>
          <w:color w:val="FF0000"/>
        </w:rPr>
        <w:t>the PDSCH reception</w:t>
      </w:r>
      <w:r w:rsidR="00E941AD">
        <w:rPr>
          <w:b/>
          <w:i/>
          <w:strike/>
          <w:color w:val="FF0000"/>
        </w:rPr>
        <w:t xml:space="preserve"> </w:t>
      </w:r>
      <w:r w:rsidR="00E941AD" w:rsidRPr="00E941AD">
        <w:rPr>
          <w:b/>
          <w:i/>
          <w:color w:val="00B050"/>
        </w:rPr>
        <w:t>the corresponding CQI report</w:t>
      </w:r>
      <w:r w:rsidRPr="00405B32">
        <w:rPr>
          <w:b/>
          <w:i/>
          <w:lang w:val="en-GB"/>
        </w:rPr>
        <w:t>”.</w:t>
      </w:r>
    </w:p>
    <w:p w14:paraId="3D4A3894" w14:textId="77777777" w:rsidR="00873FE8" w:rsidRDefault="00873FE8" w:rsidP="00873FE8">
      <w:pPr>
        <w:rPr>
          <w:lang w:val="en-GB"/>
        </w:rPr>
      </w:pPr>
      <w:r w:rsidRPr="009C1011">
        <w:rPr>
          <w:b/>
          <w:i/>
          <w:lang w:val="en-GB"/>
        </w:rPr>
        <w:t>Observation 1</w:t>
      </w:r>
      <w:r w:rsidRPr="009C1011">
        <w:rPr>
          <w:b/>
          <w:lang w:val="en-GB"/>
        </w:rPr>
        <w:t>:</w:t>
      </w:r>
      <w:r>
        <w:rPr>
          <w:lang w:val="en-GB"/>
        </w:rPr>
        <w:t xml:space="preserve"> Using CP-OFDM, performance over fading is degraded if the modulation order transition code rate is high.</w:t>
      </w: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0E52247C" w14:textId="77777777"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3"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3"/>
    </w:p>
    <w:p w14:paraId="004E6658" w14:textId="3877401F" w:rsidR="002D34F1" w:rsidRDefault="002D34F1" w:rsidP="000332B1">
      <w:pPr>
        <w:pStyle w:val="ListParagraph"/>
        <w:numPr>
          <w:ilvl w:val="0"/>
          <w:numId w:val="5"/>
        </w:numPr>
        <w:spacing w:before="120"/>
        <w:rPr>
          <w:rFonts w:ascii="Times New Roman" w:eastAsia="SimSun" w:hAnsi="Times New Roman"/>
          <w:sz w:val="20"/>
          <w:szCs w:val="20"/>
          <w:lang w:val="en-GB" w:eastAsia="zh-CN"/>
        </w:rPr>
      </w:pPr>
      <w:bookmarkStart w:id="4" w:name="_Ref503303559"/>
      <w:r>
        <w:rPr>
          <w:rFonts w:ascii="Times New Roman" w:eastAsia="SimSun" w:hAnsi="Times New Roman"/>
          <w:sz w:val="20"/>
          <w:szCs w:val="20"/>
          <w:lang w:val="en-GB" w:eastAsia="zh-CN"/>
        </w:rPr>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4"/>
    </w:p>
    <w:p w14:paraId="51E3BBF4" w14:textId="1C569200" w:rsidR="005B1957" w:rsidRDefault="005B1957" w:rsidP="005B1957">
      <w:pPr>
        <w:pStyle w:val="ListParagraph"/>
        <w:numPr>
          <w:ilvl w:val="0"/>
          <w:numId w:val="5"/>
        </w:numPr>
        <w:spacing w:before="120"/>
        <w:rPr>
          <w:rFonts w:ascii="Times New Roman" w:eastAsia="SimSun" w:hAnsi="Times New Roman"/>
          <w:sz w:val="20"/>
          <w:szCs w:val="20"/>
          <w:lang w:val="en-GB" w:eastAsia="zh-CN"/>
        </w:rPr>
      </w:pPr>
      <w:bookmarkStart w:id="5" w:name="_Ref504633039"/>
      <w:r w:rsidRPr="005B1957">
        <w:rPr>
          <w:rFonts w:ascii="Times New Roman" w:eastAsia="SimSun" w:hAnsi="Times New Roman"/>
          <w:sz w:val="20"/>
          <w:szCs w:val="20"/>
          <w:lang w:val="en-GB" w:eastAsia="zh-CN"/>
        </w:rPr>
        <w:t>R1-1720664</w:t>
      </w:r>
      <w:r>
        <w:rPr>
          <w:rFonts w:ascii="Times New Roman" w:eastAsia="SimSun" w:hAnsi="Times New Roman"/>
          <w:sz w:val="20"/>
          <w:szCs w:val="20"/>
          <w:lang w:val="en-GB" w:eastAsia="zh-CN"/>
        </w:rPr>
        <w:t>, “Remaining details on MCS,” Qualcomm Incorporated, RAN1 91, Nov. 2017, Reno, USA.</w:t>
      </w:r>
      <w:bookmarkEnd w:id="5"/>
    </w:p>
    <w:p w14:paraId="402BCBCA" w14:textId="4CD723A0" w:rsidR="005B1957" w:rsidRDefault="005B1957" w:rsidP="005B1957">
      <w:pPr>
        <w:pStyle w:val="ListParagraph"/>
        <w:numPr>
          <w:ilvl w:val="0"/>
          <w:numId w:val="5"/>
        </w:numPr>
        <w:spacing w:before="120"/>
        <w:rPr>
          <w:rFonts w:ascii="Times New Roman" w:eastAsia="SimSun" w:hAnsi="Times New Roman"/>
          <w:sz w:val="20"/>
          <w:szCs w:val="20"/>
          <w:lang w:val="en-GB" w:eastAsia="zh-CN"/>
        </w:rPr>
      </w:pPr>
      <w:bookmarkStart w:id="6" w:name="_Ref504633157"/>
      <w:r>
        <w:rPr>
          <w:rFonts w:ascii="Times New Roman" w:eastAsia="SimSun" w:hAnsi="Times New Roman"/>
          <w:sz w:val="20"/>
          <w:szCs w:val="20"/>
          <w:lang w:val="en-GB" w:eastAsia="zh-CN"/>
        </w:rPr>
        <w:t>RAN1 91, Chairman’s notes, Nov. 2017, Reno, USA.</w:t>
      </w:r>
      <w:bookmarkEnd w:id="6"/>
    </w:p>
    <w:p w14:paraId="3B956350" w14:textId="6FA606BB" w:rsidR="00E93B37" w:rsidRPr="00E93B37" w:rsidRDefault="00E93B37" w:rsidP="00E93B37">
      <w:pPr>
        <w:rPr>
          <w:lang w:val="en-GB"/>
        </w:rPr>
      </w:pPr>
    </w:p>
    <w:sectPr w:rsidR="00E93B37" w:rsidRPr="00E93B37"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D4927" w14:textId="77777777" w:rsidR="005C7F3C" w:rsidRDefault="005C7F3C">
      <w:r>
        <w:separator/>
      </w:r>
    </w:p>
  </w:endnote>
  <w:endnote w:type="continuationSeparator" w:id="0">
    <w:p w14:paraId="27E83344" w14:textId="77777777" w:rsidR="005C7F3C" w:rsidRDefault="005C7F3C">
      <w:r>
        <w:continuationSeparator/>
      </w:r>
    </w:p>
  </w:endnote>
  <w:endnote w:type="continuationNotice" w:id="1">
    <w:p w14:paraId="2AF0F5D4" w14:textId="77777777" w:rsidR="005C7F3C" w:rsidRDefault="005C7F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ED7800" w:rsidRDefault="00ED780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ED7800" w:rsidRDefault="00ED780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402653EF" w:rsidR="00ED7800" w:rsidRDefault="00ED780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614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614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B0B4B" w14:textId="77777777" w:rsidR="005C7F3C" w:rsidRDefault="005C7F3C">
      <w:r>
        <w:separator/>
      </w:r>
    </w:p>
  </w:footnote>
  <w:footnote w:type="continuationSeparator" w:id="0">
    <w:p w14:paraId="518A0801" w14:textId="77777777" w:rsidR="005C7F3C" w:rsidRDefault="005C7F3C">
      <w:r>
        <w:continuationSeparator/>
      </w:r>
    </w:p>
  </w:footnote>
  <w:footnote w:type="continuationNotice" w:id="1">
    <w:p w14:paraId="45E178DA" w14:textId="77777777" w:rsidR="005C7F3C" w:rsidRDefault="005C7F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ED7800" w:rsidRDefault="00ED78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242F1"/>
    <w:multiLevelType w:val="hybridMultilevel"/>
    <w:tmpl w:val="2AD0C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2D2DE8"/>
    <w:multiLevelType w:val="hybridMultilevel"/>
    <w:tmpl w:val="BC547340"/>
    <w:lvl w:ilvl="0" w:tplc="FFB0934C">
      <w:start w:val="1"/>
      <w:numFmt w:val="bullet"/>
      <w:lvlText w:val="−"/>
      <w:lvlJc w:val="left"/>
      <w:pPr>
        <w:tabs>
          <w:tab w:val="num" w:pos="360"/>
        </w:tabs>
        <w:ind w:left="360" w:hanging="360"/>
      </w:pPr>
      <w:rPr>
        <w:rFonts w:ascii="Calibre Regular" w:hAnsi="Calibre Regular" w:hint="default"/>
      </w:rPr>
    </w:lvl>
    <w:lvl w:ilvl="1" w:tplc="4E0694CE">
      <w:start w:val="1"/>
      <w:numFmt w:val="bullet"/>
      <w:lvlText w:val="−"/>
      <w:lvlJc w:val="left"/>
      <w:pPr>
        <w:tabs>
          <w:tab w:val="num" w:pos="1080"/>
        </w:tabs>
        <w:ind w:left="1080" w:hanging="360"/>
      </w:pPr>
      <w:rPr>
        <w:rFonts w:ascii="Calibre Regular" w:hAnsi="Calibre Regular" w:hint="default"/>
      </w:rPr>
    </w:lvl>
    <w:lvl w:ilvl="2" w:tplc="1CF2F562">
      <w:numFmt w:val="bullet"/>
      <w:lvlText w:val="−"/>
      <w:lvlJc w:val="left"/>
      <w:pPr>
        <w:tabs>
          <w:tab w:val="num" w:pos="1800"/>
        </w:tabs>
        <w:ind w:left="1800" w:hanging="360"/>
      </w:pPr>
      <w:rPr>
        <w:rFonts w:ascii="Calibre Regular" w:hAnsi="Calibre Regular" w:hint="default"/>
      </w:rPr>
    </w:lvl>
    <w:lvl w:ilvl="3" w:tplc="4986132A">
      <w:numFmt w:val="bullet"/>
      <w:lvlText w:val="−"/>
      <w:lvlJc w:val="left"/>
      <w:pPr>
        <w:tabs>
          <w:tab w:val="num" w:pos="2520"/>
        </w:tabs>
        <w:ind w:left="2520" w:hanging="360"/>
      </w:pPr>
      <w:rPr>
        <w:rFonts w:ascii="Calibre Regular" w:hAnsi="Calibre Regular" w:hint="default"/>
      </w:rPr>
    </w:lvl>
    <w:lvl w:ilvl="4" w:tplc="B3BC9FAE" w:tentative="1">
      <w:start w:val="1"/>
      <w:numFmt w:val="bullet"/>
      <w:lvlText w:val="−"/>
      <w:lvlJc w:val="left"/>
      <w:pPr>
        <w:tabs>
          <w:tab w:val="num" w:pos="3240"/>
        </w:tabs>
        <w:ind w:left="3240" w:hanging="360"/>
      </w:pPr>
      <w:rPr>
        <w:rFonts w:ascii="Calibre Regular" w:hAnsi="Calibre Regular" w:hint="default"/>
      </w:rPr>
    </w:lvl>
    <w:lvl w:ilvl="5" w:tplc="61C409EE" w:tentative="1">
      <w:start w:val="1"/>
      <w:numFmt w:val="bullet"/>
      <w:lvlText w:val="−"/>
      <w:lvlJc w:val="left"/>
      <w:pPr>
        <w:tabs>
          <w:tab w:val="num" w:pos="3960"/>
        </w:tabs>
        <w:ind w:left="3960" w:hanging="360"/>
      </w:pPr>
      <w:rPr>
        <w:rFonts w:ascii="Calibre Regular" w:hAnsi="Calibre Regular" w:hint="default"/>
      </w:rPr>
    </w:lvl>
    <w:lvl w:ilvl="6" w:tplc="3C8E9716" w:tentative="1">
      <w:start w:val="1"/>
      <w:numFmt w:val="bullet"/>
      <w:lvlText w:val="−"/>
      <w:lvlJc w:val="left"/>
      <w:pPr>
        <w:tabs>
          <w:tab w:val="num" w:pos="4680"/>
        </w:tabs>
        <w:ind w:left="4680" w:hanging="360"/>
      </w:pPr>
      <w:rPr>
        <w:rFonts w:ascii="Calibre Regular" w:hAnsi="Calibre Regular" w:hint="default"/>
      </w:rPr>
    </w:lvl>
    <w:lvl w:ilvl="7" w:tplc="A18E651A" w:tentative="1">
      <w:start w:val="1"/>
      <w:numFmt w:val="bullet"/>
      <w:lvlText w:val="−"/>
      <w:lvlJc w:val="left"/>
      <w:pPr>
        <w:tabs>
          <w:tab w:val="num" w:pos="5400"/>
        </w:tabs>
        <w:ind w:left="5400" w:hanging="360"/>
      </w:pPr>
      <w:rPr>
        <w:rFonts w:ascii="Calibre Regular" w:hAnsi="Calibre Regular" w:hint="default"/>
      </w:rPr>
    </w:lvl>
    <w:lvl w:ilvl="8" w:tplc="0206E012" w:tentative="1">
      <w:start w:val="1"/>
      <w:numFmt w:val="bullet"/>
      <w:lvlText w:val="−"/>
      <w:lvlJc w:val="left"/>
      <w:pPr>
        <w:tabs>
          <w:tab w:val="num" w:pos="6120"/>
        </w:tabs>
        <w:ind w:left="6120" w:hanging="360"/>
      </w:pPr>
      <w:rPr>
        <w:rFonts w:ascii="Calibre Regular" w:hAnsi="Calibre Regular"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4E96DA0"/>
    <w:multiLevelType w:val="hybridMultilevel"/>
    <w:tmpl w:val="CE648298"/>
    <w:lvl w:ilvl="0" w:tplc="A1A6D33E">
      <w:start w:val="1"/>
      <w:numFmt w:val="bullet"/>
      <w:lvlText w:val=""/>
      <w:lvlJc w:val="left"/>
      <w:pPr>
        <w:tabs>
          <w:tab w:val="num" w:pos="720"/>
        </w:tabs>
        <w:ind w:left="720" w:hanging="360"/>
      </w:pPr>
      <w:rPr>
        <w:rFonts w:ascii="Symbol" w:hAnsi="Symbol" w:hint="default"/>
      </w:rPr>
    </w:lvl>
    <w:lvl w:ilvl="1" w:tplc="74C4E12C" w:tentative="1">
      <w:start w:val="1"/>
      <w:numFmt w:val="bullet"/>
      <w:lvlText w:val=""/>
      <w:lvlJc w:val="left"/>
      <w:pPr>
        <w:tabs>
          <w:tab w:val="num" w:pos="1440"/>
        </w:tabs>
        <w:ind w:left="1440" w:hanging="360"/>
      </w:pPr>
      <w:rPr>
        <w:rFonts w:ascii="Symbol" w:hAnsi="Symbol" w:hint="default"/>
      </w:rPr>
    </w:lvl>
    <w:lvl w:ilvl="2" w:tplc="06D8EEA8" w:tentative="1">
      <w:start w:val="1"/>
      <w:numFmt w:val="bullet"/>
      <w:lvlText w:val=""/>
      <w:lvlJc w:val="left"/>
      <w:pPr>
        <w:tabs>
          <w:tab w:val="num" w:pos="2160"/>
        </w:tabs>
        <w:ind w:left="2160" w:hanging="360"/>
      </w:pPr>
      <w:rPr>
        <w:rFonts w:ascii="Symbol" w:hAnsi="Symbol" w:hint="default"/>
      </w:rPr>
    </w:lvl>
    <w:lvl w:ilvl="3" w:tplc="39666674" w:tentative="1">
      <w:start w:val="1"/>
      <w:numFmt w:val="bullet"/>
      <w:lvlText w:val=""/>
      <w:lvlJc w:val="left"/>
      <w:pPr>
        <w:tabs>
          <w:tab w:val="num" w:pos="2880"/>
        </w:tabs>
        <w:ind w:left="2880" w:hanging="360"/>
      </w:pPr>
      <w:rPr>
        <w:rFonts w:ascii="Symbol" w:hAnsi="Symbol" w:hint="default"/>
      </w:rPr>
    </w:lvl>
    <w:lvl w:ilvl="4" w:tplc="11149C06" w:tentative="1">
      <w:start w:val="1"/>
      <w:numFmt w:val="bullet"/>
      <w:lvlText w:val=""/>
      <w:lvlJc w:val="left"/>
      <w:pPr>
        <w:tabs>
          <w:tab w:val="num" w:pos="3600"/>
        </w:tabs>
        <w:ind w:left="3600" w:hanging="360"/>
      </w:pPr>
      <w:rPr>
        <w:rFonts w:ascii="Symbol" w:hAnsi="Symbol" w:hint="default"/>
      </w:rPr>
    </w:lvl>
    <w:lvl w:ilvl="5" w:tplc="37E482CC" w:tentative="1">
      <w:start w:val="1"/>
      <w:numFmt w:val="bullet"/>
      <w:lvlText w:val=""/>
      <w:lvlJc w:val="left"/>
      <w:pPr>
        <w:tabs>
          <w:tab w:val="num" w:pos="4320"/>
        </w:tabs>
        <w:ind w:left="4320" w:hanging="360"/>
      </w:pPr>
      <w:rPr>
        <w:rFonts w:ascii="Symbol" w:hAnsi="Symbol" w:hint="default"/>
      </w:rPr>
    </w:lvl>
    <w:lvl w:ilvl="6" w:tplc="5254E216" w:tentative="1">
      <w:start w:val="1"/>
      <w:numFmt w:val="bullet"/>
      <w:lvlText w:val=""/>
      <w:lvlJc w:val="left"/>
      <w:pPr>
        <w:tabs>
          <w:tab w:val="num" w:pos="5040"/>
        </w:tabs>
        <w:ind w:left="5040" w:hanging="360"/>
      </w:pPr>
      <w:rPr>
        <w:rFonts w:ascii="Symbol" w:hAnsi="Symbol" w:hint="default"/>
      </w:rPr>
    </w:lvl>
    <w:lvl w:ilvl="7" w:tplc="0BF4FDDE" w:tentative="1">
      <w:start w:val="1"/>
      <w:numFmt w:val="bullet"/>
      <w:lvlText w:val=""/>
      <w:lvlJc w:val="left"/>
      <w:pPr>
        <w:tabs>
          <w:tab w:val="num" w:pos="5760"/>
        </w:tabs>
        <w:ind w:left="5760" w:hanging="360"/>
      </w:pPr>
      <w:rPr>
        <w:rFonts w:ascii="Symbol" w:hAnsi="Symbol" w:hint="default"/>
      </w:rPr>
    </w:lvl>
    <w:lvl w:ilvl="8" w:tplc="F75E668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B5E3BD4"/>
    <w:multiLevelType w:val="hybridMultilevel"/>
    <w:tmpl w:val="FFE81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0F0D9B"/>
    <w:multiLevelType w:val="hybridMultilevel"/>
    <w:tmpl w:val="5DA03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C6700B"/>
    <w:multiLevelType w:val="hybridMultilevel"/>
    <w:tmpl w:val="713EBF6A"/>
    <w:lvl w:ilvl="0" w:tplc="D8224DB8">
      <w:start w:val="1"/>
      <w:numFmt w:val="bullet"/>
      <w:lvlText w:val="−"/>
      <w:lvlJc w:val="left"/>
      <w:pPr>
        <w:tabs>
          <w:tab w:val="num" w:pos="360"/>
        </w:tabs>
        <w:ind w:left="360" w:hanging="360"/>
      </w:pPr>
      <w:rPr>
        <w:rFonts w:ascii="Calibre Regular" w:hAnsi="Calibre Regular" w:hint="default"/>
      </w:rPr>
    </w:lvl>
    <w:lvl w:ilvl="1" w:tplc="207ED2FA">
      <w:start w:val="1"/>
      <w:numFmt w:val="bullet"/>
      <w:lvlText w:val="−"/>
      <w:lvlJc w:val="left"/>
      <w:pPr>
        <w:tabs>
          <w:tab w:val="num" w:pos="1080"/>
        </w:tabs>
        <w:ind w:left="1080" w:hanging="360"/>
      </w:pPr>
      <w:rPr>
        <w:rFonts w:ascii="Calibre Regular" w:hAnsi="Calibre Regular" w:hint="default"/>
      </w:rPr>
    </w:lvl>
    <w:lvl w:ilvl="2" w:tplc="576AF400">
      <w:start w:val="1"/>
      <w:numFmt w:val="bullet"/>
      <w:lvlText w:val="−"/>
      <w:lvlJc w:val="left"/>
      <w:pPr>
        <w:tabs>
          <w:tab w:val="num" w:pos="1800"/>
        </w:tabs>
        <w:ind w:left="1800" w:hanging="360"/>
      </w:pPr>
      <w:rPr>
        <w:rFonts w:ascii="Calibre Regular" w:hAnsi="Calibre Regular" w:hint="default"/>
      </w:rPr>
    </w:lvl>
    <w:lvl w:ilvl="3" w:tplc="45346C24">
      <w:start w:val="1"/>
      <w:numFmt w:val="bullet"/>
      <w:lvlText w:val="−"/>
      <w:lvlJc w:val="left"/>
      <w:pPr>
        <w:tabs>
          <w:tab w:val="num" w:pos="2520"/>
        </w:tabs>
        <w:ind w:left="2520" w:hanging="360"/>
      </w:pPr>
      <w:rPr>
        <w:rFonts w:ascii="Calibre Regular" w:hAnsi="Calibre Regular" w:hint="default"/>
      </w:rPr>
    </w:lvl>
    <w:lvl w:ilvl="4" w:tplc="0A3AAC0A">
      <w:numFmt w:val="bullet"/>
      <w:lvlText w:val="−"/>
      <w:lvlJc w:val="left"/>
      <w:pPr>
        <w:tabs>
          <w:tab w:val="num" w:pos="3240"/>
        </w:tabs>
        <w:ind w:left="3240" w:hanging="360"/>
      </w:pPr>
      <w:rPr>
        <w:rFonts w:ascii="Qualcomm Regular" w:hAnsi="Qualcomm Regular" w:hint="default"/>
      </w:rPr>
    </w:lvl>
    <w:lvl w:ilvl="5" w:tplc="824ABB6C" w:tentative="1">
      <w:start w:val="1"/>
      <w:numFmt w:val="bullet"/>
      <w:lvlText w:val="−"/>
      <w:lvlJc w:val="left"/>
      <w:pPr>
        <w:tabs>
          <w:tab w:val="num" w:pos="3960"/>
        </w:tabs>
        <w:ind w:left="3960" w:hanging="360"/>
      </w:pPr>
      <w:rPr>
        <w:rFonts w:ascii="Calibre Regular" w:hAnsi="Calibre Regular" w:hint="default"/>
      </w:rPr>
    </w:lvl>
    <w:lvl w:ilvl="6" w:tplc="B9A20E48" w:tentative="1">
      <w:start w:val="1"/>
      <w:numFmt w:val="bullet"/>
      <w:lvlText w:val="−"/>
      <w:lvlJc w:val="left"/>
      <w:pPr>
        <w:tabs>
          <w:tab w:val="num" w:pos="4680"/>
        </w:tabs>
        <w:ind w:left="4680" w:hanging="360"/>
      </w:pPr>
      <w:rPr>
        <w:rFonts w:ascii="Calibre Regular" w:hAnsi="Calibre Regular" w:hint="default"/>
      </w:rPr>
    </w:lvl>
    <w:lvl w:ilvl="7" w:tplc="488CB2A0" w:tentative="1">
      <w:start w:val="1"/>
      <w:numFmt w:val="bullet"/>
      <w:lvlText w:val="−"/>
      <w:lvlJc w:val="left"/>
      <w:pPr>
        <w:tabs>
          <w:tab w:val="num" w:pos="5400"/>
        </w:tabs>
        <w:ind w:left="5400" w:hanging="360"/>
      </w:pPr>
      <w:rPr>
        <w:rFonts w:ascii="Calibre Regular" w:hAnsi="Calibre Regular" w:hint="default"/>
      </w:rPr>
    </w:lvl>
    <w:lvl w:ilvl="8" w:tplc="4C7237B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44692B"/>
    <w:multiLevelType w:val="hybridMultilevel"/>
    <w:tmpl w:val="C944AF78"/>
    <w:lvl w:ilvl="0" w:tplc="2E9EF08A">
      <w:start w:val="1"/>
      <w:numFmt w:val="bullet"/>
      <w:lvlText w:val=""/>
      <w:lvlJc w:val="left"/>
      <w:pPr>
        <w:tabs>
          <w:tab w:val="num" w:pos="360"/>
        </w:tabs>
        <w:ind w:left="360" w:hanging="360"/>
      </w:pPr>
      <w:rPr>
        <w:rFonts w:ascii="Symbol" w:hAnsi="Symbol" w:hint="default"/>
      </w:rPr>
    </w:lvl>
    <w:lvl w:ilvl="1" w:tplc="5FD285AC">
      <w:numFmt w:val="bullet"/>
      <w:lvlText w:val="−"/>
      <w:lvlJc w:val="left"/>
      <w:pPr>
        <w:tabs>
          <w:tab w:val="num" w:pos="1080"/>
        </w:tabs>
        <w:ind w:left="1080" w:hanging="360"/>
      </w:pPr>
      <w:rPr>
        <w:rFonts w:ascii="Calibre Regular" w:hAnsi="Calibre Regular" w:hint="default"/>
      </w:rPr>
    </w:lvl>
    <w:lvl w:ilvl="2" w:tplc="8DDA70F4">
      <w:numFmt w:val="bullet"/>
      <w:lvlText w:val="−"/>
      <w:lvlJc w:val="left"/>
      <w:pPr>
        <w:tabs>
          <w:tab w:val="num" w:pos="1800"/>
        </w:tabs>
        <w:ind w:left="1800" w:hanging="360"/>
      </w:pPr>
      <w:rPr>
        <w:rFonts w:ascii="Calibre Regular" w:hAnsi="Calibre Regular" w:hint="default"/>
      </w:rPr>
    </w:lvl>
    <w:lvl w:ilvl="3" w:tplc="D6B45DCE" w:tentative="1">
      <w:start w:val="1"/>
      <w:numFmt w:val="bullet"/>
      <w:lvlText w:val=""/>
      <w:lvlJc w:val="left"/>
      <w:pPr>
        <w:tabs>
          <w:tab w:val="num" w:pos="2520"/>
        </w:tabs>
        <w:ind w:left="2520" w:hanging="360"/>
      </w:pPr>
      <w:rPr>
        <w:rFonts w:ascii="Symbol" w:hAnsi="Symbol" w:hint="default"/>
      </w:rPr>
    </w:lvl>
    <w:lvl w:ilvl="4" w:tplc="2F52AF8E" w:tentative="1">
      <w:start w:val="1"/>
      <w:numFmt w:val="bullet"/>
      <w:lvlText w:val=""/>
      <w:lvlJc w:val="left"/>
      <w:pPr>
        <w:tabs>
          <w:tab w:val="num" w:pos="3240"/>
        </w:tabs>
        <w:ind w:left="3240" w:hanging="360"/>
      </w:pPr>
      <w:rPr>
        <w:rFonts w:ascii="Symbol" w:hAnsi="Symbol" w:hint="default"/>
      </w:rPr>
    </w:lvl>
    <w:lvl w:ilvl="5" w:tplc="727A50D8" w:tentative="1">
      <w:start w:val="1"/>
      <w:numFmt w:val="bullet"/>
      <w:lvlText w:val=""/>
      <w:lvlJc w:val="left"/>
      <w:pPr>
        <w:tabs>
          <w:tab w:val="num" w:pos="3960"/>
        </w:tabs>
        <w:ind w:left="3960" w:hanging="360"/>
      </w:pPr>
      <w:rPr>
        <w:rFonts w:ascii="Symbol" w:hAnsi="Symbol" w:hint="default"/>
      </w:rPr>
    </w:lvl>
    <w:lvl w:ilvl="6" w:tplc="DC9A886E" w:tentative="1">
      <w:start w:val="1"/>
      <w:numFmt w:val="bullet"/>
      <w:lvlText w:val=""/>
      <w:lvlJc w:val="left"/>
      <w:pPr>
        <w:tabs>
          <w:tab w:val="num" w:pos="4680"/>
        </w:tabs>
        <w:ind w:left="4680" w:hanging="360"/>
      </w:pPr>
      <w:rPr>
        <w:rFonts w:ascii="Symbol" w:hAnsi="Symbol" w:hint="default"/>
      </w:rPr>
    </w:lvl>
    <w:lvl w:ilvl="7" w:tplc="8716C020" w:tentative="1">
      <w:start w:val="1"/>
      <w:numFmt w:val="bullet"/>
      <w:lvlText w:val=""/>
      <w:lvlJc w:val="left"/>
      <w:pPr>
        <w:tabs>
          <w:tab w:val="num" w:pos="5400"/>
        </w:tabs>
        <w:ind w:left="5400" w:hanging="360"/>
      </w:pPr>
      <w:rPr>
        <w:rFonts w:ascii="Symbol" w:hAnsi="Symbol" w:hint="default"/>
      </w:rPr>
    </w:lvl>
    <w:lvl w:ilvl="8" w:tplc="1DCC9B42"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F611B"/>
    <w:multiLevelType w:val="hybridMultilevel"/>
    <w:tmpl w:val="3B268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16"/>
  </w:num>
  <w:num w:numId="7">
    <w:abstractNumId w:val="1"/>
  </w:num>
  <w:num w:numId="8">
    <w:abstractNumId w:val="10"/>
  </w:num>
  <w:num w:numId="9">
    <w:abstractNumId w:val="6"/>
  </w:num>
  <w:num w:numId="10">
    <w:abstractNumId w:val="2"/>
  </w:num>
  <w:num w:numId="11">
    <w:abstractNumId w:val="11"/>
  </w:num>
  <w:num w:numId="12">
    <w:abstractNumId w:val="13"/>
  </w:num>
  <w:num w:numId="13">
    <w:abstractNumId w:val="12"/>
  </w:num>
  <w:num w:numId="14">
    <w:abstractNumId w:val="9"/>
  </w:num>
  <w:num w:numId="15">
    <w:abstractNumId w:val="7"/>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9D9"/>
    <w:rsid w:val="00002A8E"/>
    <w:rsid w:val="00002B56"/>
    <w:rsid w:val="00002B5A"/>
    <w:rsid w:val="00002BA3"/>
    <w:rsid w:val="00002BC6"/>
    <w:rsid w:val="00002DFC"/>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2D7D"/>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1DA"/>
    <w:rsid w:val="0002130A"/>
    <w:rsid w:val="0002188D"/>
    <w:rsid w:val="00021911"/>
    <w:rsid w:val="00021C67"/>
    <w:rsid w:val="00021DEC"/>
    <w:rsid w:val="000221EB"/>
    <w:rsid w:val="000222F7"/>
    <w:rsid w:val="00022702"/>
    <w:rsid w:val="00022F53"/>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287"/>
    <w:rsid w:val="000325EF"/>
    <w:rsid w:val="00032A0C"/>
    <w:rsid w:val="00032BCD"/>
    <w:rsid w:val="00032F26"/>
    <w:rsid w:val="00032F8C"/>
    <w:rsid w:val="000332B1"/>
    <w:rsid w:val="000335B4"/>
    <w:rsid w:val="00034882"/>
    <w:rsid w:val="000349B7"/>
    <w:rsid w:val="00034C5F"/>
    <w:rsid w:val="00034E01"/>
    <w:rsid w:val="00034E3A"/>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4CCD"/>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1D2"/>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504"/>
    <w:rsid w:val="00077C62"/>
    <w:rsid w:val="00080063"/>
    <w:rsid w:val="0008022A"/>
    <w:rsid w:val="00080418"/>
    <w:rsid w:val="000805B2"/>
    <w:rsid w:val="00080696"/>
    <w:rsid w:val="00080D74"/>
    <w:rsid w:val="00081383"/>
    <w:rsid w:val="00081B61"/>
    <w:rsid w:val="00081EF8"/>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2E1"/>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6AA3"/>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A1F"/>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5B"/>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14A"/>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6F1"/>
    <w:rsid w:val="00102898"/>
    <w:rsid w:val="00102A33"/>
    <w:rsid w:val="00102D5D"/>
    <w:rsid w:val="00102E56"/>
    <w:rsid w:val="001032AB"/>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52A"/>
    <w:rsid w:val="0012467D"/>
    <w:rsid w:val="001246EC"/>
    <w:rsid w:val="001249D7"/>
    <w:rsid w:val="001249DD"/>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39"/>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1F9"/>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47F13"/>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1EF9"/>
    <w:rsid w:val="001620C5"/>
    <w:rsid w:val="00162262"/>
    <w:rsid w:val="001623A3"/>
    <w:rsid w:val="00162659"/>
    <w:rsid w:val="00162BD5"/>
    <w:rsid w:val="00162BF5"/>
    <w:rsid w:val="00162CF1"/>
    <w:rsid w:val="00162EE0"/>
    <w:rsid w:val="00162F82"/>
    <w:rsid w:val="00163033"/>
    <w:rsid w:val="001630E4"/>
    <w:rsid w:val="00163218"/>
    <w:rsid w:val="0016368F"/>
    <w:rsid w:val="001639BC"/>
    <w:rsid w:val="00163AFC"/>
    <w:rsid w:val="00163C9A"/>
    <w:rsid w:val="00163CAD"/>
    <w:rsid w:val="00164646"/>
    <w:rsid w:val="001647FA"/>
    <w:rsid w:val="00165137"/>
    <w:rsid w:val="001652DD"/>
    <w:rsid w:val="0016531C"/>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3B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16F"/>
    <w:rsid w:val="001B0251"/>
    <w:rsid w:val="001B0BF8"/>
    <w:rsid w:val="001B0C11"/>
    <w:rsid w:val="001B113B"/>
    <w:rsid w:val="001B1286"/>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25"/>
    <w:rsid w:val="001C7BDE"/>
    <w:rsid w:val="001C7F47"/>
    <w:rsid w:val="001D006C"/>
    <w:rsid w:val="001D056C"/>
    <w:rsid w:val="001D0578"/>
    <w:rsid w:val="001D0593"/>
    <w:rsid w:val="001D0E18"/>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EBD"/>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0F3"/>
    <w:rsid w:val="001F45E8"/>
    <w:rsid w:val="001F49AB"/>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3BE"/>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2AC8"/>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6D46"/>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0CE"/>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ADF"/>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DF1"/>
    <w:rsid w:val="00285E28"/>
    <w:rsid w:val="002860E6"/>
    <w:rsid w:val="00286546"/>
    <w:rsid w:val="00286631"/>
    <w:rsid w:val="00286819"/>
    <w:rsid w:val="00286F1E"/>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0F1D"/>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11D"/>
    <w:rsid w:val="002C42AA"/>
    <w:rsid w:val="002C44FC"/>
    <w:rsid w:val="002C4AF6"/>
    <w:rsid w:val="002C5533"/>
    <w:rsid w:val="002C55D3"/>
    <w:rsid w:val="002C5620"/>
    <w:rsid w:val="002C5A6B"/>
    <w:rsid w:val="002C5AED"/>
    <w:rsid w:val="002C5E1E"/>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4F1"/>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DF4"/>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19"/>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66"/>
    <w:rsid w:val="00323FAD"/>
    <w:rsid w:val="00324089"/>
    <w:rsid w:val="003245F6"/>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1FD1"/>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350"/>
    <w:rsid w:val="00344725"/>
    <w:rsid w:val="00344901"/>
    <w:rsid w:val="00344B9E"/>
    <w:rsid w:val="0034511B"/>
    <w:rsid w:val="003453BB"/>
    <w:rsid w:val="003455A6"/>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125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0B6"/>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1D16"/>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3B0"/>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4D0"/>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B78A1"/>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B46"/>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B32"/>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1D11"/>
    <w:rsid w:val="0041249C"/>
    <w:rsid w:val="00412630"/>
    <w:rsid w:val="00412697"/>
    <w:rsid w:val="00412983"/>
    <w:rsid w:val="00413369"/>
    <w:rsid w:val="00413C6C"/>
    <w:rsid w:val="00413FF3"/>
    <w:rsid w:val="0041456F"/>
    <w:rsid w:val="004145AE"/>
    <w:rsid w:val="004147F4"/>
    <w:rsid w:val="00414AC6"/>
    <w:rsid w:val="00414C3F"/>
    <w:rsid w:val="0041539C"/>
    <w:rsid w:val="00415419"/>
    <w:rsid w:val="0041577E"/>
    <w:rsid w:val="004157F6"/>
    <w:rsid w:val="00415844"/>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74B"/>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4FE5"/>
    <w:rsid w:val="00435248"/>
    <w:rsid w:val="0043532B"/>
    <w:rsid w:val="0043542F"/>
    <w:rsid w:val="004355EB"/>
    <w:rsid w:val="00435602"/>
    <w:rsid w:val="004356FA"/>
    <w:rsid w:val="0043579E"/>
    <w:rsid w:val="004358F4"/>
    <w:rsid w:val="00435940"/>
    <w:rsid w:val="0043597F"/>
    <w:rsid w:val="00435CCF"/>
    <w:rsid w:val="00436058"/>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9A5"/>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8EA"/>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354"/>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5B0"/>
    <w:rsid w:val="004C566C"/>
    <w:rsid w:val="004C5C44"/>
    <w:rsid w:val="004C5EF0"/>
    <w:rsid w:val="004C6396"/>
    <w:rsid w:val="004C63D6"/>
    <w:rsid w:val="004C655E"/>
    <w:rsid w:val="004C660B"/>
    <w:rsid w:val="004C6A4F"/>
    <w:rsid w:val="004C730E"/>
    <w:rsid w:val="004C7733"/>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9E1"/>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056"/>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218"/>
    <w:rsid w:val="005023DC"/>
    <w:rsid w:val="00502857"/>
    <w:rsid w:val="0050292B"/>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E98"/>
    <w:rsid w:val="00507FBC"/>
    <w:rsid w:val="00510374"/>
    <w:rsid w:val="005103D8"/>
    <w:rsid w:val="00510444"/>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860"/>
    <w:rsid w:val="005278B6"/>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9A4"/>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464"/>
    <w:rsid w:val="0055771C"/>
    <w:rsid w:val="00557A2C"/>
    <w:rsid w:val="00557BFE"/>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9A3"/>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0B"/>
    <w:rsid w:val="005756BD"/>
    <w:rsid w:val="00575A0F"/>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5D2"/>
    <w:rsid w:val="005818D4"/>
    <w:rsid w:val="00581969"/>
    <w:rsid w:val="005819D7"/>
    <w:rsid w:val="00581AB8"/>
    <w:rsid w:val="00581C6E"/>
    <w:rsid w:val="00581F40"/>
    <w:rsid w:val="00582685"/>
    <w:rsid w:val="0058269C"/>
    <w:rsid w:val="005829CC"/>
    <w:rsid w:val="00582E3D"/>
    <w:rsid w:val="00583147"/>
    <w:rsid w:val="00583670"/>
    <w:rsid w:val="005836D0"/>
    <w:rsid w:val="005836EF"/>
    <w:rsid w:val="005837B4"/>
    <w:rsid w:val="00583AF3"/>
    <w:rsid w:val="00583D56"/>
    <w:rsid w:val="00583DEF"/>
    <w:rsid w:val="00583E78"/>
    <w:rsid w:val="005841AA"/>
    <w:rsid w:val="00584346"/>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90060"/>
    <w:rsid w:val="005909AD"/>
    <w:rsid w:val="00590AD9"/>
    <w:rsid w:val="00590BF6"/>
    <w:rsid w:val="00590CDA"/>
    <w:rsid w:val="00591137"/>
    <w:rsid w:val="00591179"/>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6C"/>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9E0"/>
    <w:rsid w:val="005A7F72"/>
    <w:rsid w:val="005B0A7D"/>
    <w:rsid w:val="005B0F18"/>
    <w:rsid w:val="005B1197"/>
    <w:rsid w:val="005B16CC"/>
    <w:rsid w:val="005B179C"/>
    <w:rsid w:val="005B18B2"/>
    <w:rsid w:val="005B18BB"/>
    <w:rsid w:val="005B193B"/>
    <w:rsid w:val="005B1957"/>
    <w:rsid w:val="005B2335"/>
    <w:rsid w:val="005B2422"/>
    <w:rsid w:val="005B2631"/>
    <w:rsid w:val="005B2879"/>
    <w:rsid w:val="005B2899"/>
    <w:rsid w:val="005B298F"/>
    <w:rsid w:val="005B2DA2"/>
    <w:rsid w:val="005B2EB8"/>
    <w:rsid w:val="005B34E5"/>
    <w:rsid w:val="005B355C"/>
    <w:rsid w:val="005B369B"/>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C7F3C"/>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2016"/>
    <w:rsid w:val="005E3035"/>
    <w:rsid w:val="005E3096"/>
    <w:rsid w:val="005E31C7"/>
    <w:rsid w:val="005E35FD"/>
    <w:rsid w:val="005E383F"/>
    <w:rsid w:val="005E3B77"/>
    <w:rsid w:val="005E438E"/>
    <w:rsid w:val="005E4552"/>
    <w:rsid w:val="005E48F7"/>
    <w:rsid w:val="005E4CCB"/>
    <w:rsid w:val="005E5245"/>
    <w:rsid w:val="005E5563"/>
    <w:rsid w:val="005E58F4"/>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3427"/>
    <w:rsid w:val="00623AEB"/>
    <w:rsid w:val="00623E4E"/>
    <w:rsid w:val="00624C2C"/>
    <w:rsid w:val="00624C6E"/>
    <w:rsid w:val="00624D3F"/>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5FA5"/>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4FD"/>
    <w:rsid w:val="006427DE"/>
    <w:rsid w:val="00642D10"/>
    <w:rsid w:val="00642E65"/>
    <w:rsid w:val="006430F3"/>
    <w:rsid w:val="00643769"/>
    <w:rsid w:val="00643891"/>
    <w:rsid w:val="00643CEF"/>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5E"/>
    <w:rsid w:val="00651B74"/>
    <w:rsid w:val="00651FA0"/>
    <w:rsid w:val="006521BB"/>
    <w:rsid w:val="00653217"/>
    <w:rsid w:val="00653258"/>
    <w:rsid w:val="00653273"/>
    <w:rsid w:val="006532BB"/>
    <w:rsid w:val="00653782"/>
    <w:rsid w:val="00653A9F"/>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57F70"/>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11"/>
    <w:rsid w:val="00664678"/>
    <w:rsid w:val="006646F4"/>
    <w:rsid w:val="0066521C"/>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90044"/>
    <w:rsid w:val="00690D12"/>
    <w:rsid w:val="00690F0E"/>
    <w:rsid w:val="00690F39"/>
    <w:rsid w:val="0069129B"/>
    <w:rsid w:val="00691764"/>
    <w:rsid w:val="00691824"/>
    <w:rsid w:val="006919C5"/>
    <w:rsid w:val="00691CCC"/>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235"/>
    <w:rsid w:val="006A64FE"/>
    <w:rsid w:val="006A6B3F"/>
    <w:rsid w:val="006A6B69"/>
    <w:rsid w:val="006A74C0"/>
    <w:rsid w:val="006A7574"/>
    <w:rsid w:val="006B0489"/>
    <w:rsid w:val="006B05F5"/>
    <w:rsid w:val="006B0A30"/>
    <w:rsid w:val="006B0B49"/>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1FF"/>
    <w:rsid w:val="006B5A7D"/>
    <w:rsid w:val="006B6211"/>
    <w:rsid w:val="006B6346"/>
    <w:rsid w:val="006B6730"/>
    <w:rsid w:val="006B68B2"/>
    <w:rsid w:val="006B6AD0"/>
    <w:rsid w:val="006B6BA3"/>
    <w:rsid w:val="006B6BB7"/>
    <w:rsid w:val="006B6C83"/>
    <w:rsid w:val="006B6C8A"/>
    <w:rsid w:val="006B6C95"/>
    <w:rsid w:val="006B725C"/>
    <w:rsid w:val="006B776D"/>
    <w:rsid w:val="006B7864"/>
    <w:rsid w:val="006B7EC9"/>
    <w:rsid w:val="006C03B2"/>
    <w:rsid w:val="006C09DD"/>
    <w:rsid w:val="006C0B08"/>
    <w:rsid w:val="006C1142"/>
    <w:rsid w:val="006C1226"/>
    <w:rsid w:val="006C1A29"/>
    <w:rsid w:val="006C1B3F"/>
    <w:rsid w:val="006C1F77"/>
    <w:rsid w:val="006C22BD"/>
    <w:rsid w:val="006C2604"/>
    <w:rsid w:val="006C3121"/>
    <w:rsid w:val="006C3309"/>
    <w:rsid w:val="006C375B"/>
    <w:rsid w:val="006C3FF3"/>
    <w:rsid w:val="006C40C4"/>
    <w:rsid w:val="006C426B"/>
    <w:rsid w:val="006C4390"/>
    <w:rsid w:val="006C44D3"/>
    <w:rsid w:val="006C44F6"/>
    <w:rsid w:val="006C45C1"/>
    <w:rsid w:val="006C4B11"/>
    <w:rsid w:val="006C4D69"/>
    <w:rsid w:val="006C4E89"/>
    <w:rsid w:val="006C50C3"/>
    <w:rsid w:val="006C54AC"/>
    <w:rsid w:val="006C566C"/>
    <w:rsid w:val="006C57EC"/>
    <w:rsid w:val="006C5C20"/>
    <w:rsid w:val="006C5E89"/>
    <w:rsid w:val="006C5FF1"/>
    <w:rsid w:val="006C6287"/>
    <w:rsid w:val="006C654C"/>
    <w:rsid w:val="006C677C"/>
    <w:rsid w:val="006C6E92"/>
    <w:rsid w:val="006C6EF3"/>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4C0"/>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5C4"/>
    <w:rsid w:val="006E2D2D"/>
    <w:rsid w:val="006E3D3A"/>
    <w:rsid w:val="006E4316"/>
    <w:rsid w:val="006E44B0"/>
    <w:rsid w:val="006E4646"/>
    <w:rsid w:val="006E4E16"/>
    <w:rsid w:val="006E512D"/>
    <w:rsid w:val="006E5477"/>
    <w:rsid w:val="006E554E"/>
    <w:rsid w:val="006E5AFE"/>
    <w:rsid w:val="006E696A"/>
    <w:rsid w:val="006E6C33"/>
    <w:rsid w:val="006E6C70"/>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7A"/>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4A78"/>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267"/>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11A"/>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D01"/>
    <w:rsid w:val="00745EBB"/>
    <w:rsid w:val="00746167"/>
    <w:rsid w:val="00746199"/>
    <w:rsid w:val="0074631C"/>
    <w:rsid w:val="00746656"/>
    <w:rsid w:val="00746BE1"/>
    <w:rsid w:val="007470AD"/>
    <w:rsid w:val="00747446"/>
    <w:rsid w:val="00747AC1"/>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49F"/>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32"/>
    <w:rsid w:val="0076295C"/>
    <w:rsid w:val="00762AD4"/>
    <w:rsid w:val="00762FA7"/>
    <w:rsid w:val="00763055"/>
    <w:rsid w:val="00763303"/>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67D4F"/>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229"/>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AC8"/>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56A"/>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5FE0"/>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AD3"/>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6CC"/>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EA"/>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303"/>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EA"/>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BE"/>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9D7"/>
    <w:rsid w:val="00822A72"/>
    <w:rsid w:val="00822CC5"/>
    <w:rsid w:val="00823020"/>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85"/>
    <w:rsid w:val="00827AF3"/>
    <w:rsid w:val="00827B27"/>
    <w:rsid w:val="0083179C"/>
    <w:rsid w:val="00831D06"/>
    <w:rsid w:val="00832142"/>
    <w:rsid w:val="00832C18"/>
    <w:rsid w:val="00832CAF"/>
    <w:rsid w:val="00832CE2"/>
    <w:rsid w:val="00832FAD"/>
    <w:rsid w:val="00833007"/>
    <w:rsid w:val="0083311A"/>
    <w:rsid w:val="00833A8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68F"/>
    <w:rsid w:val="00846AC4"/>
    <w:rsid w:val="00846C77"/>
    <w:rsid w:val="00846E99"/>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3FE8"/>
    <w:rsid w:val="008742CE"/>
    <w:rsid w:val="00874313"/>
    <w:rsid w:val="00874656"/>
    <w:rsid w:val="00874E33"/>
    <w:rsid w:val="00874FAC"/>
    <w:rsid w:val="0087504C"/>
    <w:rsid w:val="00875755"/>
    <w:rsid w:val="00875905"/>
    <w:rsid w:val="00875C9E"/>
    <w:rsid w:val="00875F79"/>
    <w:rsid w:val="00875FBD"/>
    <w:rsid w:val="00876AC7"/>
    <w:rsid w:val="00876BDA"/>
    <w:rsid w:val="0087763F"/>
    <w:rsid w:val="008779BA"/>
    <w:rsid w:val="00877C45"/>
    <w:rsid w:val="00877C57"/>
    <w:rsid w:val="00877FA3"/>
    <w:rsid w:val="008802AF"/>
    <w:rsid w:val="008804C9"/>
    <w:rsid w:val="00880837"/>
    <w:rsid w:val="00880D84"/>
    <w:rsid w:val="008810DF"/>
    <w:rsid w:val="008810FA"/>
    <w:rsid w:val="0088176C"/>
    <w:rsid w:val="00881842"/>
    <w:rsid w:val="008819A5"/>
    <w:rsid w:val="00881F28"/>
    <w:rsid w:val="00882077"/>
    <w:rsid w:val="008821BD"/>
    <w:rsid w:val="008829DC"/>
    <w:rsid w:val="00882BB1"/>
    <w:rsid w:val="00882DA7"/>
    <w:rsid w:val="00883004"/>
    <w:rsid w:val="00883ED6"/>
    <w:rsid w:val="00883F0E"/>
    <w:rsid w:val="0088414A"/>
    <w:rsid w:val="00884255"/>
    <w:rsid w:val="0088425B"/>
    <w:rsid w:val="008845ED"/>
    <w:rsid w:val="00884AD8"/>
    <w:rsid w:val="00884CDF"/>
    <w:rsid w:val="00885649"/>
    <w:rsid w:val="0088579F"/>
    <w:rsid w:val="00885D5D"/>
    <w:rsid w:val="00885EC9"/>
    <w:rsid w:val="00885F46"/>
    <w:rsid w:val="00885F7A"/>
    <w:rsid w:val="00886223"/>
    <w:rsid w:val="0088633A"/>
    <w:rsid w:val="0088651F"/>
    <w:rsid w:val="0088685B"/>
    <w:rsid w:val="0088693A"/>
    <w:rsid w:val="008872FE"/>
    <w:rsid w:val="008876DF"/>
    <w:rsid w:val="00887771"/>
    <w:rsid w:val="00887C48"/>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988"/>
    <w:rsid w:val="008A2AAE"/>
    <w:rsid w:val="008A2F26"/>
    <w:rsid w:val="008A2F49"/>
    <w:rsid w:val="008A30D1"/>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1B84"/>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6A0"/>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894"/>
    <w:rsid w:val="008E2B47"/>
    <w:rsid w:val="008E2B91"/>
    <w:rsid w:val="008E2BEA"/>
    <w:rsid w:val="008E2CED"/>
    <w:rsid w:val="008E2E8C"/>
    <w:rsid w:val="008E3278"/>
    <w:rsid w:val="008E378A"/>
    <w:rsid w:val="008E3917"/>
    <w:rsid w:val="008E3EE8"/>
    <w:rsid w:val="008E3F52"/>
    <w:rsid w:val="008E412D"/>
    <w:rsid w:val="008E41E3"/>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576"/>
    <w:rsid w:val="008F06E5"/>
    <w:rsid w:val="008F0BA6"/>
    <w:rsid w:val="008F0FC8"/>
    <w:rsid w:val="008F15BA"/>
    <w:rsid w:val="008F1CF8"/>
    <w:rsid w:val="008F2201"/>
    <w:rsid w:val="008F2557"/>
    <w:rsid w:val="008F2A8C"/>
    <w:rsid w:val="008F2B0A"/>
    <w:rsid w:val="008F2C63"/>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0FBB"/>
    <w:rsid w:val="009011F3"/>
    <w:rsid w:val="009012ED"/>
    <w:rsid w:val="00901837"/>
    <w:rsid w:val="00901845"/>
    <w:rsid w:val="009022BC"/>
    <w:rsid w:val="0090255A"/>
    <w:rsid w:val="00902686"/>
    <w:rsid w:val="00902734"/>
    <w:rsid w:val="0090304C"/>
    <w:rsid w:val="00903281"/>
    <w:rsid w:val="009033B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746"/>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662"/>
    <w:rsid w:val="00936D07"/>
    <w:rsid w:val="009370A6"/>
    <w:rsid w:val="009373C5"/>
    <w:rsid w:val="00937AC7"/>
    <w:rsid w:val="00937B03"/>
    <w:rsid w:val="00937D15"/>
    <w:rsid w:val="00940150"/>
    <w:rsid w:val="00940A5D"/>
    <w:rsid w:val="00940BCB"/>
    <w:rsid w:val="00940D85"/>
    <w:rsid w:val="00940DF4"/>
    <w:rsid w:val="00940DFC"/>
    <w:rsid w:val="00940FB5"/>
    <w:rsid w:val="00941259"/>
    <w:rsid w:val="0094128B"/>
    <w:rsid w:val="0094148B"/>
    <w:rsid w:val="009416A9"/>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70B"/>
    <w:rsid w:val="0094484A"/>
    <w:rsid w:val="00944AF4"/>
    <w:rsid w:val="00944DA9"/>
    <w:rsid w:val="00945178"/>
    <w:rsid w:val="00945E49"/>
    <w:rsid w:val="00946144"/>
    <w:rsid w:val="009462D8"/>
    <w:rsid w:val="00946388"/>
    <w:rsid w:val="0094663A"/>
    <w:rsid w:val="00946A1B"/>
    <w:rsid w:val="00946AA5"/>
    <w:rsid w:val="00946C4B"/>
    <w:rsid w:val="00946D9F"/>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7B"/>
    <w:rsid w:val="009646B4"/>
    <w:rsid w:val="00964AE6"/>
    <w:rsid w:val="00964E3C"/>
    <w:rsid w:val="00964E69"/>
    <w:rsid w:val="0096504D"/>
    <w:rsid w:val="00965270"/>
    <w:rsid w:val="009654F0"/>
    <w:rsid w:val="009659EA"/>
    <w:rsid w:val="00965F3C"/>
    <w:rsid w:val="00965F79"/>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97"/>
    <w:rsid w:val="009816DB"/>
    <w:rsid w:val="0098182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15"/>
    <w:rsid w:val="009979D6"/>
    <w:rsid w:val="00997CA3"/>
    <w:rsid w:val="00997E08"/>
    <w:rsid w:val="009A0212"/>
    <w:rsid w:val="009A031F"/>
    <w:rsid w:val="009A0551"/>
    <w:rsid w:val="009A0C1F"/>
    <w:rsid w:val="009A12A5"/>
    <w:rsid w:val="009A16EB"/>
    <w:rsid w:val="009A1DFF"/>
    <w:rsid w:val="009A2144"/>
    <w:rsid w:val="009A246A"/>
    <w:rsid w:val="009A24F3"/>
    <w:rsid w:val="009A28C2"/>
    <w:rsid w:val="009A2942"/>
    <w:rsid w:val="009A3183"/>
    <w:rsid w:val="009A32D7"/>
    <w:rsid w:val="009A3576"/>
    <w:rsid w:val="009A3A6D"/>
    <w:rsid w:val="009A3AB5"/>
    <w:rsid w:val="009A3BA5"/>
    <w:rsid w:val="009A3D35"/>
    <w:rsid w:val="009A4513"/>
    <w:rsid w:val="009A4615"/>
    <w:rsid w:val="009A4AA9"/>
    <w:rsid w:val="009A4B33"/>
    <w:rsid w:val="009A4DE5"/>
    <w:rsid w:val="009A516A"/>
    <w:rsid w:val="009A56A7"/>
    <w:rsid w:val="009A5B43"/>
    <w:rsid w:val="009A6127"/>
    <w:rsid w:val="009A62DC"/>
    <w:rsid w:val="009A637B"/>
    <w:rsid w:val="009A6456"/>
    <w:rsid w:val="009A6C74"/>
    <w:rsid w:val="009A6EE7"/>
    <w:rsid w:val="009A7154"/>
    <w:rsid w:val="009A78D1"/>
    <w:rsid w:val="009A7DFB"/>
    <w:rsid w:val="009A7E08"/>
    <w:rsid w:val="009B003C"/>
    <w:rsid w:val="009B0AF6"/>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5D29"/>
    <w:rsid w:val="009B629D"/>
    <w:rsid w:val="009B664A"/>
    <w:rsid w:val="009B6A6B"/>
    <w:rsid w:val="009B70E9"/>
    <w:rsid w:val="009B71EA"/>
    <w:rsid w:val="009B7564"/>
    <w:rsid w:val="009B7BB7"/>
    <w:rsid w:val="009B7FFA"/>
    <w:rsid w:val="009C00EF"/>
    <w:rsid w:val="009C0BC1"/>
    <w:rsid w:val="009C0DBE"/>
    <w:rsid w:val="009C1011"/>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09"/>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3B6"/>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1CA5"/>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041"/>
    <w:rsid w:val="00A062EA"/>
    <w:rsid w:val="00A06384"/>
    <w:rsid w:val="00A0648C"/>
    <w:rsid w:val="00A068D2"/>
    <w:rsid w:val="00A06A2F"/>
    <w:rsid w:val="00A06ABB"/>
    <w:rsid w:val="00A06F57"/>
    <w:rsid w:val="00A06FF5"/>
    <w:rsid w:val="00A07065"/>
    <w:rsid w:val="00A07594"/>
    <w:rsid w:val="00A07654"/>
    <w:rsid w:val="00A07656"/>
    <w:rsid w:val="00A076C0"/>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1EDC"/>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49A"/>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2C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3E3B"/>
    <w:rsid w:val="00A4424E"/>
    <w:rsid w:val="00A442E8"/>
    <w:rsid w:val="00A44882"/>
    <w:rsid w:val="00A44887"/>
    <w:rsid w:val="00A44E28"/>
    <w:rsid w:val="00A44E50"/>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B20"/>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175"/>
    <w:rsid w:val="00A8221B"/>
    <w:rsid w:val="00A82508"/>
    <w:rsid w:val="00A82C1E"/>
    <w:rsid w:val="00A82E3C"/>
    <w:rsid w:val="00A831F0"/>
    <w:rsid w:val="00A83309"/>
    <w:rsid w:val="00A833ED"/>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3223"/>
    <w:rsid w:val="00AA461D"/>
    <w:rsid w:val="00AA4C09"/>
    <w:rsid w:val="00AA4F41"/>
    <w:rsid w:val="00AA5584"/>
    <w:rsid w:val="00AA5701"/>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C66"/>
    <w:rsid w:val="00AC2D4E"/>
    <w:rsid w:val="00AC2D51"/>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723"/>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4E1"/>
    <w:rsid w:val="00AE3627"/>
    <w:rsid w:val="00AE3839"/>
    <w:rsid w:val="00AE3AF4"/>
    <w:rsid w:val="00AE41AE"/>
    <w:rsid w:val="00AE42D1"/>
    <w:rsid w:val="00AE4557"/>
    <w:rsid w:val="00AE47A1"/>
    <w:rsid w:val="00AE4A1F"/>
    <w:rsid w:val="00AE4C55"/>
    <w:rsid w:val="00AE4F01"/>
    <w:rsid w:val="00AE5181"/>
    <w:rsid w:val="00AE53E3"/>
    <w:rsid w:val="00AE5B1D"/>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84F"/>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A21"/>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6F"/>
    <w:rsid w:val="00B437BD"/>
    <w:rsid w:val="00B43985"/>
    <w:rsid w:val="00B439FA"/>
    <w:rsid w:val="00B43D4D"/>
    <w:rsid w:val="00B43FAC"/>
    <w:rsid w:val="00B440CF"/>
    <w:rsid w:val="00B4415D"/>
    <w:rsid w:val="00B4418B"/>
    <w:rsid w:val="00B443C5"/>
    <w:rsid w:val="00B4485B"/>
    <w:rsid w:val="00B44CD8"/>
    <w:rsid w:val="00B45120"/>
    <w:rsid w:val="00B453AD"/>
    <w:rsid w:val="00B45897"/>
    <w:rsid w:val="00B45A61"/>
    <w:rsid w:val="00B45AC0"/>
    <w:rsid w:val="00B45DBE"/>
    <w:rsid w:val="00B45DC2"/>
    <w:rsid w:val="00B46501"/>
    <w:rsid w:val="00B4657E"/>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BA0"/>
    <w:rsid w:val="00B71FBB"/>
    <w:rsid w:val="00B72625"/>
    <w:rsid w:val="00B7273B"/>
    <w:rsid w:val="00B727B8"/>
    <w:rsid w:val="00B73453"/>
    <w:rsid w:val="00B737C7"/>
    <w:rsid w:val="00B73E00"/>
    <w:rsid w:val="00B73E31"/>
    <w:rsid w:val="00B740CC"/>
    <w:rsid w:val="00B7467B"/>
    <w:rsid w:val="00B74A0D"/>
    <w:rsid w:val="00B74EC0"/>
    <w:rsid w:val="00B74FDF"/>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475E"/>
    <w:rsid w:val="00B95019"/>
    <w:rsid w:val="00B950E8"/>
    <w:rsid w:val="00B95372"/>
    <w:rsid w:val="00B954DC"/>
    <w:rsid w:val="00B954FC"/>
    <w:rsid w:val="00B95A04"/>
    <w:rsid w:val="00B95A62"/>
    <w:rsid w:val="00B95C49"/>
    <w:rsid w:val="00B95EEF"/>
    <w:rsid w:val="00B95FD7"/>
    <w:rsid w:val="00B960C4"/>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10"/>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38D"/>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145"/>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1D"/>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6D6"/>
    <w:rsid w:val="00C067A4"/>
    <w:rsid w:val="00C0692C"/>
    <w:rsid w:val="00C06F8C"/>
    <w:rsid w:val="00C076C7"/>
    <w:rsid w:val="00C07A6C"/>
    <w:rsid w:val="00C07AE3"/>
    <w:rsid w:val="00C07AE4"/>
    <w:rsid w:val="00C07B81"/>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3"/>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6E97"/>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14C"/>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54D"/>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1F20"/>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2C5"/>
    <w:rsid w:val="00CB25CD"/>
    <w:rsid w:val="00CB2918"/>
    <w:rsid w:val="00CB2954"/>
    <w:rsid w:val="00CB299C"/>
    <w:rsid w:val="00CB2BBA"/>
    <w:rsid w:val="00CB32FB"/>
    <w:rsid w:val="00CB3404"/>
    <w:rsid w:val="00CB35ED"/>
    <w:rsid w:val="00CB39EB"/>
    <w:rsid w:val="00CB3F91"/>
    <w:rsid w:val="00CB41E7"/>
    <w:rsid w:val="00CB480A"/>
    <w:rsid w:val="00CB4FA5"/>
    <w:rsid w:val="00CB5008"/>
    <w:rsid w:val="00CB5831"/>
    <w:rsid w:val="00CB58DD"/>
    <w:rsid w:val="00CB596A"/>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D2E"/>
    <w:rsid w:val="00CC1E3E"/>
    <w:rsid w:val="00CC1E40"/>
    <w:rsid w:val="00CC21CB"/>
    <w:rsid w:val="00CC24F0"/>
    <w:rsid w:val="00CC27F5"/>
    <w:rsid w:val="00CC2B74"/>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6F72"/>
    <w:rsid w:val="00CC7062"/>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2FED"/>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549"/>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AB2"/>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7DB"/>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14F"/>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05E"/>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809"/>
    <w:rsid w:val="00D63BAD"/>
    <w:rsid w:val="00D6410E"/>
    <w:rsid w:val="00D6420A"/>
    <w:rsid w:val="00D6447E"/>
    <w:rsid w:val="00D645BF"/>
    <w:rsid w:val="00D647F9"/>
    <w:rsid w:val="00D6485C"/>
    <w:rsid w:val="00D64B1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1FB1"/>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6FC6"/>
    <w:rsid w:val="00D771C9"/>
    <w:rsid w:val="00D77D1E"/>
    <w:rsid w:val="00D800A1"/>
    <w:rsid w:val="00D80184"/>
    <w:rsid w:val="00D8036A"/>
    <w:rsid w:val="00D80451"/>
    <w:rsid w:val="00D80566"/>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29D"/>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277"/>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254"/>
    <w:rsid w:val="00DD242B"/>
    <w:rsid w:val="00DD2A00"/>
    <w:rsid w:val="00DD2D09"/>
    <w:rsid w:val="00DD2EEA"/>
    <w:rsid w:val="00DD2FE5"/>
    <w:rsid w:val="00DD32DF"/>
    <w:rsid w:val="00DD3401"/>
    <w:rsid w:val="00DD3430"/>
    <w:rsid w:val="00DD3480"/>
    <w:rsid w:val="00DD3565"/>
    <w:rsid w:val="00DD3967"/>
    <w:rsid w:val="00DD3D65"/>
    <w:rsid w:val="00DD49D3"/>
    <w:rsid w:val="00DD5845"/>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17C4"/>
    <w:rsid w:val="00DE2067"/>
    <w:rsid w:val="00DE21CF"/>
    <w:rsid w:val="00DE279F"/>
    <w:rsid w:val="00DE2D4B"/>
    <w:rsid w:val="00DE3E7C"/>
    <w:rsid w:val="00DE464E"/>
    <w:rsid w:val="00DE4664"/>
    <w:rsid w:val="00DE4811"/>
    <w:rsid w:val="00DE4B0C"/>
    <w:rsid w:val="00DE4B38"/>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92A"/>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CA5"/>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F2A"/>
    <w:rsid w:val="00E377BF"/>
    <w:rsid w:val="00E37C25"/>
    <w:rsid w:val="00E40362"/>
    <w:rsid w:val="00E406DE"/>
    <w:rsid w:val="00E40A2C"/>
    <w:rsid w:val="00E410AA"/>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03"/>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AD4"/>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7"/>
    <w:rsid w:val="00E93B3D"/>
    <w:rsid w:val="00E93B86"/>
    <w:rsid w:val="00E93D80"/>
    <w:rsid w:val="00E941AD"/>
    <w:rsid w:val="00E94307"/>
    <w:rsid w:val="00E94762"/>
    <w:rsid w:val="00E947E2"/>
    <w:rsid w:val="00E952E4"/>
    <w:rsid w:val="00E95367"/>
    <w:rsid w:val="00E95754"/>
    <w:rsid w:val="00E959A9"/>
    <w:rsid w:val="00E95A9A"/>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8B0"/>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25A"/>
    <w:rsid w:val="00EC7DF8"/>
    <w:rsid w:val="00EC7EE8"/>
    <w:rsid w:val="00ED05C5"/>
    <w:rsid w:val="00ED0B08"/>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800"/>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A5E"/>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2948"/>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CB8"/>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2F90"/>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47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AA3"/>
    <w:rsid w:val="00F25EB4"/>
    <w:rsid w:val="00F25F62"/>
    <w:rsid w:val="00F2617C"/>
    <w:rsid w:val="00F2643A"/>
    <w:rsid w:val="00F266E8"/>
    <w:rsid w:val="00F26886"/>
    <w:rsid w:val="00F2699C"/>
    <w:rsid w:val="00F26D5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C49"/>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58"/>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C18"/>
    <w:rsid w:val="00F43EDB"/>
    <w:rsid w:val="00F43FEE"/>
    <w:rsid w:val="00F442F3"/>
    <w:rsid w:val="00F44833"/>
    <w:rsid w:val="00F45B82"/>
    <w:rsid w:val="00F45D76"/>
    <w:rsid w:val="00F46694"/>
    <w:rsid w:val="00F467B0"/>
    <w:rsid w:val="00F4683A"/>
    <w:rsid w:val="00F469EF"/>
    <w:rsid w:val="00F46E40"/>
    <w:rsid w:val="00F46ED4"/>
    <w:rsid w:val="00F46F8B"/>
    <w:rsid w:val="00F47132"/>
    <w:rsid w:val="00F47728"/>
    <w:rsid w:val="00F47932"/>
    <w:rsid w:val="00F47AF4"/>
    <w:rsid w:val="00F47AFE"/>
    <w:rsid w:val="00F47CBA"/>
    <w:rsid w:val="00F47CF5"/>
    <w:rsid w:val="00F47E5E"/>
    <w:rsid w:val="00F50020"/>
    <w:rsid w:val="00F50075"/>
    <w:rsid w:val="00F50440"/>
    <w:rsid w:val="00F50671"/>
    <w:rsid w:val="00F50849"/>
    <w:rsid w:val="00F513BA"/>
    <w:rsid w:val="00F51447"/>
    <w:rsid w:val="00F514EF"/>
    <w:rsid w:val="00F515FC"/>
    <w:rsid w:val="00F516F4"/>
    <w:rsid w:val="00F517FC"/>
    <w:rsid w:val="00F521A2"/>
    <w:rsid w:val="00F5234E"/>
    <w:rsid w:val="00F52756"/>
    <w:rsid w:val="00F527E0"/>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D55"/>
    <w:rsid w:val="00F62FE3"/>
    <w:rsid w:val="00F63005"/>
    <w:rsid w:val="00F63289"/>
    <w:rsid w:val="00F639FA"/>
    <w:rsid w:val="00F63A49"/>
    <w:rsid w:val="00F63CD2"/>
    <w:rsid w:val="00F63F71"/>
    <w:rsid w:val="00F6433C"/>
    <w:rsid w:val="00F648A2"/>
    <w:rsid w:val="00F64928"/>
    <w:rsid w:val="00F64966"/>
    <w:rsid w:val="00F64A42"/>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4B0"/>
    <w:rsid w:val="00F705FD"/>
    <w:rsid w:val="00F70C93"/>
    <w:rsid w:val="00F70F30"/>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4A6"/>
    <w:rsid w:val="00FE4702"/>
    <w:rsid w:val="00FE47B0"/>
    <w:rsid w:val="00FE5172"/>
    <w:rsid w:val="00FE5236"/>
    <w:rsid w:val="00FE532A"/>
    <w:rsid w:val="00FE5449"/>
    <w:rsid w:val="00FE5907"/>
    <w:rsid w:val="00FE595C"/>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2F0B"/>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512"/>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8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 w:type="paragraph" w:customStyle="1" w:styleId="RAN1text">
    <w:name w:val="RAN1 text"/>
    <w:basedOn w:val="BodyText"/>
    <w:link w:val="RAN1textChar"/>
    <w:qFormat/>
    <w:rsid w:val="00E93B37"/>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E93B37"/>
    <w:rPr>
      <w:rFonts w:ascii="Times New Roman" w:eastAsia="MS Mincho" w:hAnsi="Times New Roman"/>
      <w:szCs w:val="24"/>
      <w:lang w:val="x-none" w:eastAsia="x-none"/>
    </w:rPr>
  </w:style>
  <w:style w:type="paragraph" w:customStyle="1" w:styleId="RAN1tdoc">
    <w:name w:val="RAN1 tdoc"/>
    <w:basedOn w:val="Normal"/>
    <w:link w:val="RAN1tdocChar"/>
    <w:qFormat/>
    <w:rsid w:val="00E93B3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B37"/>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E93B37"/>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93B37"/>
    <w:pPr>
      <w:numPr>
        <w:ilvl w:val="1"/>
        <w:numId w:val="4"/>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E93B37"/>
    <w:rPr>
      <w:rFonts w:ascii="Times" w:eastAsia="Batang" w:hAnsi="Times"/>
      <w:szCs w:val="24"/>
      <w:lang w:val="en-GB" w:eastAsia="x-none"/>
    </w:rPr>
  </w:style>
  <w:style w:type="paragraph" w:customStyle="1" w:styleId="RAN1bullet3">
    <w:name w:val="RAN1 bullet3"/>
    <w:basedOn w:val="RAN1bullet2"/>
    <w:link w:val="RAN1bullet3Char"/>
    <w:qFormat/>
    <w:rsid w:val="00E93B37"/>
    <w:pPr>
      <w:numPr>
        <w:ilvl w:val="2"/>
        <w:numId w:val="3"/>
      </w:numPr>
    </w:pPr>
  </w:style>
  <w:style w:type="character" w:customStyle="1" w:styleId="RAN1bullet2Char">
    <w:name w:val="RAN1 bullet2 Char"/>
    <w:link w:val="RAN1bullet2"/>
    <w:rsid w:val="00E93B37"/>
    <w:rPr>
      <w:rFonts w:ascii="Times" w:eastAsia="Batang" w:hAnsi="Times"/>
      <w:lang w:eastAsia="en-US"/>
    </w:rPr>
  </w:style>
  <w:style w:type="character" w:customStyle="1" w:styleId="RAN1bullet3Char">
    <w:name w:val="RAN1 bullet3 Char"/>
    <w:link w:val="RAN1bullet3"/>
    <w:rsid w:val="00E93B37"/>
    <w:rPr>
      <w:rFonts w:ascii="Times" w:eastAsia="Batang" w:hAnsi="Times"/>
      <w:lang w:eastAsia="en-US"/>
    </w:rPr>
  </w:style>
  <w:style w:type="character" w:customStyle="1" w:styleId="TAHCar">
    <w:name w:val="TAH Car"/>
    <w:link w:val="TAH"/>
    <w:locked/>
    <w:rsid w:val="0075749F"/>
    <w:rPr>
      <w:rFonts w:ascii="Arial" w:hAnsi="Arial"/>
      <w:b/>
      <w:sz w:val="18"/>
      <w:lang w:eastAsia="en-US"/>
    </w:rPr>
  </w:style>
  <w:style w:type="table" w:styleId="GridTable1Light-Accent1">
    <w:name w:val="Grid Table 1 Light Accent 1"/>
    <w:basedOn w:val="TableNormal"/>
    <w:uiPriority w:val="46"/>
    <w:rsid w:val="00900FB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qFormat/>
    <w:rsid w:val="00981697"/>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1">
    <w:name w:val="列出段落1"/>
    <w:basedOn w:val="Normal"/>
    <w:link w:val="Char"/>
    <w:uiPriority w:val="34"/>
    <w:qFormat/>
    <w:rsid w:val="00981697"/>
    <w:pPr>
      <w:overflowPunct/>
      <w:autoSpaceDE/>
      <w:autoSpaceDN/>
      <w:adjustRightInd/>
      <w:spacing w:after="160" w:line="259" w:lineRule="auto"/>
      <w:ind w:left="720"/>
      <w:contextualSpacing/>
      <w:jc w:val="both"/>
      <w:textAlignment w:val="auto"/>
    </w:pPr>
    <w:rPr>
      <w:rFonts w:eastAsia="Times New Roman"/>
      <w:szCs w:val="24"/>
    </w:rPr>
  </w:style>
  <w:style w:type="character" w:customStyle="1" w:styleId="Char">
    <w:name w:val="列出段落 Char"/>
    <w:link w:val="1"/>
    <w:uiPriority w:val="34"/>
    <w:qFormat/>
    <w:locked/>
    <w:rsid w:val="00981697"/>
    <w:rPr>
      <w:rFonts w:ascii="Times New Roman" w:eastAsia="Times New Roman" w:hAnsi="Times New Roman"/>
      <w:szCs w:val="24"/>
      <w:lang w:eastAsia="en-US"/>
    </w:rPr>
  </w:style>
  <w:style w:type="paragraph" w:customStyle="1" w:styleId="bullet1">
    <w:name w:val="bullet1"/>
    <w:basedOn w:val="text"/>
    <w:link w:val="bullet1Char"/>
    <w:qFormat/>
    <w:rsid w:val="00CB596A"/>
    <w:pPr>
      <w:numPr>
        <w:numId w:val="1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CB596A"/>
    <w:rPr>
      <w:rFonts w:ascii="Times New Roman" w:hAnsi="Times New Roman"/>
      <w:sz w:val="24"/>
    </w:rPr>
  </w:style>
  <w:style w:type="paragraph" w:customStyle="1" w:styleId="bullet2">
    <w:name w:val="bullet2"/>
    <w:basedOn w:val="text"/>
    <w:link w:val="bullet2Char"/>
    <w:qFormat/>
    <w:rsid w:val="00CB596A"/>
    <w:pPr>
      <w:numPr>
        <w:ilvl w:val="1"/>
        <w:numId w:val="1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B596A"/>
    <w:rPr>
      <w:rFonts w:ascii="Calibri" w:hAnsi="Calibri"/>
      <w:kern w:val="2"/>
      <w:sz w:val="24"/>
      <w:szCs w:val="24"/>
      <w:lang w:val="en-GB"/>
    </w:rPr>
  </w:style>
  <w:style w:type="paragraph" w:customStyle="1" w:styleId="bullet3">
    <w:name w:val="bullet3"/>
    <w:basedOn w:val="text"/>
    <w:qFormat/>
    <w:rsid w:val="00CB596A"/>
    <w:pPr>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CB596A"/>
    <w:pPr>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E738D"/>
    <w:rPr>
      <w:rFonts w:ascii="Times" w:hAnsi="Times"/>
      <w:kern w:val="2"/>
      <w:sz w:val="24"/>
      <w:szCs w:val="24"/>
      <w:lang w:val="en-GB"/>
    </w:rPr>
  </w:style>
  <w:style w:type="character" w:styleId="BookTitle">
    <w:name w:val="Book Title"/>
    <w:uiPriority w:val="33"/>
    <w:qFormat/>
    <w:rsid w:val="00BE738D"/>
    <w:rPr>
      <w:b/>
      <w:bCs/>
      <w:i/>
      <w:iCs/>
      <w:spacing w:val="5"/>
    </w:rPr>
  </w:style>
  <w:style w:type="character" w:customStyle="1" w:styleId="B1Zchn">
    <w:name w:val="B1 Zchn"/>
    <w:link w:val="B1"/>
    <w:rsid w:val="00BE738D"/>
    <w:rPr>
      <w:rFonts w:ascii="Times New Roman" w:hAnsi="Times New Roman"/>
      <w:lang w:eastAsia="en-US"/>
    </w:rPr>
  </w:style>
  <w:style w:type="character" w:customStyle="1" w:styleId="B2Char">
    <w:name w:val="B2 Char"/>
    <w:link w:val="B2"/>
    <w:rsid w:val="00BE73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1047340">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1377704">
      <w:bodyDiv w:val="1"/>
      <w:marLeft w:val="0"/>
      <w:marRight w:val="0"/>
      <w:marTop w:val="0"/>
      <w:marBottom w:val="0"/>
      <w:divBdr>
        <w:top w:val="none" w:sz="0" w:space="0" w:color="auto"/>
        <w:left w:val="none" w:sz="0" w:space="0" w:color="auto"/>
        <w:bottom w:val="none" w:sz="0" w:space="0" w:color="auto"/>
        <w:right w:val="none" w:sz="0" w:space="0" w:color="auto"/>
      </w:divBdr>
      <w:divsChild>
        <w:div w:id="972566272">
          <w:marLeft w:val="403"/>
          <w:marRight w:val="0"/>
          <w:marTop w:val="58"/>
          <w:marBottom w:val="0"/>
          <w:divBdr>
            <w:top w:val="none" w:sz="0" w:space="0" w:color="auto"/>
            <w:left w:val="none" w:sz="0" w:space="0" w:color="auto"/>
            <w:bottom w:val="none" w:sz="0" w:space="0" w:color="auto"/>
            <w:right w:val="none" w:sz="0" w:space="0" w:color="auto"/>
          </w:divBdr>
        </w:div>
        <w:div w:id="1323268494">
          <w:marLeft w:val="878"/>
          <w:marRight w:val="0"/>
          <w:marTop w:val="67"/>
          <w:marBottom w:val="0"/>
          <w:divBdr>
            <w:top w:val="none" w:sz="0" w:space="0" w:color="auto"/>
            <w:left w:val="none" w:sz="0" w:space="0" w:color="auto"/>
            <w:bottom w:val="none" w:sz="0" w:space="0" w:color="auto"/>
            <w:right w:val="none" w:sz="0" w:space="0" w:color="auto"/>
          </w:divBdr>
        </w:div>
        <w:div w:id="124783726">
          <w:marLeft w:val="1210"/>
          <w:marRight w:val="0"/>
          <w:marTop w:val="58"/>
          <w:marBottom w:val="0"/>
          <w:divBdr>
            <w:top w:val="none" w:sz="0" w:space="0" w:color="auto"/>
            <w:left w:val="none" w:sz="0" w:space="0" w:color="auto"/>
            <w:bottom w:val="none" w:sz="0" w:space="0" w:color="auto"/>
            <w:right w:val="none" w:sz="0" w:space="0" w:color="auto"/>
          </w:divBdr>
        </w:div>
        <w:div w:id="1539271537">
          <w:marLeft w:val="878"/>
          <w:marRight w:val="0"/>
          <w:marTop w:val="67"/>
          <w:marBottom w:val="0"/>
          <w:divBdr>
            <w:top w:val="none" w:sz="0" w:space="0" w:color="auto"/>
            <w:left w:val="none" w:sz="0" w:space="0" w:color="auto"/>
            <w:bottom w:val="none" w:sz="0" w:space="0" w:color="auto"/>
            <w:right w:val="none" w:sz="0" w:space="0" w:color="auto"/>
          </w:divBdr>
        </w:div>
        <w:div w:id="495073124">
          <w:marLeft w:val="878"/>
          <w:marRight w:val="0"/>
          <w:marTop w:val="67"/>
          <w:marBottom w:val="0"/>
          <w:divBdr>
            <w:top w:val="none" w:sz="0" w:space="0" w:color="auto"/>
            <w:left w:val="none" w:sz="0" w:space="0" w:color="auto"/>
            <w:bottom w:val="none" w:sz="0" w:space="0" w:color="auto"/>
            <w:right w:val="none" w:sz="0" w:space="0" w:color="auto"/>
          </w:divBdr>
        </w:div>
        <w:div w:id="632293079">
          <w:marLeft w:val="878"/>
          <w:marRight w:val="0"/>
          <w:marTop w:val="67"/>
          <w:marBottom w:val="0"/>
          <w:divBdr>
            <w:top w:val="none" w:sz="0" w:space="0" w:color="auto"/>
            <w:left w:val="none" w:sz="0" w:space="0" w:color="auto"/>
            <w:bottom w:val="none" w:sz="0" w:space="0" w:color="auto"/>
            <w:right w:val="none" w:sz="0" w:space="0" w:color="auto"/>
          </w:divBdr>
        </w:div>
        <w:div w:id="134371282">
          <w:marLeft w:val="1210"/>
          <w:marRight w:val="0"/>
          <w:marTop w:val="67"/>
          <w:marBottom w:val="0"/>
          <w:divBdr>
            <w:top w:val="none" w:sz="0" w:space="0" w:color="auto"/>
            <w:left w:val="none" w:sz="0" w:space="0" w:color="auto"/>
            <w:bottom w:val="none" w:sz="0" w:space="0" w:color="auto"/>
            <w:right w:val="none" w:sz="0" w:space="0" w:color="auto"/>
          </w:divBdr>
        </w:div>
        <w:div w:id="158077962">
          <w:marLeft w:val="878"/>
          <w:marRight w:val="0"/>
          <w:marTop w:val="67"/>
          <w:marBottom w:val="0"/>
          <w:divBdr>
            <w:top w:val="none" w:sz="0" w:space="0" w:color="auto"/>
            <w:left w:val="none" w:sz="0" w:space="0" w:color="auto"/>
            <w:bottom w:val="none" w:sz="0" w:space="0" w:color="auto"/>
            <w:right w:val="none" w:sz="0" w:space="0" w:color="auto"/>
          </w:divBdr>
        </w:div>
        <w:div w:id="502669681">
          <w:marLeft w:val="878"/>
          <w:marRight w:val="0"/>
          <w:marTop w:val="67"/>
          <w:marBottom w:val="0"/>
          <w:divBdr>
            <w:top w:val="none" w:sz="0" w:space="0" w:color="auto"/>
            <w:left w:val="none" w:sz="0" w:space="0" w:color="auto"/>
            <w:bottom w:val="none" w:sz="0" w:space="0" w:color="auto"/>
            <w:right w:val="none" w:sz="0" w:space="0" w:color="auto"/>
          </w:divBdr>
        </w:div>
        <w:div w:id="2123724635">
          <w:marLeft w:val="1210"/>
          <w:marRight w:val="0"/>
          <w:marTop w:val="53"/>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2089">
      <w:bodyDiv w:val="1"/>
      <w:marLeft w:val="0"/>
      <w:marRight w:val="0"/>
      <w:marTop w:val="0"/>
      <w:marBottom w:val="0"/>
      <w:divBdr>
        <w:top w:val="none" w:sz="0" w:space="0" w:color="auto"/>
        <w:left w:val="none" w:sz="0" w:space="0" w:color="auto"/>
        <w:bottom w:val="none" w:sz="0" w:space="0" w:color="auto"/>
        <w:right w:val="none" w:sz="0" w:space="0" w:color="auto"/>
      </w:divBdr>
      <w:divsChild>
        <w:div w:id="1745300201">
          <w:marLeft w:val="1555"/>
          <w:marRight w:val="0"/>
          <w:marTop w:val="58"/>
          <w:marBottom w:val="0"/>
          <w:divBdr>
            <w:top w:val="none" w:sz="0" w:space="0" w:color="auto"/>
            <w:left w:val="none" w:sz="0" w:space="0" w:color="auto"/>
            <w:bottom w:val="none" w:sz="0" w:space="0" w:color="auto"/>
            <w:right w:val="none" w:sz="0" w:space="0" w:color="auto"/>
          </w:divBdr>
        </w:div>
        <w:div w:id="1426196232">
          <w:marLeft w:val="1886"/>
          <w:marRight w:val="0"/>
          <w:marTop w:val="48"/>
          <w:marBottom w:val="0"/>
          <w:divBdr>
            <w:top w:val="none" w:sz="0" w:space="0" w:color="auto"/>
            <w:left w:val="none" w:sz="0" w:space="0" w:color="auto"/>
            <w:bottom w:val="none" w:sz="0" w:space="0" w:color="auto"/>
            <w:right w:val="none" w:sz="0" w:space="0" w:color="auto"/>
          </w:divBdr>
        </w:div>
        <w:div w:id="334109936">
          <w:marLeft w:val="1886"/>
          <w:marRight w:val="0"/>
          <w:marTop w:val="48"/>
          <w:marBottom w:val="0"/>
          <w:divBdr>
            <w:top w:val="none" w:sz="0" w:space="0" w:color="auto"/>
            <w:left w:val="none" w:sz="0" w:space="0" w:color="auto"/>
            <w:bottom w:val="none" w:sz="0" w:space="0" w:color="auto"/>
            <w:right w:val="none" w:sz="0" w:space="0" w:color="auto"/>
          </w:divBdr>
        </w:div>
        <w:div w:id="1924797942">
          <w:marLeft w:val="1886"/>
          <w:marRight w:val="0"/>
          <w:marTop w:val="48"/>
          <w:marBottom w:val="0"/>
          <w:divBdr>
            <w:top w:val="none" w:sz="0" w:space="0" w:color="auto"/>
            <w:left w:val="none" w:sz="0" w:space="0" w:color="auto"/>
            <w:bottom w:val="none" w:sz="0" w:space="0" w:color="auto"/>
            <w:right w:val="none" w:sz="0" w:space="0" w:color="auto"/>
          </w:divBdr>
        </w:div>
        <w:div w:id="1649237389">
          <w:marLeft w:val="1886"/>
          <w:marRight w:val="0"/>
          <w:marTop w:val="48"/>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67603099">
      <w:bodyDiv w:val="1"/>
      <w:marLeft w:val="0"/>
      <w:marRight w:val="0"/>
      <w:marTop w:val="0"/>
      <w:marBottom w:val="0"/>
      <w:divBdr>
        <w:top w:val="none" w:sz="0" w:space="0" w:color="auto"/>
        <w:left w:val="none" w:sz="0" w:space="0" w:color="auto"/>
        <w:bottom w:val="none" w:sz="0" w:space="0" w:color="auto"/>
        <w:right w:val="none" w:sz="0" w:space="0" w:color="auto"/>
      </w:divBdr>
      <w:divsChild>
        <w:div w:id="1045518820">
          <w:marLeft w:val="0"/>
          <w:marRight w:val="0"/>
          <w:marTop w:val="0"/>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983652">
      <w:bodyDiv w:val="1"/>
      <w:marLeft w:val="0"/>
      <w:marRight w:val="0"/>
      <w:marTop w:val="0"/>
      <w:marBottom w:val="0"/>
      <w:divBdr>
        <w:top w:val="none" w:sz="0" w:space="0" w:color="auto"/>
        <w:left w:val="none" w:sz="0" w:space="0" w:color="auto"/>
        <w:bottom w:val="none" w:sz="0" w:space="0" w:color="auto"/>
        <w:right w:val="none" w:sz="0" w:space="0" w:color="auto"/>
      </w:divBdr>
    </w:div>
    <w:div w:id="442916427">
      <w:bodyDiv w:val="1"/>
      <w:marLeft w:val="0"/>
      <w:marRight w:val="0"/>
      <w:marTop w:val="0"/>
      <w:marBottom w:val="0"/>
      <w:divBdr>
        <w:top w:val="none" w:sz="0" w:space="0" w:color="auto"/>
        <w:left w:val="none" w:sz="0" w:space="0" w:color="auto"/>
        <w:bottom w:val="none" w:sz="0" w:space="0" w:color="auto"/>
        <w:right w:val="none" w:sz="0" w:space="0" w:color="auto"/>
      </w:divBdr>
      <w:divsChild>
        <w:div w:id="948318067">
          <w:marLeft w:val="1555"/>
          <w:marRight w:val="0"/>
          <w:marTop w:val="58"/>
          <w:marBottom w:val="0"/>
          <w:divBdr>
            <w:top w:val="none" w:sz="0" w:space="0" w:color="auto"/>
            <w:left w:val="none" w:sz="0" w:space="0" w:color="auto"/>
            <w:bottom w:val="none" w:sz="0" w:space="0" w:color="auto"/>
            <w:right w:val="none" w:sz="0" w:space="0" w:color="auto"/>
          </w:divBdr>
        </w:div>
        <w:div w:id="2588191">
          <w:marLeft w:val="1555"/>
          <w:marRight w:val="0"/>
          <w:marTop w:val="58"/>
          <w:marBottom w:val="0"/>
          <w:divBdr>
            <w:top w:val="none" w:sz="0" w:space="0" w:color="auto"/>
            <w:left w:val="none" w:sz="0" w:space="0" w:color="auto"/>
            <w:bottom w:val="none" w:sz="0" w:space="0" w:color="auto"/>
            <w:right w:val="none" w:sz="0" w:space="0" w:color="auto"/>
          </w:divBdr>
        </w:div>
        <w:div w:id="446854847">
          <w:marLeft w:val="1555"/>
          <w:marRight w:val="0"/>
          <w:marTop w:val="58"/>
          <w:marBottom w:val="0"/>
          <w:divBdr>
            <w:top w:val="none" w:sz="0" w:space="0" w:color="auto"/>
            <w:left w:val="none" w:sz="0" w:space="0" w:color="auto"/>
            <w:bottom w:val="none" w:sz="0" w:space="0" w:color="auto"/>
            <w:right w:val="none" w:sz="0" w:space="0" w:color="auto"/>
          </w:divBdr>
        </w:div>
        <w:div w:id="923148847">
          <w:marLeft w:val="1555"/>
          <w:marRight w:val="0"/>
          <w:marTop w:val="58"/>
          <w:marBottom w:val="0"/>
          <w:divBdr>
            <w:top w:val="none" w:sz="0" w:space="0" w:color="auto"/>
            <w:left w:val="none" w:sz="0" w:space="0" w:color="auto"/>
            <w:bottom w:val="none" w:sz="0" w:space="0" w:color="auto"/>
            <w:right w:val="none" w:sz="0" w:space="0" w:color="auto"/>
          </w:divBdr>
        </w:div>
        <w:div w:id="1192762948">
          <w:marLeft w:val="1555"/>
          <w:marRight w:val="0"/>
          <w:marTop w:val="58"/>
          <w:marBottom w:val="0"/>
          <w:divBdr>
            <w:top w:val="none" w:sz="0" w:space="0" w:color="auto"/>
            <w:left w:val="none" w:sz="0" w:space="0" w:color="auto"/>
            <w:bottom w:val="none" w:sz="0" w:space="0" w:color="auto"/>
            <w:right w:val="none" w:sz="0" w:space="0" w:color="auto"/>
          </w:divBdr>
        </w:div>
      </w:divsChild>
    </w:div>
    <w:div w:id="444234129">
      <w:bodyDiv w:val="1"/>
      <w:marLeft w:val="0"/>
      <w:marRight w:val="0"/>
      <w:marTop w:val="0"/>
      <w:marBottom w:val="0"/>
      <w:divBdr>
        <w:top w:val="none" w:sz="0" w:space="0" w:color="auto"/>
        <w:left w:val="none" w:sz="0" w:space="0" w:color="auto"/>
        <w:bottom w:val="none" w:sz="0" w:space="0" w:color="auto"/>
        <w:right w:val="none" w:sz="0" w:space="0" w:color="auto"/>
      </w:divBdr>
      <w:divsChild>
        <w:div w:id="1762263796">
          <w:marLeft w:val="878"/>
          <w:marRight w:val="0"/>
          <w:marTop w:val="58"/>
          <w:marBottom w:val="0"/>
          <w:divBdr>
            <w:top w:val="none" w:sz="0" w:space="0" w:color="auto"/>
            <w:left w:val="none" w:sz="0" w:space="0" w:color="auto"/>
            <w:bottom w:val="none" w:sz="0" w:space="0" w:color="auto"/>
            <w:right w:val="none" w:sz="0" w:space="0" w:color="auto"/>
          </w:divBdr>
        </w:div>
        <w:div w:id="1884511930">
          <w:marLeft w:val="878"/>
          <w:marRight w:val="0"/>
          <w:marTop w:val="58"/>
          <w:marBottom w:val="0"/>
          <w:divBdr>
            <w:top w:val="none" w:sz="0" w:space="0" w:color="auto"/>
            <w:left w:val="none" w:sz="0" w:space="0" w:color="auto"/>
            <w:bottom w:val="none" w:sz="0" w:space="0" w:color="auto"/>
            <w:right w:val="none" w:sz="0" w:space="0" w:color="auto"/>
          </w:divBdr>
        </w:div>
        <w:div w:id="849296694">
          <w:marLeft w:val="1210"/>
          <w:marRight w:val="0"/>
          <w:marTop w:val="53"/>
          <w:marBottom w:val="0"/>
          <w:divBdr>
            <w:top w:val="none" w:sz="0" w:space="0" w:color="auto"/>
            <w:left w:val="none" w:sz="0" w:space="0" w:color="auto"/>
            <w:bottom w:val="none" w:sz="0" w:space="0" w:color="auto"/>
            <w:right w:val="none" w:sz="0" w:space="0" w:color="auto"/>
          </w:divBdr>
        </w:div>
        <w:div w:id="2071152275">
          <w:marLeft w:val="1210"/>
          <w:marRight w:val="0"/>
          <w:marTop w:val="53"/>
          <w:marBottom w:val="0"/>
          <w:divBdr>
            <w:top w:val="none" w:sz="0" w:space="0" w:color="auto"/>
            <w:left w:val="none" w:sz="0" w:space="0" w:color="auto"/>
            <w:bottom w:val="none" w:sz="0" w:space="0" w:color="auto"/>
            <w:right w:val="none" w:sz="0" w:space="0" w:color="auto"/>
          </w:divBdr>
        </w:div>
        <w:div w:id="1722825687">
          <w:marLeft w:val="878"/>
          <w:marRight w:val="0"/>
          <w:marTop w:val="58"/>
          <w:marBottom w:val="0"/>
          <w:divBdr>
            <w:top w:val="none" w:sz="0" w:space="0" w:color="auto"/>
            <w:left w:val="none" w:sz="0" w:space="0" w:color="auto"/>
            <w:bottom w:val="none" w:sz="0" w:space="0" w:color="auto"/>
            <w:right w:val="none" w:sz="0" w:space="0" w:color="auto"/>
          </w:divBdr>
        </w:div>
        <w:div w:id="423847400">
          <w:marLeft w:val="1555"/>
          <w:marRight w:val="0"/>
          <w:marTop w:val="53"/>
          <w:marBottom w:val="0"/>
          <w:divBdr>
            <w:top w:val="none" w:sz="0" w:space="0" w:color="auto"/>
            <w:left w:val="none" w:sz="0" w:space="0" w:color="auto"/>
            <w:bottom w:val="none" w:sz="0" w:space="0" w:color="auto"/>
            <w:right w:val="none" w:sz="0" w:space="0" w:color="auto"/>
          </w:divBdr>
        </w:div>
      </w:divsChild>
    </w:div>
    <w:div w:id="4719495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709135">
      <w:bodyDiv w:val="1"/>
      <w:marLeft w:val="0"/>
      <w:marRight w:val="0"/>
      <w:marTop w:val="0"/>
      <w:marBottom w:val="0"/>
      <w:divBdr>
        <w:top w:val="none" w:sz="0" w:space="0" w:color="auto"/>
        <w:left w:val="none" w:sz="0" w:space="0" w:color="auto"/>
        <w:bottom w:val="none" w:sz="0" w:space="0" w:color="auto"/>
        <w:right w:val="none" w:sz="0" w:space="0" w:color="auto"/>
      </w:divBdr>
      <w:divsChild>
        <w:div w:id="410588707">
          <w:marLeft w:val="403"/>
          <w:marRight w:val="0"/>
          <w:marTop w:val="96"/>
          <w:marBottom w:val="0"/>
          <w:divBdr>
            <w:top w:val="none" w:sz="0" w:space="0" w:color="auto"/>
            <w:left w:val="none" w:sz="0" w:space="0" w:color="auto"/>
            <w:bottom w:val="none" w:sz="0" w:space="0" w:color="auto"/>
            <w:right w:val="none" w:sz="0" w:space="0" w:color="auto"/>
          </w:divBdr>
        </w:div>
        <w:div w:id="1612009181">
          <w:marLeft w:val="878"/>
          <w:marRight w:val="0"/>
          <w:marTop w:val="86"/>
          <w:marBottom w:val="0"/>
          <w:divBdr>
            <w:top w:val="none" w:sz="0" w:space="0" w:color="auto"/>
            <w:left w:val="none" w:sz="0" w:space="0" w:color="auto"/>
            <w:bottom w:val="none" w:sz="0" w:space="0" w:color="auto"/>
            <w:right w:val="none" w:sz="0" w:space="0" w:color="auto"/>
          </w:divBdr>
        </w:div>
        <w:div w:id="683899385">
          <w:marLeft w:val="878"/>
          <w:marRight w:val="0"/>
          <w:marTop w:val="86"/>
          <w:marBottom w:val="0"/>
          <w:divBdr>
            <w:top w:val="none" w:sz="0" w:space="0" w:color="auto"/>
            <w:left w:val="none" w:sz="0" w:space="0" w:color="auto"/>
            <w:bottom w:val="none" w:sz="0" w:space="0" w:color="auto"/>
            <w:right w:val="none" w:sz="0" w:space="0" w:color="auto"/>
          </w:divBdr>
        </w:div>
        <w:div w:id="1526409089">
          <w:marLeft w:val="878"/>
          <w:marRight w:val="0"/>
          <w:marTop w:val="86"/>
          <w:marBottom w:val="0"/>
          <w:divBdr>
            <w:top w:val="none" w:sz="0" w:space="0" w:color="auto"/>
            <w:left w:val="none" w:sz="0" w:space="0" w:color="auto"/>
            <w:bottom w:val="none" w:sz="0" w:space="0" w:color="auto"/>
            <w:right w:val="none" w:sz="0" w:space="0" w:color="auto"/>
          </w:divBdr>
        </w:div>
      </w:divsChild>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8756750">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0397561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387734">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6575250">
      <w:bodyDiv w:val="1"/>
      <w:marLeft w:val="0"/>
      <w:marRight w:val="0"/>
      <w:marTop w:val="0"/>
      <w:marBottom w:val="0"/>
      <w:divBdr>
        <w:top w:val="none" w:sz="0" w:space="0" w:color="auto"/>
        <w:left w:val="none" w:sz="0" w:space="0" w:color="auto"/>
        <w:bottom w:val="none" w:sz="0" w:space="0" w:color="auto"/>
        <w:right w:val="none" w:sz="0" w:space="0" w:color="auto"/>
      </w:divBdr>
      <w:divsChild>
        <w:div w:id="1773816065">
          <w:marLeft w:val="403"/>
          <w:marRight w:val="0"/>
          <w:marTop w:val="86"/>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65676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975761">
      <w:bodyDiv w:val="1"/>
      <w:marLeft w:val="0"/>
      <w:marRight w:val="0"/>
      <w:marTop w:val="0"/>
      <w:marBottom w:val="0"/>
      <w:divBdr>
        <w:top w:val="none" w:sz="0" w:space="0" w:color="auto"/>
        <w:left w:val="none" w:sz="0" w:space="0" w:color="auto"/>
        <w:bottom w:val="none" w:sz="0" w:space="0" w:color="auto"/>
        <w:right w:val="none" w:sz="0" w:space="0" w:color="auto"/>
      </w:divBdr>
    </w:div>
    <w:div w:id="1794252614">
      <w:bodyDiv w:val="1"/>
      <w:marLeft w:val="0"/>
      <w:marRight w:val="0"/>
      <w:marTop w:val="0"/>
      <w:marBottom w:val="0"/>
      <w:divBdr>
        <w:top w:val="none" w:sz="0" w:space="0" w:color="auto"/>
        <w:left w:val="none" w:sz="0" w:space="0" w:color="auto"/>
        <w:bottom w:val="none" w:sz="0" w:space="0" w:color="auto"/>
        <w:right w:val="none" w:sz="0" w:space="0" w:color="auto"/>
      </w:divBdr>
      <w:divsChild>
        <w:div w:id="1453010730">
          <w:marLeft w:val="0"/>
          <w:marRight w:val="0"/>
          <w:marTop w:val="0"/>
          <w:marBottom w:val="0"/>
          <w:divBdr>
            <w:top w:val="none" w:sz="0" w:space="0" w:color="auto"/>
            <w:left w:val="none" w:sz="0" w:space="0" w:color="auto"/>
            <w:bottom w:val="none" w:sz="0" w:space="0" w:color="auto"/>
            <w:right w:val="none" w:sz="0" w:space="0" w:color="auto"/>
          </w:divBdr>
        </w:div>
      </w:divsChild>
    </w:div>
    <w:div w:id="1808208057">
      <w:bodyDiv w:val="1"/>
      <w:marLeft w:val="0"/>
      <w:marRight w:val="0"/>
      <w:marTop w:val="0"/>
      <w:marBottom w:val="0"/>
      <w:divBdr>
        <w:top w:val="none" w:sz="0" w:space="0" w:color="auto"/>
        <w:left w:val="none" w:sz="0" w:space="0" w:color="auto"/>
        <w:bottom w:val="none" w:sz="0" w:space="0" w:color="auto"/>
        <w:right w:val="none" w:sz="0" w:space="0" w:color="auto"/>
      </w:divBdr>
    </w:div>
    <w:div w:id="18329402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09286783">
      <w:bodyDiv w:val="1"/>
      <w:marLeft w:val="0"/>
      <w:marRight w:val="0"/>
      <w:marTop w:val="0"/>
      <w:marBottom w:val="0"/>
      <w:divBdr>
        <w:top w:val="none" w:sz="0" w:space="0" w:color="auto"/>
        <w:left w:val="none" w:sz="0" w:space="0" w:color="auto"/>
        <w:bottom w:val="none" w:sz="0" w:space="0" w:color="auto"/>
        <w:right w:val="none" w:sz="0" w:space="0" w:color="auto"/>
      </w:divBdr>
      <w:divsChild>
        <w:div w:id="2020693375">
          <w:marLeft w:val="878"/>
          <w:marRight w:val="0"/>
          <w:marTop w:val="50"/>
          <w:marBottom w:val="0"/>
          <w:divBdr>
            <w:top w:val="none" w:sz="0" w:space="0" w:color="auto"/>
            <w:left w:val="none" w:sz="0" w:space="0" w:color="auto"/>
            <w:bottom w:val="none" w:sz="0" w:space="0" w:color="auto"/>
            <w:right w:val="none" w:sz="0" w:space="0" w:color="auto"/>
          </w:divBdr>
        </w:div>
      </w:divsChild>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7340379">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HR33RHYHUWRF-4-6355</_dlc_DocId>
    <_dlc_DocIdUrl xmlns="c06861ca-3f08-4d07-bff7-bb15bac121f4">
      <Url>https://projects.qualcomm.com/sites/pentari/_layouts/15/DocIdRedir.aspx?ID=HR33RHYHUWRF-4-6355</Url>
      <Description>HR33RHYHUWRF-4-6355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89AB80E5-3D68-4856-A4D9-A4538071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3</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150</cp:revision>
  <cp:lastPrinted>2017-01-10T06:07:00Z</cp:lastPrinted>
  <dcterms:created xsi:type="dcterms:W3CDTF">2017-11-18T02:29:00Z</dcterms:created>
  <dcterms:modified xsi:type="dcterms:W3CDTF">2018-01-25T18:23:00Z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c3869c43-fedc-4085-ba56-0a6ddb6b5e6d</vt:lpwstr>
  </property>
  <property fmtid="{D5CDD505-2E9C-101B-9397-08002B2CF9AE}" pid="3" name="ContentTypeId">
    <vt:lpwstr>0x010100BC29BFD66497B943AA3B102F0C7B1355</vt:lpwstr>
  </property>
</Properties>
</file>