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D83D217"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6C1AE9">
        <w:rPr>
          <w:rFonts w:ascii="Arial" w:hAnsi="Arial" w:cs="Arial"/>
          <w:b/>
          <w:sz w:val="22"/>
          <w:szCs w:val="24"/>
        </w:rPr>
        <w:t>AH 1801</w:t>
      </w:r>
      <w:r w:rsidR="00CE5F5F" w:rsidRPr="008E769D">
        <w:rPr>
          <w:rFonts w:ascii="Arial" w:hAnsi="Arial" w:cs="Arial"/>
          <w:b/>
          <w:sz w:val="22"/>
          <w:szCs w:val="24"/>
        </w:rPr>
        <w:t xml:space="preserve"> </w:t>
      </w:r>
      <w:r w:rsidR="00CE5F5F" w:rsidRPr="008E769D">
        <w:rPr>
          <w:rFonts w:ascii="Arial" w:hAnsi="Arial" w:cs="Arial"/>
          <w:b/>
          <w:sz w:val="22"/>
          <w:szCs w:val="24"/>
        </w:rPr>
        <w:tab/>
      </w:r>
      <w:r w:rsidR="00FB14B4" w:rsidRPr="00FB14B4">
        <w:rPr>
          <w:rFonts w:ascii="Arial" w:hAnsi="Arial" w:cs="Arial"/>
          <w:b/>
          <w:sz w:val="22"/>
          <w:szCs w:val="24"/>
        </w:rPr>
        <w:t>R1-1800875</w:t>
      </w:r>
    </w:p>
    <w:p w14:paraId="1DBE0C1E" w14:textId="233CD061" w:rsidR="00BC335A" w:rsidRPr="00BC335A" w:rsidRDefault="006C1AE9" w:rsidP="00BC335A">
      <w:pPr>
        <w:pStyle w:val="Footer"/>
        <w:jc w:val="both"/>
        <w:rPr>
          <w:rFonts w:cs="Arial"/>
          <w:i w:val="0"/>
          <w:noProof w:val="0"/>
          <w:sz w:val="22"/>
          <w:szCs w:val="24"/>
        </w:rPr>
      </w:pPr>
      <w:r>
        <w:rPr>
          <w:rFonts w:cs="Arial"/>
          <w:i w:val="0"/>
          <w:noProof w:val="0"/>
          <w:sz w:val="22"/>
          <w:szCs w:val="24"/>
        </w:rPr>
        <w:t>January</w:t>
      </w:r>
      <w:r w:rsidR="0061297E">
        <w:rPr>
          <w:rFonts w:cs="Arial"/>
          <w:i w:val="0"/>
          <w:noProof w:val="0"/>
          <w:sz w:val="22"/>
          <w:szCs w:val="24"/>
        </w:rPr>
        <w:t xml:space="preserve"> 2</w:t>
      </w:r>
      <w:r>
        <w:rPr>
          <w:rFonts w:cs="Arial"/>
          <w:i w:val="0"/>
          <w:noProof w:val="0"/>
          <w:sz w:val="22"/>
          <w:szCs w:val="24"/>
        </w:rPr>
        <w:t>2</w:t>
      </w:r>
      <w:proofErr w:type="gramStart"/>
      <w:r>
        <w:rPr>
          <w:rFonts w:cs="Arial"/>
          <w:i w:val="0"/>
          <w:noProof w:val="0"/>
          <w:sz w:val="22"/>
          <w:szCs w:val="24"/>
          <w:vertAlign w:val="superscript"/>
        </w:rPr>
        <w:t>nd</w:t>
      </w:r>
      <w:r w:rsidR="0061297E">
        <w:rPr>
          <w:rFonts w:cs="Arial"/>
          <w:i w:val="0"/>
          <w:noProof w:val="0"/>
          <w:sz w:val="22"/>
          <w:szCs w:val="24"/>
        </w:rPr>
        <w:t xml:space="preserve"> </w:t>
      </w:r>
      <w:r w:rsidR="00BC335A" w:rsidRPr="00BC335A">
        <w:rPr>
          <w:rFonts w:cs="Arial"/>
          <w:i w:val="0"/>
          <w:noProof w:val="0"/>
          <w:sz w:val="22"/>
          <w:szCs w:val="24"/>
        </w:rPr>
        <w:t xml:space="preserve"> –</w:t>
      </w:r>
      <w:proofErr w:type="gramEnd"/>
      <w:r w:rsidR="00BC335A" w:rsidRPr="00BC335A">
        <w:rPr>
          <w:rFonts w:cs="Arial"/>
          <w:i w:val="0"/>
          <w:noProof w:val="0"/>
          <w:sz w:val="22"/>
          <w:szCs w:val="24"/>
        </w:rPr>
        <w:t xml:space="preserve"> </w:t>
      </w:r>
      <w:r>
        <w:rPr>
          <w:rFonts w:cs="Arial"/>
          <w:i w:val="0"/>
          <w:noProof w:val="0"/>
          <w:sz w:val="22"/>
          <w:szCs w:val="24"/>
        </w:rPr>
        <w:t>26</w:t>
      </w:r>
      <w:r>
        <w:rPr>
          <w:rFonts w:cs="Arial"/>
          <w:i w:val="0"/>
          <w:noProof w:val="0"/>
          <w:sz w:val="22"/>
          <w:szCs w:val="24"/>
          <w:vertAlign w:val="superscript"/>
        </w:rPr>
        <w:t>th</w:t>
      </w:r>
      <w:r w:rsidR="00BC335A" w:rsidRPr="00BC335A">
        <w:rPr>
          <w:rFonts w:cs="Arial"/>
          <w:i w:val="0"/>
          <w:noProof w:val="0"/>
          <w:sz w:val="22"/>
          <w:szCs w:val="24"/>
        </w:rPr>
        <w:t xml:space="preserve"> 201</w:t>
      </w:r>
      <w:r>
        <w:rPr>
          <w:rFonts w:cs="Arial"/>
          <w:i w:val="0"/>
          <w:noProof w:val="0"/>
          <w:sz w:val="22"/>
          <w:szCs w:val="24"/>
        </w:rPr>
        <w:t>8</w:t>
      </w:r>
    </w:p>
    <w:p w14:paraId="2F2D8718" w14:textId="5ACEF081" w:rsidR="00CE5F5F" w:rsidRDefault="003520B2"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w:t>
      </w:r>
      <w:bookmarkStart w:id="0" w:name="_GoBack"/>
      <w:bookmarkEnd w:id="0"/>
      <w:r>
        <w:rPr>
          <w:rFonts w:cs="Arial"/>
          <w:i w:val="0"/>
          <w:noProof w:val="0"/>
          <w:sz w:val="22"/>
          <w:szCs w:val="24"/>
        </w:rPr>
        <w:t>da</w:t>
      </w:r>
    </w:p>
    <w:p w14:paraId="3A0CB384" w14:textId="77777777" w:rsidR="00BC335A" w:rsidRPr="008E769D" w:rsidRDefault="00BC335A" w:rsidP="00BC335A">
      <w:pPr>
        <w:pStyle w:val="Footer"/>
        <w:jc w:val="both"/>
        <w:rPr>
          <w:noProof w:val="0"/>
          <w:sz w:val="16"/>
        </w:rPr>
      </w:pPr>
      <w:bookmarkStart w:id="1" w:name="_Hlk495298459"/>
    </w:p>
    <w:p w14:paraId="00A480DC" w14:textId="26044D1C"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565405E7"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252AEF">
        <w:rPr>
          <w:rFonts w:ascii="Arial" w:hAnsi="Arial"/>
          <w:sz w:val="22"/>
        </w:rPr>
        <w:t>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7CE13C69" w14:textId="77777777" w:rsidR="00D32F40" w:rsidRDefault="00D32F40" w:rsidP="00D32F40">
      <w:pPr>
        <w:rPr>
          <w:lang w:val="en-GB"/>
        </w:rPr>
      </w:pPr>
      <w:r>
        <w:rPr>
          <w:lang w:val="en-GB"/>
        </w:rPr>
        <w:t>This contribution discusses some remaining issues for specification regarding the DL/UL resource allocation. In particular, these topics are discussed in the following sections.</w:t>
      </w:r>
    </w:p>
    <w:p w14:paraId="67D78559" w14:textId="77777777" w:rsidR="00D32F40" w:rsidRDefault="00D32F40" w:rsidP="00D32F40">
      <w:pPr>
        <w:pStyle w:val="ListParagraph"/>
        <w:numPr>
          <w:ilvl w:val="0"/>
          <w:numId w:val="5"/>
        </w:numPr>
        <w:rPr>
          <w:lang w:val="en-GB"/>
        </w:rPr>
      </w:pPr>
      <w:r>
        <w:rPr>
          <w:lang w:val="en-GB"/>
        </w:rPr>
        <w:t xml:space="preserve">Time domain resource allocation </w:t>
      </w:r>
    </w:p>
    <w:p w14:paraId="52239540" w14:textId="77777777" w:rsidR="00D32F40" w:rsidRDefault="00D32F40" w:rsidP="00D32F40">
      <w:pPr>
        <w:pStyle w:val="ListParagraph"/>
        <w:numPr>
          <w:ilvl w:val="0"/>
          <w:numId w:val="5"/>
        </w:numPr>
        <w:rPr>
          <w:lang w:val="en-GB"/>
        </w:rPr>
      </w:pPr>
      <w:r>
        <w:rPr>
          <w:lang w:val="en-GB"/>
        </w:rPr>
        <w:t>Frequency domain resource allocation</w:t>
      </w:r>
    </w:p>
    <w:p w14:paraId="3A21A3FF" w14:textId="77E8E9A5" w:rsidR="00D32F40" w:rsidRDefault="00D32F40" w:rsidP="00D32F40">
      <w:pPr>
        <w:pStyle w:val="ListParagraph"/>
        <w:numPr>
          <w:ilvl w:val="0"/>
          <w:numId w:val="5"/>
        </w:numPr>
        <w:rPr>
          <w:lang w:val="en-GB"/>
        </w:rPr>
      </w:pPr>
      <w:r>
        <w:rPr>
          <w:lang w:val="en-GB"/>
        </w:rPr>
        <w:t>VRB-to-PRB mapping for frequency diversity</w:t>
      </w:r>
    </w:p>
    <w:p w14:paraId="3D5869A2" w14:textId="54486ECA" w:rsidR="00D66E08" w:rsidRPr="00D66E08" w:rsidRDefault="00D66E08" w:rsidP="00D66E08">
      <w:pPr>
        <w:rPr>
          <w:lang w:val="en-GB"/>
        </w:rPr>
      </w:pPr>
    </w:p>
    <w:p w14:paraId="75A6040F" w14:textId="77777777" w:rsidR="00D32F40" w:rsidRDefault="00D32F40" w:rsidP="00D32F40">
      <w:pPr>
        <w:pStyle w:val="Heading1"/>
      </w:pPr>
      <w:r>
        <w:t>Time domain resource allocation</w:t>
      </w:r>
    </w:p>
    <w:p w14:paraId="7CF69A06" w14:textId="77777777" w:rsidR="00D32F40" w:rsidRDefault="00D32F40" w:rsidP="00D32F40">
      <w:pPr>
        <w:rPr>
          <w:lang w:val="en-GB"/>
        </w:rPr>
      </w:pPr>
      <w:r>
        <w:rPr>
          <w:lang w:val="en-GB"/>
        </w:rPr>
        <w:t>In RAN1 #91 [1], the following was agreed below to be captured in specifications.</w:t>
      </w:r>
    </w:p>
    <w:p w14:paraId="1B7FCBA6" w14:textId="77777777" w:rsidR="00D32F40" w:rsidRPr="001D7BF6" w:rsidRDefault="00D32F40" w:rsidP="00D32F40">
      <w:pPr>
        <w:rPr>
          <w:b/>
          <w:u w:val="single"/>
        </w:rPr>
      </w:pPr>
      <w:r w:rsidRPr="001D7BF6">
        <w:rPr>
          <w:b/>
          <w:highlight w:val="green"/>
          <w:u w:val="single"/>
        </w:rPr>
        <w:t>Agreements:</w:t>
      </w:r>
    </w:p>
    <w:p w14:paraId="10B44F56" w14:textId="77777777" w:rsidR="00D32F40" w:rsidRPr="002F7DC3" w:rsidRDefault="00D32F40" w:rsidP="00D32F40">
      <w:pPr>
        <w:numPr>
          <w:ilvl w:val="0"/>
          <w:numId w:val="14"/>
        </w:numPr>
        <w:overflowPunct/>
        <w:autoSpaceDE/>
        <w:autoSpaceDN/>
        <w:adjustRightInd/>
        <w:spacing w:after="0"/>
        <w:textAlignment w:val="auto"/>
      </w:pPr>
      <w:r w:rsidRPr="002F7DC3">
        <w:t>One table for UL, one table for DL configured by RRC in Rel-15</w:t>
      </w:r>
    </w:p>
    <w:p w14:paraId="70545A46" w14:textId="77777777" w:rsidR="00D32F40" w:rsidRPr="002F7DC3" w:rsidRDefault="00D32F40" w:rsidP="00D32F40">
      <w:pPr>
        <w:numPr>
          <w:ilvl w:val="1"/>
          <w:numId w:val="14"/>
        </w:numPr>
        <w:overflowPunct/>
        <w:autoSpaceDE/>
        <w:autoSpaceDN/>
        <w:adjustRightInd/>
        <w:spacing w:after="0"/>
        <w:textAlignment w:val="auto"/>
      </w:pPr>
      <w:r w:rsidRPr="002F7DC3">
        <w:t>Each table is up to 16 rows</w:t>
      </w:r>
    </w:p>
    <w:p w14:paraId="6F182CEF" w14:textId="77777777" w:rsidR="00D32F40" w:rsidRPr="002F7DC3" w:rsidRDefault="00D32F40" w:rsidP="00D32F40">
      <w:pPr>
        <w:numPr>
          <w:ilvl w:val="0"/>
          <w:numId w:val="14"/>
        </w:numPr>
        <w:overflowPunct/>
        <w:autoSpaceDE/>
        <w:autoSpaceDN/>
        <w:adjustRightInd/>
        <w:spacing w:after="0"/>
        <w:textAlignment w:val="auto"/>
      </w:pPr>
      <w:r w:rsidRPr="002F7DC3">
        <w:t xml:space="preserve">In the table, each row is configured by RRC with </w:t>
      </w:r>
    </w:p>
    <w:p w14:paraId="0D80B042" w14:textId="77777777" w:rsidR="00D32F40" w:rsidRPr="002F7DC3" w:rsidRDefault="00D32F40" w:rsidP="00D32F40">
      <w:pPr>
        <w:numPr>
          <w:ilvl w:val="1"/>
          <w:numId w:val="14"/>
        </w:numPr>
        <w:overflowPunct/>
        <w:autoSpaceDE/>
        <w:autoSpaceDN/>
        <w:adjustRightInd/>
        <w:spacing w:after="0"/>
        <w:textAlignment w:val="auto"/>
      </w:pPr>
      <w:r w:rsidRPr="002F7DC3">
        <w:t>K0 using 2 bits (for DL table</w:t>
      </w:r>
      <w:proofErr w:type="gramStart"/>
      <w:r w:rsidRPr="002F7DC3">
        <w:t>),  K2</w:t>
      </w:r>
      <w:proofErr w:type="gramEnd"/>
      <w:r w:rsidRPr="002F7DC3">
        <w:t xml:space="preserve"> using 3 bits (for UL table)</w:t>
      </w:r>
    </w:p>
    <w:p w14:paraId="1CF688F4" w14:textId="77777777" w:rsidR="00D32F40" w:rsidRPr="002F7DC3" w:rsidRDefault="00D32F40" w:rsidP="00D32F40">
      <w:pPr>
        <w:numPr>
          <w:ilvl w:val="1"/>
          <w:numId w:val="14"/>
        </w:numPr>
        <w:overflowPunct/>
        <w:autoSpaceDE/>
        <w:autoSpaceDN/>
        <w:adjustRightInd/>
        <w:spacing w:after="0"/>
        <w:textAlignment w:val="auto"/>
      </w:pPr>
      <w:r w:rsidRPr="002F7DC3">
        <w:t>an index (6-bit) into a table/equation in RAN1 specs capturing valid combinations of start symbol and length (jointly encoded)</w:t>
      </w:r>
    </w:p>
    <w:p w14:paraId="38F0BC3A" w14:textId="77777777" w:rsidR="00D32F40" w:rsidRPr="002F7DC3" w:rsidRDefault="00D32F40" w:rsidP="00D32F40">
      <w:pPr>
        <w:numPr>
          <w:ilvl w:val="1"/>
          <w:numId w:val="14"/>
        </w:numPr>
        <w:overflowPunct/>
        <w:autoSpaceDE/>
        <w:autoSpaceDN/>
        <w:adjustRightInd/>
        <w:spacing w:after="0"/>
        <w:textAlignment w:val="auto"/>
      </w:pPr>
      <w:r w:rsidRPr="002F7DC3">
        <w:t>PDSCH mapping type A or B</w:t>
      </w:r>
    </w:p>
    <w:p w14:paraId="0671D0C5" w14:textId="77777777" w:rsidR="00D32F40" w:rsidRPr="002F7DC3" w:rsidRDefault="00D32F40" w:rsidP="00D32F40">
      <w:pPr>
        <w:numPr>
          <w:ilvl w:val="0"/>
          <w:numId w:val="14"/>
        </w:numPr>
        <w:overflowPunct/>
        <w:autoSpaceDE/>
        <w:autoSpaceDN/>
        <w:adjustRightInd/>
        <w:spacing w:after="0"/>
        <w:textAlignment w:val="auto"/>
      </w:pPr>
      <w:r w:rsidRPr="002F7DC3">
        <w:t>The reference point for starting OFDM symbol:</w:t>
      </w:r>
    </w:p>
    <w:p w14:paraId="5762C4EC" w14:textId="77777777" w:rsidR="00D32F40" w:rsidRPr="002F7DC3" w:rsidRDefault="00D32F40" w:rsidP="00D32F40">
      <w:pPr>
        <w:numPr>
          <w:ilvl w:val="1"/>
          <w:numId w:val="14"/>
        </w:numPr>
        <w:overflowPunct/>
        <w:autoSpaceDE/>
        <w:autoSpaceDN/>
        <w:adjustRightInd/>
        <w:spacing w:after="0"/>
        <w:textAlignment w:val="auto"/>
      </w:pPr>
      <w:r w:rsidRPr="002F7DC3">
        <w:t>No RRC impact (e.g., slot boundary, start of CORESET where the PDCCH was found, or part of the table/equation in RAN1 specs. FFS details)</w:t>
      </w:r>
    </w:p>
    <w:p w14:paraId="032963C9" w14:textId="77777777" w:rsidR="00D32F40" w:rsidRPr="002F7DC3" w:rsidRDefault="00D32F40" w:rsidP="00D32F40">
      <w:pPr>
        <w:numPr>
          <w:ilvl w:val="0"/>
          <w:numId w:val="14"/>
        </w:numPr>
        <w:overflowPunct/>
        <w:autoSpaceDE/>
        <w:autoSpaceDN/>
        <w:adjustRightInd/>
        <w:spacing w:after="0"/>
        <w:textAlignment w:val="auto"/>
      </w:pPr>
      <w:r w:rsidRPr="002F7DC3">
        <w:t xml:space="preserve">Aggregation factor (1, 2, 4, 8 for DL or UL) is semi-statically configured separately (i.e. not part of table) </w:t>
      </w:r>
    </w:p>
    <w:p w14:paraId="65E5C586" w14:textId="77777777" w:rsidR="00D32F40" w:rsidRPr="002F7DC3" w:rsidRDefault="00D32F40" w:rsidP="00D32F40">
      <w:pPr>
        <w:numPr>
          <w:ilvl w:val="1"/>
          <w:numId w:val="14"/>
        </w:numPr>
        <w:overflowPunct/>
        <w:autoSpaceDE/>
        <w:autoSpaceDN/>
        <w:adjustRightInd/>
        <w:spacing w:after="0"/>
        <w:textAlignment w:val="auto"/>
      </w:pPr>
      <w:r w:rsidRPr="002F7DC3">
        <w:t>No additional RRC impact how to use the aggregation factor along with the tables</w:t>
      </w:r>
    </w:p>
    <w:p w14:paraId="3AD785AA" w14:textId="77777777" w:rsidR="00D32F40" w:rsidRDefault="00D32F40" w:rsidP="00D32F40">
      <w:pPr>
        <w:overflowPunct/>
        <w:autoSpaceDE/>
        <w:autoSpaceDN/>
        <w:adjustRightInd/>
        <w:spacing w:after="0"/>
        <w:textAlignment w:val="auto"/>
        <w:rPr>
          <w:rFonts w:eastAsia="Times New Roman"/>
        </w:rPr>
      </w:pPr>
    </w:p>
    <w:p w14:paraId="792FAF62" w14:textId="77777777" w:rsidR="00D32F40" w:rsidRDefault="00D32F40" w:rsidP="00D32F40">
      <w:pPr>
        <w:overflowPunct/>
        <w:autoSpaceDE/>
        <w:autoSpaceDN/>
        <w:adjustRightInd/>
        <w:spacing w:after="0"/>
        <w:textAlignment w:val="auto"/>
        <w:rPr>
          <w:rFonts w:eastAsia="Times New Roman"/>
        </w:rPr>
      </w:pPr>
      <w:r>
        <w:rPr>
          <w:rFonts w:eastAsia="Times New Roman"/>
        </w:rPr>
        <w:t>Hence, it was captured in the LS to RAN2 [2] that parameters above be introduced into RRC which are UE-specific. However, in the same meeting it was agreed that the following subset of parameters be made bandwidth part specific.</w:t>
      </w:r>
    </w:p>
    <w:p w14:paraId="356840A2" w14:textId="77777777" w:rsidR="00D32F40" w:rsidRDefault="00D32F40" w:rsidP="00D32F40">
      <w:pPr>
        <w:overflowPunct/>
        <w:autoSpaceDE/>
        <w:autoSpaceDN/>
        <w:adjustRightInd/>
        <w:spacing w:after="0"/>
        <w:textAlignment w:val="auto"/>
        <w:rPr>
          <w:rFonts w:eastAsia="Times New Roman"/>
        </w:rPr>
      </w:pPr>
    </w:p>
    <w:p w14:paraId="7B844E68" w14:textId="77777777" w:rsidR="00D32F40" w:rsidRPr="00A4052C" w:rsidRDefault="00D32F40" w:rsidP="00D32F40">
      <w:pPr>
        <w:rPr>
          <w:lang w:eastAsia="zh-TW"/>
        </w:rPr>
      </w:pPr>
      <w:r w:rsidRPr="001D7BF6">
        <w:rPr>
          <w:b/>
          <w:highlight w:val="green"/>
          <w:u w:val="single"/>
          <w:lang w:eastAsia="zh-TW"/>
        </w:rPr>
        <w:t>Agreement</w:t>
      </w:r>
      <w:r>
        <w:rPr>
          <w:b/>
          <w:highlight w:val="green"/>
          <w:u w:val="single"/>
          <w:lang w:eastAsia="zh-TW"/>
        </w:rPr>
        <w:t>s:</w:t>
      </w:r>
    </w:p>
    <w:p w14:paraId="1DC0D788" w14:textId="77777777" w:rsidR="00D32F40" w:rsidRPr="00A4052C" w:rsidRDefault="00D32F40" w:rsidP="00D32F40">
      <w:pPr>
        <w:numPr>
          <w:ilvl w:val="0"/>
          <w:numId w:val="15"/>
        </w:numPr>
        <w:overflowPunct/>
        <w:autoSpaceDE/>
        <w:autoSpaceDN/>
        <w:adjustRightInd/>
        <w:spacing w:after="0"/>
        <w:textAlignment w:val="auto"/>
        <w:rPr>
          <w:lang w:eastAsia="zh-TW"/>
        </w:rPr>
      </w:pPr>
      <w:r w:rsidRPr="00A4052C">
        <w:rPr>
          <w:lang w:eastAsia="zh-TW"/>
        </w:rPr>
        <w:t>Semi-static configuration of the set of values of K0, the set of values of K1 and the set of values of K2 for a UE can be BWP-specific</w:t>
      </w:r>
    </w:p>
    <w:p w14:paraId="0A1937AE" w14:textId="77777777" w:rsidR="00D32F40" w:rsidRPr="00A4052C" w:rsidRDefault="00D32F40" w:rsidP="00D32F40">
      <w:pPr>
        <w:numPr>
          <w:ilvl w:val="1"/>
          <w:numId w:val="15"/>
        </w:numPr>
        <w:overflowPunct/>
        <w:autoSpaceDE/>
        <w:autoSpaceDN/>
        <w:adjustRightInd/>
        <w:spacing w:after="0"/>
        <w:textAlignment w:val="auto"/>
        <w:rPr>
          <w:lang w:eastAsia="zh-TW"/>
        </w:rPr>
      </w:pPr>
      <w:r w:rsidRPr="00A4052C">
        <w:rPr>
          <w:lang w:eastAsia="zh-TW"/>
        </w:rPr>
        <w:t xml:space="preserve">Note: there is no BWP-specific default value(s) defined for K0/K1/K2 </w:t>
      </w:r>
    </w:p>
    <w:p w14:paraId="0479B554" w14:textId="77777777" w:rsidR="00D32F40" w:rsidRDefault="00D32F40" w:rsidP="00D32F40">
      <w:pPr>
        <w:overflowPunct/>
        <w:autoSpaceDE/>
        <w:autoSpaceDN/>
        <w:adjustRightInd/>
        <w:spacing w:after="0"/>
        <w:textAlignment w:val="auto"/>
        <w:rPr>
          <w:rFonts w:eastAsia="Times New Roman"/>
        </w:rPr>
      </w:pPr>
    </w:p>
    <w:p w14:paraId="4C2E03F3" w14:textId="77777777" w:rsidR="00D32F40" w:rsidRDefault="00D32F40" w:rsidP="00D32F40">
      <w:pPr>
        <w:overflowPunct/>
        <w:autoSpaceDE/>
        <w:autoSpaceDN/>
        <w:adjustRightInd/>
        <w:spacing w:after="0"/>
        <w:textAlignment w:val="auto"/>
        <w:rPr>
          <w:rFonts w:eastAsia="Times New Roman"/>
        </w:rPr>
      </w:pPr>
      <w:r>
        <w:rPr>
          <w:rFonts w:eastAsia="Times New Roman"/>
        </w:rPr>
        <w:t xml:space="preserve">Note that for consistent in configuration, all parameters related to the time domain resource allocation subsequently indicated as bandwidth part specific for RRC in the LS to RAN2 [2], and further (although inaccurately) captured in the RAN2 specification [3]. These </w:t>
      </w:r>
      <w:proofErr w:type="spellStart"/>
      <w:r>
        <w:rPr>
          <w:rFonts w:eastAsia="Times New Roman"/>
        </w:rPr>
        <w:t>paramters</w:t>
      </w:r>
      <w:proofErr w:type="spellEnd"/>
      <w:r>
        <w:rPr>
          <w:rFonts w:eastAsia="Times New Roman"/>
        </w:rPr>
        <w:t xml:space="preserve"> are as follows:</w:t>
      </w:r>
    </w:p>
    <w:p w14:paraId="1C5A501B" w14:textId="77777777" w:rsidR="00D32F40" w:rsidRPr="00297E0E" w:rsidRDefault="00D32F40" w:rsidP="00D32F40">
      <w:pPr>
        <w:pStyle w:val="ListParagraph"/>
        <w:numPr>
          <w:ilvl w:val="0"/>
          <w:numId w:val="15"/>
        </w:numPr>
        <w:rPr>
          <w:rFonts w:eastAsia="Times New Roman"/>
        </w:rPr>
      </w:pPr>
      <w:r w:rsidRPr="00297E0E">
        <w:rPr>
          <w:rFonts w:eastAsia="Times New Roman"/>
        </w:rPr>
        <w:t>K0</w:t>
      </w:r>
    </w:p>
    <w:p w14:paraId="4FBFD295" w14:textId="77777777" w:rsidR="00D32F40" w:rsidRPr="00297E0E" w:rsidRDefault="00D32F40" w:rsidP="00D32F40">
      <w:pPr>
        <w:pStyle w:val="ListParagraph"/>
        <w:numPr>
          <w:ilvl w:val="0"/>
          <w:numId w:val="15"/>
        </w:numPr>
        <w:rPr>
          <w:rFonts w:eastAsia="Times New Roman"/>
        </w:rPr>
      </w:pPr>
      <w:r w:rsidRPr="00297E0E">
        <w:rPr>
          <w:rFonts w:eastAsia="Times New Roman"/>
        </w:rPr>
        <w:t>K2</w:t>
      </w:r>
    </w:p>
    <w:p w14:paraId="0CFE6F81" w14:textId="77777777" w:rsidR="00D32F40" w:rsidRPr="00297E0E" w:rsidRDefault="00D32F40" w:rsidP="00D32F40">
      <w:pPr>
        <w:pStyle w:val="ListParagraph"/>
        <w:numPr>
          <w:ilvl w:val="0"/>
          <w:numId w:val="15"/>
        </w:numPr>
        <w:rPr>
          <w:rFonts w:eastAsia="Times New Roman"/>
        </w:rPr>
      </w:pPr>
      <w:r w:rsidRPr="00297E0E">
        <w:rPr>
          <w:rFonts w:eastAsia="Times New Roman"/>
        </w:rPr>
        <w:lastRenderedPageBreak/>
        <w:t>Mapping-type</w:t>
      </w:r>
    </w:p>
    <w:p w14:paraId="18086562" w14:textId="77777777" w:rsidR="00D32F40" w:rsidRPr="00297E0E" w:rsidRDefault="00D32F40" w:rsidP="00D32F40">
      <w:pPr>
        <w:pStyle w:val="ListParagraph"/>
        <w:numPr>
          <w:ilvl w:val="0"/>
          <w:numId w:val="15"/>
        </w:numPr>
        <w:rPr>
          <w:rFonts w:eastAsia="Times New Roman"/>
        </w:rPr>
      </w:pPr>
      <w:r w:rsidRPr="00297E0E">
        <w:rPr>
          <w:rFonts w:eastAsia="Times New Roman"/>
        </w:rPr>
        <w:t>Index-start-</w:t>
      </w:r>
      <w:proofErr w:type="spellStart"/>
      <w:r w:rsidRPr="00297E0E">
        <w:rPr>
          <w:rFonts w:eastAsia="Times New Roman"/>
        </w:rPr>
        <w:t>len</w:t>
      </w:r>
      <w:proofErr w:type="spellEnd"/>
    </w:p>
    <w:p w14:paraId="152618F3" w14:textId="77777777" w:rsidR="00D32F40" w:rsidRPr="00297E0E" w:rsidRDefault="00D32F40" w:rsidP="00D32F40">
      <w:pPr>
        <w:pStyle w:val="ListParagraph"/>
        <w:numPr>
          <w:ilvl w:val="0"/>
          <w:numId w:val="15"/>
        </w:numPr>
        <w:rPr>
          <w:rFonts w:eastAsia="Times New Roman"/>
        </w:rPr>
      </w:pPr>
      <w:r w:rsidRPr="00297E0E">
        <w:rPr>
          <w:rFonts w:eastAsia="Times New Roman"/>
        </w:rPr>
        <w:t>index</w:t>
      </w:r>
    </w:p>
    <w:p w14:paraId="7197EC87" w14:textId="77777777" w:rsidR="00D32F40" w:rsidRPr="00297E0E" w:rsidRDefault="00D32F40" w:rsidP="00D32F40">
      <w:pPr>
        <w:pStyle w:val="ListParagraph"/>
        <w:numPr>
          <w:ilvl w:val="0"/>
          <w:numId w:val="15"/>
        </w:numPr>
        <w:rPr>
          <w:rFonts w:eastAsia="Times New Roman"/>
        </w:rPr>
      </w:pPr>
      <w:r w:rsidRPr="00297E0E">
        <w:rPr>
          <w:rFonts w:eastAsia="Times New Roman"/>
        </w:rPr>
        <w:t>DL-data-DL-acknowledgement</w:t>
      </w:r>
      <w:r>
        <w:rPr>
          <w:rFonts w:eastAsia="Times New Roman"/>
        </w:rPr>
        <w:t xml:space="preserve"> = {</w:t>
      </w:r>
      <w:r w:rsidRPr="00297E0E">
        <w:rPr>
          <w:rFonts w:eastAsia="Times New Roman"/>
        </w:rPr>
        <w:t>Slot-timing-value-K1</w:t>
      </w:r>
      <w:r>
        <w:rPr>
          <w:rFonts w:eastAsia="Times New Roman"/>
        </w:rPr>
        <w:t>}</w:t>
      </w:r>
    </w:p>
    <w:p w14:paraId="6C59F778" w14:textId="77777777" w:rsidR="00D32F40" w:rsidRDefault="00D32F40" w:rsidP="00D32F40">
      <w:pPr>
        <w:pStyle w:val="ListParagraph"/>
        <w:numPr>
          <w:ilvl w:val="0"/>
          <w:numId w:val="15"/>
        </w:numPr>
        <w:rPr>
          <w:rFonts w:eastAsia="Times New Roman"/>
        </w:rPr>
      </w:pPr>
      <w:bookmarkStart w:id="2" w:name="_Hlk503495029"/>
      <w:r w:rsidRPr="00297E0E">
        <w:rPr>
          <w:rFonts w:eastAsia="Times New Roman"/>
        </w:rPr>
        <w:t>UL-data-time-domain</w:t>
      </w:r>
      <w:r>
        <w:rPr>
          <w:rFonts w:eastAsia="Times New Roman"/>
        </w:rPr>
        <w:t xml:space="preserve"> = </w:t>
      </w:r>
      <w:r w:rsidRPr="00297E0E">
        <w:rPr>
          <w:rFonts w:eastAsia="Times New Roman"/>
        </w:rPr>
        <w:t>{</w:t>
      </w:r>
      <w:proofErr w:type="gramStart"/>
      <w:r w:rsidRPr="00297E0E">
        <w:rPr>
          <w:rFonts w:eastAsia="Times New Roman"/>
        </w:rPr>
        <w:t>K2,Index</w:t>
      </w:r>
      <w:proofErr w:type="gramEnd"/>
      <w:r w:rsidRPr="00297E0E">
        <w:rPr>
          <w:rFonts w:eastAsia="Times New Roman"/>
        </w:rPr>
        <w:t>-start-len,index}</w:t>
      </w:r>
    </w:p>
    <w:p w14:paraId="52779D52" w14:textId="77777777" w:rsidR="00D32F40" w:rsidRPr="00297E0E" w:rsidRDefault="00D32F40" w:rsidP="00D32F40">
      <w:pPr>
        <w:pStyle w:val="ListParagraph"/>
        <w:numPr>
          <w:ilvl w:val="0"/>
          <w:numId w:val="15"/>
        </w:numPr>
        <w:rPr>
          <w:rFonts w:eastAsia="Times New Roman"/>
        </w:rPr>
      </w:pPr>
      <w:r w:rsidRPr="00297E0E">
        <w:rPr>
          <w:rFonts w:eastAsia="Times New Roman"/>
        </w:rPr>
        <w:t>DL-data-time-domain</w:t>
      </w:r>
      <w:r>
        <w:rPr>
          <w:rFonts w:eastAsia="Times New Roman"/>
        </w:rPr>
        <w:t xml:space="preserve"> = </w:t>
      </w:r>
      <w:r w:rsidRPr="00297E0E">
        <w:rPr>
          <w:rFonts w:eastAsia="Times New Roman"/>
        </w:rPr>
        <w:t>{K</w:t>
      </w:r>
      <w:proofErr w:type="gramStart"/>
      <w:r w:rsidRPr="00297E0E">
        <w:rPr>
          <w:rFonts w:eastAsia="Times New Roman"/>
        </w:rPr>
        <w:t>0,Mapping</w:t>
      </w:r>
      <w:proofErr w:type="gramEnd"/>
      <w:r w:rsidRPr="00297E0E">
        <w:rPr>
          <w:rFonts w:eastAsia="Times New Roman"/>
        </w:rPr>
        <w:t>-type,Index-start-len,index}</w:t>
      </w:r>
    </w:p>
    <w:bookmarkEnd w:id="2"/>
    <w:p w14:paraId="51DB2DD4" w14:textId="77777777" w:rsidR="00D32F40" w:rsidRDefault="00D32F40" w:rsidP="00D32F40">
      <w:pPr>
        <w:overflowPunct/>
        <w:autoSpaceDE/>
        <w:autoSpaceDN/>
        <w:adjustRightInd/>
        <w:spacing w:after="0"/>
        <w:textAlignment w:val="auto"/>
        <w:rPr>
          <w:rFonts w:eastAsia="Times New Roman"/>
        </w:rPr>
      </w:pPr>
    </w:p>
    <w:p w14:paraId="6079EC17" w14:textId="77777777" w:rsidR="00D32F40" w:rsidRDefault="00D32F40" w:rsidP="00D32F40">
      <w:pPr>
        <w:overflowPunct/>
        <w:autoSpaceDE/>
        <w:autoSpaceDN/>
        <w:adjustRightInd/>
        <w:spacing w:after="0"/>
        <w:textAlignment w:val="auto"/>
        <w:rPr>
          <w:rFonts w:eastAsia="Times New Roman"/>
        </w:rPr>
      </w:pPr>
      <w:r>
        <w:rPr>
          <w:rFonts w:eastAsia="Times New Roman"/>
        </w:rPr>
        <w:t xml:space="preserve">However, the TS 38.214 specification [4] in </w:t>
      </w:r>
      <w:proofErr w:type="spellStart"/>
      <w:r>
        <w:rPr>
          <w:rFonts w:eastAsia="Times New Roman"/>
        </w:rPr>
        <w:t>subclauses</w:t>
      </w:r>
      <w:proofErr w:type="spellEnd"/>
      <w:r>
        <w:rPr>
          <w:rFonts w:eastAsia="Times New Roman"/>
        </w:rPr>
        <w:t xml:space="preserve"> 5.2.1.2 and 6.2.1.2 does not capture these parameters nor does it indicate a BWP specific dependence. </w:t>
      </w:r>
      <w:proofErr w:type="gramStart"/>
      <w:r>
        <w:rPr>
          <w:rFonts w:eastAsia="Times New Roman"/>
        </w:rPr>
        <w:t>Therefore</w:t>
      </w:r>
      <w:proofErr w:type="gramEnd"/>
      <w:r>
        <w:rPr>
          <w:rFonts w:eastAsia="Times New Roman"/>
        </w:rPr>
        <w:t xml:space="preserve"> we have the following proposal.</w:t>
      </w:r>
    </w:p>
    <w:p w14:paraId="40631289" w14:textId="77777777" w:rsidR="00D32F40" w:rsidRDefault="00D32F40" w:rsidP="00D32F40">
      <w:pPr>
        <w:overflowPunct/>
        <w:autoSpaceDE/>
        <w:autoSpaceDN/>
        <w:adjustRightInd/>
        <w:spacing w:after="0"/>
        <w:textAlignment w:val="auto"/>
        <w:rPr>
          <w:rFonts w:eastAsia="Times New Roman"/>
        </w:rPr>
      </w:pPr>
    </w:p>
    <w:p w14:paraId="33CAE5FD" w14:textId="01D81C34" w:rsidR="00D32F40" w:rsidRDefault="00D32F40" w:rsidP="00D32F40">
      <w:pPr>
        <w:overflowPunct/>
        <w:autoSpaceDE/>
        <w:autoSpaceDN/>
        <w:adjustRightInd/>
        <w:spacing w:after="0"/>
        <w:textAlignment w:val="auto"/>
        <w:rPr>
          <w:rFonts w:eastAsia="Times New Roman"/>
        </w:rPr>
      </w:pPr>
      <w:r w:rsidRPr="00215CFB">
        <w:rPr>
          <w:rFonts w:eastAsia="Times New Roman"/>
          <w:b/>
          <w:u w:val="single"/>
        </w:rPr>
        <w:t>Proposal 1:</w:t>
      </w:r>
      <w:r>
        <w:rPr>
          <w:rFonts w:eastAsia="Times New Roman"/>
          <w:b/>
        </w:rPr>
        <w:t xml:space="preserve"> </w:t>
      </w:r>
      <w:r w:rsidRPr="00215CFB">
        <w:rPr>
          <w:rFonts w:eastAsia="Times New Roman"/>
          <w:i/>
        </w:rPr>
        <w:t>The</w:t>
      </w:r>
      <w:r w:rsidRPr="00215CFB">
        <w:rPr>
          <w:rFonts w:eastAsia="Times New Roman"/>
          <w:b/>
          <w:i/>
        </w:rPr>
        <w:t xml:space="preserve"> </w:t>
      </w:r>
      <w:r w:rsidRPr="00215CFB">
        <w:rPr>
          <w:rFonts w:eastAsia="Times New Roman"/>
          <w:i/>
        </w:rPr>
        <w:t xml:space="preserve">TS 38.214 </w:t>
      </w:r>
      <w:proofErr w:type="spellStart"/>
      <w:r w:rsidRPr="00215CFB">
        <w:rPr>
          <w:rFonts w:eastAsia="Times New Roman"/>
          <w:i/>
        </w:rPr>
        <w:t>subclauses</w:t>
      </w:r>
      <w:proofErr w:type="spellEnd"/>
      <w:r w:rsidRPr="00215CFB">
        <w:rPr>
          <w:rFonts w:eastAsia="Times New Roman"/>
          <w:i/>
        </w:rPr>
        <w:t xml:space="preserve"> 5.2.1.2 and 6.2.1.2 should be modified to reflect the use the BWP-specific parameters below (from [2]) with regard to the time-domain resource allocation signaling. (Further modification of names for consistency between TS 38.331 and TS 38.214 may be done as long as the </w:t>
      </w:r>
      <w:r w:rsidR="00C56893">
        <w:rPr>
          <w:rFonts w:eastAsia="Times New Roman"/>
          <w:i/>
        </w:rPr>
        <w:t xml:space="preserve">overall </w:t>
      </w:r>
      <w:r w:rsidRPr="00215CFB">
        <w:rPr>
          <w:rFonts w:eastAsia="Times New Roman"/>
          <w:i/>
        </w:rPr>
        <w:t>procedure is unchanged.)</w:t>
      </w:r>
    </w:p>
    <w:p w14:paraId="09E5FB0C"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K0</w:t>
      </w:r>
    </w:p>
    <w:p w14:paraId="56DCB08F"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K2</w:t>
      </w:r>
    </w:p>
    <w:p w14:paraId="6B6E3670"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Mapping-type</w:t>
      </w:r>
    </w:p>
    <w:p w14:paraId="7E2B5461"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Index-start-</w:t>
      </w:r>
      <w:proofErr w:type="spellStart"/>
      <w:r w:rsidRPr="00304C6B">
        <w:rPr>
          <w:rFonts w:ascii="Times New Roman" w:eastAsia="Times New Roman" w:hAnsi="Times New Roman"/>
          <w:i/>
          <w:sz w:val="20"/>
        </w:rPr>
        <w:t>len</w:t>
      </w:r>
      <w:proofErr w:type="spellEnd"/>
    </w:p>
    <w:p w14:paraId="5F510A71"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index</w:t>
      </w:r>
    </w:p>
    <w:p w14:paraId="430A7EF9"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DL-data-DL-acknowledgement = {Slot-timing-value-K1}</w:t>
      </w:r>
    </w:p>
    <w:p w14:paraId="04B5DBD8" w14:textId="77777777"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UL-data-time-domain = {</w:t>
      </w:r>
      <w:proofErr w:type="gramStart"/>
      <w:r w:rsidRPr="00304C6B">
        <w:rPr>
          <w:rFonts w:ascii="Times New Roman" w:eastAsia="Times New Roman" w:hAnsi="Times New Roman"/>
          <w:i/>
          <w:sz w:val="20"/>
        </w:rPr>
        <w:t>K2,Index</w:t>
      </w:r>
      <w:proofErr w:type="gramEnd"/>
      <w:r w:rsidRPr="00304C6B">
        <w:rPr>
          <w:rFonts w:ascii="Times New Roman" w:eastAsia="Times New Roman" w:hAnsi="Times New Roman"/>
          <w:i/>
          <w:sz w:val="20"/>
        </w:rPr>
        <w:t>-start-len,index}</w:t>
      </w:r>
    </w:p>
    <w:p w14:paraId="4FBFA896" w14:textId="64454714" w:rsidR="00D32F40" w:rsidRPr="00304C6B" w:rsidRDefault="00D32F40" w:rsidP="00D32F40">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DL-data-time-domain = {K</w:t>
      </w:r>
      <w:proofErr w:type="gramStart"/>
      <w:r w:rsidRPr="00304C6B">
        <w:rPr>
          <w:rFonts w:ascii="Times New Roman" w:eastAsia="Times New Roman" w:hAnsi="Times New Roman"/>
          <w:i/>
          <w:sz w:val="20"/>
        </w:rPr>
        <w:t>0,Mapping</w:t>
      </w:r>
      <w:proofErr w:type="gramEnd"/>
      <w:r w:rsidRPr="00304C6B">
        <w:rPr>
          <w:rFonts w:ascii="Times New Roman" w:eastAsia="Times New Roman" w:hAnsi="Times New Roman"/>
          <w:i/>
          <w:sz w:val="20"/>
        </w:rPr>
        <w:t>-type,Index-start-len,index}</w:t>
      </w:r>
    </w:p>
    <w:p w14:paraId="50C4BBA0" w14:textId="12BA9012" w:rsidR="00CC266E" w:rsidRDefault="00CC266E" w:rsidP="009770BB"/>
    <w:p w14:paraId="1A35C5C1" w14:textId="1B1E6B33" w:rsidR="00CC266E" w:rsidRDefault="00CC266E" w:rsidP="009770BB">
      <w:r w:rsidRPr="009770BB">
        <w:t>In</w:t>
      </w:r>
      <w:r>
        <w:t xml:space="preserve"> RAN1 #91, there was an additional agreement on UE behavior which should be reflected in this </w:t>
      </w:r>
      <w:proofErr w:type="spellStart"/>
      <w:r w:rsidR="004951B0">
        <w:t>subclause</w:t>
      </w:r>
      <w:proofErr w:type="spellEnd"/>
      <w:r>
        <w:t xml:space="preserve"> of the specification.</w:t>
      </w:r>
    </w:p>
    <w:p w14:paraId="3F5CD14C" w14:textId="47EDE21B" w:rsidR="004951B0" w:rsidRPr="009770BB" w:rsidRDefault="004951B0" w:rsidP="004951B0">
      <w:pPr>
        <w:rPr>
          <w:b/>
          <w:u w:val="single"/>
          <w:lang w:eastAsia="x-none"/>
        </w:rPr>
      </w:pPr>
      <w:r w:rsidRPr="009770BB">
        <w:rPr>
          <w:b/>
          <w:highlight w:val="green"/>
          <w:u w:val="single"/>
          <w:lang w:eastAsia="x-none"/>
        </w:rPr>
        <w:t>Agreement</w:t>
      </w:r>
      <w:r w:rsidR="009E1CF0">
        <w:rPr>
          <w:b/>
          <w:highlight w:val="green"/>
          <w:u w:val="single"/>
          <w:lang w:eastAsia="x-none"/>
        </w:rPr>
        <w:t>s:</w:t>
      </w:r>
      <w:r w:rsidR="009E1CF0">
        <w:rPr>
          <w:b/>
          <w:u w:val="single"/>
          <w:lang w:eastAsia="x-none"/>
        </w:rPr>
        <w:t xml:space="preserve"> </w:t>
      </w:r>
    </w:p>
    <w:p w14:paraId="66D62115" w14:textId="77777777" w:rsidR="004951B0" w:rsidRPr="00374D2F" w:rsidRDefault="004951B0" w:rsidP="004951B0">
      <w:pPr>
        <w:numPr>
          <w:ilvl w:val="0"/>
          <w:numId w:val="18"/>
        </w:numPr>
        <w:overflowPunct/>
        <w:autoSpaceDE/>
        <w:autoSpaceDN/>
        <w:adjustRightInd/>
        <w:spacing w:after="0"/>
        <w:textAlignment w:val="auto"/>
        <w:rPr>
          <w:lang w:eastAsia="x-none"/>
        </w:rPr>
      </w:pPr>
      <w:bookmarkStart w:id="3" w:name="_Hlk503525615"/>
      <w:r w:rsidRPr="00374D2F">
        <w:rPr>
          <w:lang w:eastAsia="x-none"/>
        </w:rPr>
        <w:t>UE is not expected to receive PDSCH type A in the same slot if the PDCCH monitoring is after the first two or three symbols of a slot</w:t>
      </w:r>
    </w:p>
    <w:bookmarkEnd w:id="3"/>
    <w:p w14:paraId="3FBFFF9E" w14:textId="77777777" w:rsidR="004951B0" w:rsidRPr="00374D2F" w:rsidRDefault="004951B0" w:rsidP="004951B0">
      <w:pPr>
        <w:numPr>
          <w:ilvl w:val="1"/>
          <w:numId w:val="18"/>
        </w:numPr>
        <w:overflowPunct/>
        <w:autoSpaceDE/>
        <w:autoSpaceDN/>
        <w:adjustRightInd/>
        <w:spacing w:after="0"/>
        <w:textAlignment w:val="auto"/>
        <w:rPr>
          <w:lang w:eastAsia="x-none"/>
        </w:rPr>
      </w:pPr>
      <w:r w:rsidRPr="00374D2F">
        <w:rPr>
          <w:lang w:eastAsia="x-none"/>
        </w:rPr>
        <w:t>Note: PUSCH mapping is up to MIMO decision</w:t>
      </w:r>
    </w:p>
    <w:p w14:paraId="77F93900" w14:textId="35EA6660" w:rsidR="00CC266E" w:rsidRDefault="00CC266E" w:rsidP="009770BB">
      <w:pPr>
        <w:rPr>
          <w:rFonts w:eastAsia="Times New Roman"/>
        </w:rPr>
      </w:pPr>
    </w:p>
    <w:p w14:paraId="7C66446B" w14:textId="23C57534" w:rsidR="009E1CF0" w:rsidRDefault="009E1CF0" w:rsidP="009770BB">
      <w:pPr>
        <w:rPr>
          <w:rFonts w:eastAsia="Times New Roman"/>
        </w:rPr>
      </w:pPr>
      <w:r>
        <w:rPr>
          <w:rFonts w:eastAsia="Times New Roman"/>
        </w:rPr>
        <w:t>Therefore, we have the following proposal to capture this text in the specification.</w:t>
      </w:r>
    </w:p>
    <w:p w14:paraId="692E1432" w14:textId="170267F9" w:rsidR="009E1CF0" w:rsidRPr="009770BB" w:rsidRDefault="009E1CF0" w:rsidP="009770BB">
      <w:pPr>
        <w:rPr>
          <w:rFonts w:eastAsia="Times New Roman"/>
        </w:rPr>
      </w:pPr>
      <w:r w:rsidRPr="009770BB">
        <w:rPr>
          <w:rFonts w:eastAsia="Times New Roman"/>
          <w:b/>
          <w:u w:val="single"/>
        </w:rPr>
        <w:t>Proposal 2:</w:t>
      </w:r>
      <w:r>
        <w:rPr>
          <w:rFonts w:eastAsia="Times New Roman"/>
        </w:rPr>
        <w:t xml:space="preserve"> </w:t>
      </w:r>
      <w:r w:rsidRPr="009770BB">
        <w:rPr>
          <w:rFonts w:eastAsia="Times New Roman"/>
          <w:i/>
        </w:rPr>
        <w:t xml:space="preserve">The TS38.214 </w:t>
      </w:r>
      <w:proofErr w:type="spellStart"/>
      <w:r w:rsidRPr="009770BB">
        <w:rPr>
          <w:rFonts w:eastAsia="Times New Roman"/>
          <w:i/>
        </w:rPr>
        <w:t>subclause</w:t>
      </w:r>
      <w:proofErr w:type="spellEnd"/>
      <w:r w:rsidRPr="009770BB">
        <w:rPr>
          <w:rFonts w:eastAsia="Times New Roman"/>
          <w:i/>
        </w:rPr>
        <w:t xml:space="preserve"> 5.2.1.2 should have the additional text related to UE behavior, “UE is not expected to receive PDSCH type A in the same slot if the PDCCH monitoring is after the first two or three symbols of a slot”</w:t>
      </w:r>
    </w:p>
    <w:p w14:paraId="06B36866" w14:textId="77777777" w:rsidR="00D32F40" w:rsidRPr="00842C3E" w:rsidRDefault="00D32F40" w:rsidP="00D32F40">
      <w:pPr>
        <w:overflowPunct/>
        <w:autoSpaceDE/>
        <w:autoSpaceDN/>
        <w:adjustRightInd/>
        <w:spacing w:after="0"/>
        <w:textAlignment w:val="auto"/>
        <w:rPr>
          <w:rFonts w:eastAsia="Times New Roman"/>
          <w:b/>
        </w:rPr>
      </w:pPr>
    </w:p>
    <w:p w14:paraId="66FA80B0" w14:textId="146AA5B7" w:rsidR="00060B9E" w:rsidRDefault="00060B9E" w:rsidP="00060B9E">
      <w:pPr>
        <w:overflowPunct/>
        <w:autoSpaceDE/>
        <w:autoSpaceDN/>
        <w:adjustRightInd/>
        <w:spacing w:after="0"/>
        <w:textAlignment w:val="auto"/>
        <w:rPr>
          <w:rFonts w:eastAsia="Times New Roman"/>
        </w:rPr>
      </w:pPr>
      <w:r>
        <w:rPr>
          <w:rFonts w:eastAsia="Times New Roman"/>
        </w:rPr>
        <w:t xml:space="preserve">In RAN1 2017 AH#3 and later confirmed in the specification, it was decided that a cross-BWP scheduling DCI is a mechanism to trigger BWP </w:t>
      </w:r>
      <w:r w:rsidRPr="138328B3">
        <w:rPr>
          <w:rFonts w:eastAsia="Times New Roman"/>
        </w:rPr>
        <w:t>switch</w:t>
      </w:r>
      <w:r w:rsidR="138328B3" w:rsidRPr="138328B3">
        <w:rPr>
          <w:rFonts w:eastAsia="Times New Roman"/>
        </w:rPr>
        <w:t>ing</w:t>
      </w:r>
      <w:r>
        <w:rPr>
          <w:rFonts w:eastAsia="Times New Roman"/>
        </w:rPr>
        <w:t>:</w:t>
      </w:r>
    </w:p>
    <w:p w14:paraId="5B021318" w14:textId="41032BCC" w:rsidR="004357CD" w:rsidRDefault="004357CD" w:rsidP="00060B9E">
      <w:pPr>
        <w:overflowPunct/>
        <w:autoSpaceDE/>
        <w:autoSpaceDN/>
        <w:adjustRightInd/>
        <w:spacing w:after="0"/>
        <w:textAlignment w:val="auto"/>
        <w:rPr>
          <w:rFonts w:eastAsia="Times New Roman"/>
        </w:rPr>
      </w:pPr>
    </w:p>
    <w:p w14:paraId="31B409D3" w14:textId="0B845482" w:rsidR="004357CD" w:rsidRPr="009770BB" w:rsidRDefault="004357CD" w:rsidP="009770BB">
      <w:pPr>
        <w:rPr>
          <w:lang w:eastAsia="zh-TW"/>
        </w:rPr>
      </w:pPr>
      <w:r w:rsidRPr="001D7BF6">
        <w:rPr>
          <w:b/>
          <w:highlight w:val="green"/>
          <w:u w:val="single"/>
          <w:lang w:eastAsia="zh-TW"/>
        </w:rPr>
        <w:t>Agreement</w:t>
      </w:r>
      <w:r>
        <w:rPr>
          <w:b/>
          <w:highlight w:val="green"/>
          <w:u w:val="single"/>
          <w:lang w:eastAsia="zh-TW"/>
        </w:rPr>
        <w:t>s:</w:t>
      </w:r>
    </w:p>
    <w:p w14:paraId="3327C192" w14:textId="77777777" w:rsidR="00060B9E" w:rsidRDefault="00060B9E" w:rsidP="00060B9E">
      <w:pPr>
        <w:numPr>
          <w:ilvl w:val="0"/>
          <w:numId w:val="17"/>
        </w:numPr>
        <w:tabs>
          <w:tab w:val="left" w:pos="1440"/>
        </w:tabs>
        <w:overflowPunct/>
        <w:autoSpaceDE/>
        <w:autoSpaceDN/>
        <w:adjustRightInd/>
        <w:spacing w:after="0"/>
        <w:textAlignment w:val="auto"/>
        <w:rPr>
          <w:rFonts w:eastAsia="MS Mincho"/>
          <w:iCs/>
          <w:lang w:eastAsia="ja-JP"/>
        </w:rPr>
      </w:pPr>
      <w:r>
        <w:rPr>
          <w:rFonts w:eastAsia="MS Mincho"/>
          <w:iCs/>
          <w:lang w:eastAsia="ja-JP"/>
        </w:rPr>
        <w:t>NR supports the case that a single scheduling DCI can switch the UE’s active BWP from one to another (of the same link direction) within a given serving cell</w:t>
      </w:r>
    </w:p>
    <w:p w14:paraId="1739CB85" w14:textId="77777777" w:rsidR="00060B9E" w:rsidRDefault="00060B9E" w:rsidP="00060B9E">
      <w:pPr>
        <w:numPr>
          <w:ilvl w:val="1"/>
          <w:numId w:val="17"/>
        </w:numPr>
        <w:tabs>
          <w:tab w:val="left" w:pos="1440"/>
        </w:tabs>
        <w:overflowPunct/>
        <w:autoSpaceDE/>
        <w:autoSpaceDN/>
        <w:adjustRightInd/>
        <w:spacing w:after="120"/>
        <w:ind w:left="1434" w:hanging="357"/>
        <w:textAlignment w:val="auto"/>
        <w:rPr>
          <w:rFonts w:eastAsia="MS Mincho"/>
          <w:iCs/>
          <w:lang w:eastAsia="ja-JP"/>
        </w:rPr>
      </w:pPr>
      <w:r>
        <w:rPr>
          <w:rFonts w:eastAsia="MS Mincho"/>
          <w:iCs/>
          <w:lang w:eastAsia="ja-JP"/>
        </w:rPr>
        <w:t>FFS whether &amp; how for active BWP switching only without scheduling (including the case of UL scheduling without UL-SCH)</w:t>
      </w:r>
    </w:p>
    <w:p w14:paraId="5C8CB0FD" w14:textId="6C6AEE36" w:rsidR="00060B9E" w:rsidRDefault="138328B3" w:rsidP="00060B9E">
      <w:pPr>
        <w:overflowPunct/>
        <w:autoSpaceDE/>
        <w:autoSpaceDN/>
        <w:adjustRightInd/>
        <w:spacing w:after="0"/>
        <w:textAlignment w:val="auto"/>
        <w:rPr>
          <w:rFonts w:eastAsia="Times New Roman"/>
        </w:rPr>
      </w:pPr>
      <w:r w:rsidRPr="138328B3">
        <w:rPr>
          <w:rFonts w:eastAsia="Times New Roman"/>
        </w:rPr>
        <w:t>For</w:t>
      </w:r>
      <w:r w:rsidR="00060B9E">
        <w:rPr>
          <w:rFonts w:eastAsia="Times New Roman"/>
        </w:rPr>
        <w:t xml:space="preserve"> BWP switching, such cross-BWP scheduling DCI would have an indication of K0 or K2 for the delay between the DCI received in the original BWP, and the scheduled PDSCH or PUSCH respectively in the target BWP. As a result, K0 and K2 must support values that can at least accommodate BWP transition latency (for DL BWP and UL BWP switching respectively). In RAN1 #91, an LS (</w:t>
      </w:r>
      <w:r w:rsidR="00060B9E" w:rsidRPr="00B2517A">
        <w:rPr>
          <w:rFonts w:eastAsia="Times New Roman"/>
        </w:rPr>
        <w:t>R1-1721712</w:t>
      </w:r>
      <w:r w:rsidR="00060B9E">
        <w:rPr>
          <w:rFonts w:eastAsia="Times New Roman"/>
        </w:rPr>
        <w:t xml:space="preserve">) was sent to RAN4 to determine BWP transition latency. Given that there has not been closure on the issue of BWP transition latency, it would be prudent to assume supporting a reasonably large </w:t>
      </w:r>
      <w:proofErr w:type="spellStart"/>
      <w:r w:rsidR="00060B9E">
        <w:rPr>
          <w:rFonts w:eastAsia="Times New Roman"/>
        </w:rPr>
        <w:t>upperbound</w:t>
      </w:r>
      <w:proofErr w:type="spellEnd"/>
      <w:r w:rsidR="00060B9E">
        <w:rPr>
          <w:rFonts w:eastAsia="Times New Roman"/>
        </w:rPr>
        <w:t xml:space="preserve"> for K0 and K2. It should be taken into consideration that K0/K2 are defined in slots which is numerology dependent, while BWP transition latency may not scale with numerology. Additionally, it was discussed</w:t>
      </w:r>
      <w:r w:rsidR="00506803">
        <w:rPr>
          <w:rFonts w:eastAsia="Times New Roman"/>
        </w:rPr>
        <w:t xml:space="preserve"> in [7]</w:t>
      </w:r>
      <w:r w:rsidR="00060B9E">
        <w:rPr>
          <w:rFonts w:eastAsia="Times New Roman"/>
        </w:rPr>
        <w:t xml:space="preserve"> that BWP-specific configurability for the values of K0/K2 were introduced so that a larger K0/K2 value can allow a BWP configuration to be further optimized for PDCCH monitoring, because it can take advantage of more time to transition to a </w:t>
      </w:r>
      <w:r w:rsidR="00060B9E">
        <w:rPr>
          <w:rFonts w:eastAsia="Times New Roman"/>
        </w:rPr>
        <w:lastRenderedPageBreak/>
        <w:t>BWP configuration supporting high data throughput in case large amount of data is scheduled. The field in DCI would allow 2-bits for indexing K0 values, but the value of K0 should not necessarily be constrained to values in the range of {0,1,2,3}; Likewise, 3-bits is allowed for indexing K2 values, but the value of K2 should not necessarily be constrained to the range of {0,</w:t>
      </w:r>
      <w:proofErr w:type="gramStart"/>
      <w:r w:rsidR="00060B9E">
        <w:rPr>
          <w:rFonts w:eastAsia="Times New Roman"/>
        </w:rPr>
        <w:t>1,2,…</w:t>
      </w:r>
      <w:proofErr w:type="gramEnd"/>
      <w:r w:rsidR="00060B9E">
        <w:rPr>
          <w:rFonts w:eastAsia="Times New Roman"/>
        </w:rPr>
        <w:t>,7}. Taking all of the above considerations into account, we propose the following change to the configurability of K0 and K2 to address this, subject to further confirmation based on RAN4’s update and decision on BWP transition latency.</w:t>
      </w:r>
    </w:p>
    <w:p w14:paraId="2BB8C5BB" w14:textId="3A06155D" w:rsidR="00D32F40" w:rsidRDefault="00D32F40" w:rsidP="00060B9E">
      <w:pPr>
        <w:overflowPunct/>
        <w:autoSpaceDE/>
        <w:autoSpaceDN/>
        <w:adjustRightInd/>
        <w:spacing w:after="0"/>
        <w:textAlignment w:val="auto"/>
        <w:rPr>
          <w:rFonts w:eastAsia="Times New Roman"/>
        </w:rPr>
      </w:pPr>
    </w:p>
    <w:p w14:paraId="6A866502" w14:textId="77777777" w:rsidR="00D32F40" w:rsidRDefault="00D32F40" w:rsidP="00D32F40">
      <w:pPr>
        <w:overflowPunct/>
        <w:autoSpaceDE/>
        <w:autoSpaceDN/>
        <w:adjustRightInd/>
        <w:spacing w:after="0"/>
        <w:textAlignment w:val="auto"/>
        <w:rPr>
          <w:rFonts w:eastAsia="Times New Roman"/>
        </w:rPr>
      </w:pPr>
    </w:p>
    <w:p w14:paraId="40DDE1E8" w14:textId="10126563" w:rsidR="00D32F40" w:rsidRPr="00741B31" w:rsidRDefault="00D32F40" w:rsidP="007057F6">
      <w:pPr>
        <w:overflowPunct/>
        <w:autoSpaceDE/>
        <w:autoSpaceDN/>
        <w:adjustRightInd/>
        <w:spacing w:after="0"/>
        <w:textAlignment w:val="auto"/>
        <w:rPr>
          <w:rFonts w:eastAsia="Times New Roman"/>
          <w:b/>
          <w:u w:val="single"/>
        </w:rPr>
      </w:pPr>
      <w:r w:rsidRPr="00741B31">
        <w:rPr>
          <w:rFonts w:eastAsia="Times New Roman"/>
          <w:b/>
          <w:u w:val="single"/>
        </w:rPr>
        <w:t xml:space="preserve">Proposal </w:t>
      </w:r>
      <w:r w:rsidR="007057F6">
        <w:rPr>
          <w:rFonts w:eastAsia="Times New Roman"/>
          <w:b/>
          <w:u w:val="single"/>
        </w:rPr>
        <w:t>3</w:t>
      </w:r>
      <w:r w:rsidRPr="00741B31">
        <w:rPr>
          <w:rFonts w:eastAsia="Times New Roman"/>
          <w:b/>
          <w:u w:val="single"/>
        </w:rPr>
        <w:t xml:space="preserve">: </w:t>
      </w:r>
      <w:r w:rsidRPr="00741B31">
        <w:rPr>
          <w:rFonts w:eastAsia="Times New Roman"/>
          <w:i/>
        </w:rPr>
        <w:t>The values of K0 which can be configured by RRC (to be indexed by 2 bits in DCI) should include {0,1,</w:t>
      </w:r>
      <w:proofErr w:type="gramStart"/>
      <w:r w:rsidRPr="00741B31">
        <w:rPr>
          <w:rFonts w:eastAsia="Times New Roman"/>
          <w:i/>
        </w:rPr>
        <w:t>2,3,</w:t>
      </w:r>
      <w:r w:rsidR="00C55A08" w:rsidRPr="009770BB">
        <w:rPr>
          <w:rFonts w:eastAsia="Times New Roman"/>
          <w:i/>
        </w:rPr>
        <w:t>..</w:t>
      </w:r>
      <w:proofErr w:type="gramEnd"/>
      <w:r w:rsidR="00C55A08" w:rsidRPr="009770BB">
        <w:rPr>
          <w:rFonts w:eastAsia="Times New Roman"/>
          <w:i/>
        </w:rPr>
        <w:t>,</w:t>
      </w:r>
      <w:r w:rsidR="008943B9" w:rsidRPr="009770BB">
        <w:rPr>
          <w:rFonts w:eastAsia="Times New Roman"/>
          <w:i/>
        </w:rPr>
        <w:t>[</w:t>
      </w:r>
      <w:r w:rsidR="138328B3" w:rsidRPr="009770BB">
        <w:rPr>
          <w:rFonts w:eastAsia="Times New Roman"/>
          <w:i/>
          <w:iCs/>
        </w:rPr>
        <w:t>40</w:t>
      </w:r>
      <w:r w:rsidR="008943B9" w:rsidRPr="009770BB">
        <w:rPr>
          <w:rFonts w:eastAsia="Times New Roman"/>
          <w:i/>
        </w:rPr>
        <w:t>]</w:t>
      </w:r>
      <w:r w:rsidRPr="00741B31">
        <w:rPr>
          <w:rFonts w:eastAsia="Times New Roman"/>
          <w:i/>
        </w:rPr>
        <w:t>}</w:t>
      </w:r>
      <w:r w:rsidR="007057F6" w:rsidRPr="00AF045F">
        <w:rPr>
          <w:rFonts w:eastAsia="Times New Roman"/>
        </w:rPr>
        <w:t xml:space="preserve">. </w:t>
      </w:r>
      <w:r w:rsidR="00060B9E" w:rsidRPr="00741B31">
        <w:rPr>
          <w:rFonts w:eastAsia="Times New Roman"/>
          <w:i/>
        </w:rPr>
        <w:t>The values of K2 which can be configured by RRC (to be indexed by 3 bits in DCI) should include {0,1,</w:t>
      </w:r>
      <w:proofErr w:type="gramStart"/>
      <w:r w:rsidR="00060B9E" w:rsidRPr="00741B31">
        <w:rPr>
          <w:rFonts w:eastAsia="Times New Roman"/>
          <w:i/>
        </w:rPr>
        <w:t>2,3,</w:t>
      </w:r>
      <w:r w:rsidR="00060B9E" w:rsidRPr="009770BB">
        <w:rPr>
          <w:rFonts w:eastAsia="Times New Roman"/>
          <w:i/>
        </w:rPr>
        <w:t>..</w:t>
      </w:r>
      <w:proofErr w:type="gramEnd"/>
      <w:r w:rsidR="00060B9E" w:rsidRPr="009770BB">
        <w:rPr>
          <w:rFonts w:eastAsia="Times New Roman"/>
          <w:i/>
        </w:rPr>
        <w:t>,</w:t>
      </w:r>
      <w:r w:rsidR="008943B9" w:rsidRPr="009770BB">
        <w:rPr>
          <w:rFonts w:eastAsia="Times New Roman"/>
          <w:i/>
        </w:rPr>
        <w:t>[</w:t>
      </w:r>
      <w:r w:rsidR="138328B3" w:rsidRPr="009770BB">
        <w:rPr>
          <w:rFonts w:eastAsia="Times New Roman"/>
          <w:i/>
          <w:iCs/>
        </w:rPr>
        <w:t>40</w:t>
      </w:r>
      <w:r w:rsidR="008943B9" w:rsidRPr="009770BB">
        <w:rPr>
          <w:rFonts w:eastAsia="Times New Roman"/>
          <w:i/>
        </w:rPr>
        <w:t>]</w:t>
      </w:r>
      <w:r w:rsidR="00060B9E" w:rsidRPr="00741B31">
        <w:rPr>
          <w:rFonts w:eastAsia="Times New Roman"/>
          <w:i/>
        </w:rPr>
        <w:t>}</w:t>
      </w:r>
      <w:r w:rsidR="00304C6B">
        <w:rPr>
          <w:rFonts w:eastAsia="Times New Roman"/>
          <w:i/>
        </w:rPr>
        <w:t>.</w:t>
      </w:r>
    </w:p>
    <w:p w14:paraId="1B305581" w14:textId="77777777" w:rsidR="00D32F40" w:rsidRDefault="00D32F40" w:rsidP="00D32F40">
      <w:pPr>
        <w:overflowPunct/>
        <w:autoSpaceDE/>
        <w:autoSpaceDN/>
        <w:adjustRightInd/>
        <w:spacing w:after="0"/>
        <w:textAlignment w:val="auto"/>
        <w:rPr>
          <w:rFonts w:eastAsia="Times New Roman"/>
        </w:rPr>
      </w:pPr>
    </w:p>
    <w:p w14:paraId="284CEFA3" w14:textId="77777777" w:rsidR="00D32F40" w:rsidRDefault="00D32F40" w:rsidP="00D32F40">
      <w:pPr>
        <w:overflowPunct/>
        <w:autoSpaceDE/>
        <w:autoSpaceDN/>
        <w:adjustRightInd/>
        <w:spacing w:after="0"/>
        <w:textAlignment w:val="auto"/>
        <w:rPr>
          <w:rFonts w:eastAsia="Times New Roman"/>
        </w:rPr>
      </w:pPr>
      <w:r>
        <w:rPr>
          <w:rFonts w:eastAsia="Times New Roman"/>
        </w:rPr>
        <w:t xml:space="preserve">The notion of slot aggregation so far has only been realized in the following agreed procedure. However, this is also not accurately captured in TS 38.214. The main agreement from RAN1 </w:t>
      </w:r>
      <w:proofErr w:type="spellStart"/>
      <w:r>
        <w:rPr>
          <w:rFonts w:eastAsia="Times New Roman"/>
        </w:rPr>
        <w:t>AdHoc</w:t>
      </w:r>
      <w:proofErr w:type="spellEnd"/>
      <w:r>
        <w:rPr>
          <w:rFonts w:eastAsia="Times New Roman"/>
        </w:rPr>
        <w:t xml:space="preserve"> #3 is mentioned below although further agreements from subsequent meetings should also be captured (they are not listed here for brevity).</w:t>
      </w:r>
    </w:p>
    <w:p w14:paraId="2A91F56A" w14:textId="77777777" w:rsidR="00D32F40" w:rsidRPr="008217A1" w:rsidRDefault="00D32F40" w:rsidP="00D32F40">
      <w:pPr>
        <w:overflowPunct/>
        <w:autoSpaceDE/>
        <w:autoSpaceDN/>
        <w:adjustRightInd/>
        <w:spacing w:after="0"/>
        <w:textAlignment w:val="auto"/>
        <w:rPr>
          <w:rFonts w:eastAsia="Times New Roman"/>
        </w:rPr>
      </w:pPr>
    </w:p>
    <w:p w14:paraId="3C80BC00" w14:textId="77777777" w:rsidR="00D32F40" w:rsidRPr="00E76910" w:rsidRDefault="00D32F40" w:rsidP="00D32F40">
      <w:pPr>
        <w:rPr>
          <w:b/>
          <w:u w:val="single"/>
        </w:rPr>
      </w:pPr>
      <w:r w:rsidRPr="00E76910">
        <w:rPr>
          <w:b/>
          <w:iCs/>
          <w:highlight w:val="green"/>
          <w:u w:val="single"/>
        </w:rPr>
        <w:t>Agreements:</w:t>
      </w:r>
    </w:p>
    <w:p w14:paraId="31B91355" w14:textId="77777777" w:rsidR="00D32F40" w:rsidRPr="00E76910" w:rsidRDefault="00D32F40" w:rsidP="00D32F40">
      <w:pPr>
        <w:numPr>
          <w:ilvl w:val="0"/>
          <w:numId w:val="6"/>
        </w:numPr>
        <w:tabs>
          <w:tab w:val="clear" w:pos="720"/>
          <w:tab w:val="num" w:pos="-1080"/>
        </w:tabs>
        <w:overflowPunct/>
        <w:autoSpaceDE/>
        <w:autoSpaceDN/>
        <w:adjustRightInd/>
        <w:spacing w:after="0"/>
        <w:textAlignment w:val="auto"/>
      </w:pPr>
      <w:r w:rsidRPr="00E76910">
        <w:rPr>
          <w:bCs/>
          <w:iCs/>
        </w:rPr>
        <w:t>For grant-based DL or UL, transmissions where a TB spans multiple slots or mini-slots can be composed of repetitions of the TB</w:t>
      </w:r>
    </w:p>
    <w:p w14:paraId="24277AB9" w14:textId="77777777" w:rsidR="00D32F40" w:rsidRPr="00E76910" w:rsidRDefault="00D32F40" w:rsidP="00D32F40">
      <w:pPr>
        <w:numPr>
          <w:ilvl w:val="1"/>
          <w:numId w:val="6"/>
        </w:numPr>
        <w:tabs>
          <w:tab w:val="clear" w:pos="1440"/>
          <w:tab w:val="num" w:pos="-360"/>
        </w:tabs>
        <w:overflowPunct/>
        <w:autoSpaceDE/>
        <w:autoSpaceDN/>
        <w:adjustRightInd/>
        <w:spacing w:after="0"/>
        <w:textAlignment w:val="auto"/>
      </w:pPr>
      <w:r w:rsidRPr="00E76910">
        <w:rPr>
          <w:bCs/>
          <w:iCs/>
        </w:rPr>
        <w:t xml:space="preserve">The repetitions follow an RV sequence </w:t>
      </w:r>
    </w:p>
    <w:p w14:paraId="199BD2B1" w14:textId="77777777" w:rsidR="00D32F40" w:rsidRPr="00E76910" w:rsidRDefault="00D32F40" w:rsidP="00D32F40">
      <w:pPr>
        <w:numPr>
          <w:ilvl w:val="2"/>
          <w:numId w:val="6"/>
        </w:numPr>
        <w:tabs>
          <w:tab w:val="clear" w:pos="2160"/>
          <w:tab w:val="num" w:pos="360"/>
        </w:tabs>
        <w:overflowPunct/>
        <w:autoSpaceDE/>
        <w:autoSpaceDN/>
        <w:adjustRightInd/>
        <w:spacing w:after="0"/>
        <w:textAlignment w:val="auto"/>
      </w:pPr>
      <w:r w:rsidRPr="00E76910">
        <w:rPr>
          <w:iCs/>
        </w:rPr>
        <w:t>FFS how the sequence is defined in specification</w:t>
      </w:r>
    </w:p>
    <w:p w14:paraId="09EE8EB8" w14:textId="77777777" w:rsidR="00D32F40" w:rsidRPr="00E76910" w:rsidRDefault="00D32F40" w:rsidP="00D32F40">
      <w:pPr>
        <w:numPr>
          <w:ilvl w:val="1"/>
          <w:numId w:val="6"/>
        </w:numPr>
        <w:tabs>
          <w:tab w:val="clear" w:pos="1440"/>
          <w:tab w:val="num" w:pos="-360"/>
        </w:tabs>
        <w:overflowPunct/>
        <w:autoSpaceDE/>
        <w:autoSpaceDN/>
        <w:adjustRightInd/>
        <w:spacing w:after="0"/>
        <w:textAlignment w:val="auto"/>
      </w:pPr>
      <w:r w:rsidRPr="00E76910">
        <w:rPr>
          <w:iCs/>
        </w:rPr>
        <w:t>FFS if there is one repetition of the TB per slot in the case of repetitions using mini-slots</w:t>
      </w:r>
    </w:p>
    <w:p w14:paraId="1FE5E816" w14:textId="00A16184" w:rsidR="00D32F40" w:rsidRPr="009770BB" w:rsidRDefault="00D32F40" w:rsidP="00D32F40">
      <w:pPr>
        <w:numPr>
          <w:ilvl w:val="1"/>
          <w:numId w:val="6"/>
        </w:numPr>
        <w:tabs>
          <w:tab w:val="clear" w:pos="1440"/>
          <w:tab w:val="num" w:pos="-360"/>
        </w:tabs>
        <w:overflowPunct/>
        <w:autoSpaceDE/>
        <w:autoSpaceDN/>
        <w:adjustRightInd/>
        <w:spacing w:after="0"/>
        <w:textAlignment w:val="auto"/>
      </w:pPr>
      <w:r w:rsidRPr="00E76910">
        <w:rPr>
          <w:iCs/>
        </w:rPr>
        <w:t>FFS for grant-based DL or UL transmissions, if a TB can span multiple slots without repetitions</w:t>
      </w:r>
    </w:p>
    <w:p w14:paraId="4A26ACD1" w14:textId="71420435" w:rsidR="00013353" w:rsidRDefault="00013353" w:rsidP="009770BB">
      <w:pPr>
        <w:overflowPunct/>
        <w:autoSpaceDE/>
        <w:autoSpaceDN/>
        <w:adjustRightInd/>
        <w:spacing w:after="0"/>
        <w:textAlignment w:val="auto"/>
      </w:pPr>
    </w:p>
    <w:p w14:paraId="0CA86263" w14:textId="2D3B0FCD" w:rsidR="00013353" w:rsidRPr="008217A1" w:rsidRDefault="00013353" w:rsidP="009770BB">
      <w:pPr>
        <w:overflowPunct/>
        <w:autoSpaceDE/>
        <w:autoSpaceDN/>
        <w:adjustRightInd/>
        <w:spacing w:after="0"/>
        <w:textAlignment w:val="auto"/>
      </w:pPr>
      <w:r>
        <w:t>Moreover, this case of repetition is clearly suitable for link budget purposes, and as such would be better suited to rank-1 transmission.</w:t>
      </w:r>
      <w:r w:rsidR="00AF045F">
        <w:t xml:space="preserve"> Also, the signaling for the RV sequence in the case of granted transmission was not clearly specified from past agreements.</w:t>
      </w:r>
    </w:p>
    <w:p w14:paraId="52055328" w14:textId="77777777" w:rsidR="00D32F40" w:rsidRDefault="00D32F40" w:rsidP="00D32F40">
      <w:pPr>
        <w:overflowPunct/>
        <w:autoSpaceDE/>
        <w:autoSpaceDN/>
        <w:adjustRightInd/>
        <w:spacing w:after="0"/>
        <w:textAlignment w:val="auto"/>
        <w:rPr>
          <w:iCs/>
        </w:rPr>
      </w:pPr>
    </w:p>
    <w:p w14:paraId="17728643" w14:textId="52B8D052" w:rsidR="00013353" w:rsidRDefault="001C39E9" w:rsidP="00D32F40">
      <w:pPr>
        <w:overflowPunct/>
        <w:autoSpaceDE/>
        <w:autoSpaceDN/>
        <w:adjustRightInd/>
        <w:spacing w:after="0"/>
        <w:textAlignment w:val="auto"/>
        <w:rPr>
          <w:b/>
          <w:iCs/>
        </w:rPr>
      </w:pPr>
      <w:r>
        <w:rPr>
          <w:b/>
          <w:iCs/>
          <w:u w:val="single"/>
        </w:rPr>
        <w:t>Proposal 4</w:t>
      </w:r>
      <w:r w:rsidR="00D32F40" w:rsidRPr="0013051F">
        <w:rPr>
          <w:b/>
          <w:iCs/>
          <w:u w:val="single"/>
        </w:rPr>
        <w:t>:</w:t>
      </w:r>
      <w:r w:rsidR="00D32F40" w:rsidRPr="009770BB">
        <w:rPr>
          <w:i/>
          <w:iCs/>
        </w:rPr>
        <w:t xml:space="preserve"> </w:t>
      </w:r>
      <w:r w:rsidR="00013353" w:rsidRPr="009770BB">
        <w:rPr>
          <w:i/>
          <w:iCs/>
        </w:rPr>
        <w:t xml:space="preserve">Regarding the support of </w:t>
      </w:r>
      <w:r w:rsidR="00D75249">
        <w:rPr>
          <w:i/>
          <w:iCs/>
        </w:rPr>
        <w:t xml:space="preserve">TB </w:t>
      </w:r>
      <w:r w:rsidR="00013353" w:rsidRPr="009770BB">
        <w:rPr>
          <w:i/>
          <w:iCs/>
        </w:rPr>
        <w:t>repetition</w:t>
      </w:r>
      <w:r w:rsidR="00D75249">
        <w:rPr>
          <w:i/>
          <w:iCs/>
        </w:rPr>
        <w:t xml:space="preserve"> spanning multiple slots or mini-slots</w:t>
      </w:r>
      <w:r w:rsidR="00013353" w:rsidRPr="009770BB">
        <w:rPr>
          <w:i/>
          <w:iCs/>
        </w:rPr>
        <w:t xml:space="preserve"> in NR specification</w:t>
      </w:r>
    </w:p>
    <w:p w14:paraId="79985876" w14:textId="4A702E90" w:rsidR="00013353" w:rsidRPr="00AF045F" w:rsidRDefault="00013353" w:rsidP="009770BB">
      <w:pPr>
        <w:pStyle w:val="ListParagraph"/>
        <w:numPr>
          <w:ilvl w:val="0"/>
          <w:numId w:val="19"/>
        </w:numPr>
        <w:rPr>
          <w:rFonts w:ascii="Times New Roman" w:hAnsi="Times New Roman"/>
          <w:sz w:val="20"/>
        </w:rPr>
      </w:pPr>
      <w:r w:rsidRPr="00AF045F">
        <w:rPr>
          <w:rFonts w:ascii="Times New Roman" w:hAnsi="Times New Roman"/>
          <w:i/>
          <w:sz w:val="20"/>
        </w:rPr>
        <w:t>When the UE is configured for repetition either on the downlink or the uplink, the maximum rank supported is 1.</w:t>
      </w:r>
    </w:p>
    <w:p w14:paraId="4CB72DD1" w14:textId="136884CA" w:rsidR="00AF045F" w:rsidRPr="00280362" w:rsidRDefault="00280362" w:rsidP="009770BB">
      <w:pPr>
        <w:pStyle w:val="ListParagraph"/>
        <w:numPr>
          <w:ilvl w:val="0"/>
          <w:numId w:val="19"/>
        </w:numPr>
        <w:rPr>
          <w:rFonts w:ascii="Times New Roman" w:hAnsi="Times New Roman"/>
          <w:i/>
          <w:sz w:val="20"/>
        </w:rPr>
      </w:pPr>
      <w:r w:rsidRPr="00280362">
        <w:rPr>
          <w:rFonts w:ascii="Times New Roman" w:hAnsi="Times New Roman"/>
          <w:i/>
          <w:sz w:val="20"/>
        </w:rPr>
        <w:t xml:space="preserve">The </w:t>
      </w:r>
      <w:r>
        <w:rPr>
          <w:rFonts w:ascii="Times New Roman" w:hAnsi="Times New Roman"/>
          <w:i/>
          <w:sz w:val="20"/>
        </w:rPr>
        <w:t xml:space="preserve">RV field in </w:t>
      </w:r>
      <w:r w:rsidRPr="00280362">
        <w:rPr>
          <w:rFonts w:ascii="Times New Roman" w:hAnsi="Times New Roman"/>
          <w:i/>
          <w:sz w:val="20"/>
        </w:rPr>
        <w:t>DCI</w:t>
      </w:r>
      <w:r>
        <w:rPr>
          <w:rFonts w:ascii="Times New Roman" w:hAnsi="Times New Roman"/>
          <w:i/>
          <w:sz w:val="20"/>
        </w:rPr>
        <w:t xml:space="preserve"> should correspond to the index among a set of configurable RV sequences to be used for the repetition.</w:t>
      </w:r>
    </w:p>
    <w:p w14:paraId="31540418" w14:textId="4B8A24B1" w:rsidR="00D32F40" w:rsidRPr="008217A1" w:rsidRDefault="00D32F40" w:rsidP="009770BB">
      <w:pPr>
        <w:pStyle w:val="ListParagraph"/>
        <w:numPr>
          <w:ilvl w:val="0"/>
          <w:numId w:val="19"/>
        </w:numPr>
      </w:pPr>
      <w:r w:rsidRPr="00AF045F">
        <w:rPr>
          <w:rFonts w:ascii="Times New Roman" w:hAnsi="Times New Roman"/>
          <w:i/>
          <w:iCs/>
          <w:sz w:val="20"/>
        </w:rPr>
        <w:t xml:space="preserve">In TS 38.214 </w:t>
      </w:r>
      <w:proofErr w:type="spellStart"/>
      <w:r w:rsidRPr="00AF045F">
        <w:rPr>
          <w:rFonts w:ascii="Times New Roman" w:hAnsi="Times New Roman"/>
          <w:i/>
          <w:iCs/>
          <w:sz w:val="20"/>
        </w:rPr>
        <w:t>subclause</w:t>
      </w:r>
      <w:proofErr w:type="spellEnd"/>
      <w:r w:rsidRPr="00AF045F">
        <w:rPr>
          <w:rFonts w:ascii="Times New Roman" w:hAnsi="Times New Roman"/>
          <w:i/>
          <w:iCs/>
          <w:sz w:val="20"/>
        </w:rPr>
        <w:t xml:space="preserve"> 5.1.2.1, when the parameter </w:t>
      </w:r>
      <w:r w:rsidRPr="00AF045F">
        <w:rPr>
          <w:rFonts w:ascii="Times New Roman" w:hAnsi="Times New Roman"/>
          <w:i/>
          <w:color w:val="000000"/>
          <w:sz w:val="20"/>
        </w:rPr>
        <w:t>aggregation-factor-DL</w:t>
      </w:r>
      <w:r w:rsidRPr="00AF045F">
        <w:rPr>
          <w:rFonts w:ascii="Times New Roman" w:hAnsi="Times New Roman"/>
          <w:i/>
          <w:iCs/>
          <w:sz w:val="20"/>
        </w:rPr>
        <w:t xml:space="preserve"> is set &gt; 1, it should be indicated in the text that the repetition of the TB is assumed across those number of aggregated slots. A similar text should appear in 6.1.2.1 with respect to the parameter </w:t>
      </w:r>
      <w:r w:rsidRPr="00AF045F">
        <w:rPr>
          <w:rFonts w:ascii="Times New Roman" w:hAnsi="Times New Roman"/>
          <w:i/>
          <w:color w:val="000000"/>
          <w:sz w:val="20"/>
        </w:rPr>
        <w:t>aggregation-factor-UL. Further details of the</w:t>
      </w:r>
      <w:r w:rsidR="00B97491">
        <w:rPr>
          <w:rFonts w:ascii="Times New Roman" w:hAnsi="Times New Roman"/>
          <w:i/>
          <w:color w:val="000000"/>
          <w:sz w:val="20"/>
        </w:rPr>
        <w:t xml:space="preserve"> rank and</w:t>
      </w:r>
      <w:r w:rsidRPr="00AF045F">
        <w:rPr>
          <w:rFonts w:ascii="Times New Roman" w:hAnsi="Times New Roman"/>
          <w:i/>
          <w:color w:val="000000"/>
          <w:sz w:val="20"/>
        </w:rPr>
        <w:t xml:space="preserve"> RV sequence to use in the repetition should be included consistent with RAN1 agreements</w:t>
      </w:r>
      <w:r w:rsidR="00DF628F">
        <w:rPr>
          <w:rFonts w:ascii="Times New Roman" w:hAnsi="Times New Roman"/>
          <w:i/>
          <w:color w:val="000000"/>
          <w:sz w:val="20"/>
        </w:rPr>
        <w:t xml:space="preserve"> and the above proposals.</w:t>
      </w:r>
    </w:p>
    <w:p w14:paraId="7F2DC908" w14:textId="77777777" w:rsidR="00D32F40" w:rsidRPr="00F33315" w:rsidRDefault="00D32F40" w:rsidP="00D32F40"/>
    <w:p w14:paraId="1A864094" w14:textId="77777777" w:rsidR="00D32F40" w:rsidRPr="004E2428" w:rsidRDefault="00D32F40" w:rsidP="00D32F40">
      <w:pPr>
        <w:pStyle w:val="Heading1"/>
      </w:pPr>
      <w:r w:rsidRPr="004E2428">
        <w:t>Frequency domain resource allocation</w:t>
      </w:r>
    </w:p>
    <w:p w14:paraId="2B682D3B" w14:textId="77777777" w:rsidR="00D32F40" w:rsidRPr="00CF6565" w:rsidRDefault="00D32F40" w:rsidP="00D32F40">
      <w:pPr>
        <w:rPr>
          <w:lang w:val="en-GB"/>
        </w:rPr>
      </w:pPr>
      <w:r>
        <w:rPr>
          <w:lang w:val="en-GB"/>
        </w:rPr>
        <w:t>The following agreement was made at RAN1 #90bis [5] regarding frequency domain resource allocation.</w:t>
      </w:r>
    </w:p>
    <w:p w14:paraId="569C0481" w14:textId="77777777" w:rsidR="00D32F40" w:rsidRPr="00373287" w:rsidRDefault="00D32F40" w:rsidP="00D32F40">
      <w:pPr>
        <w:rPr>
          <w:b/>
          <w:highlight w:val="green"/>
          <w:u w:val="single"/>
        </w:rPr>
      </w:pPr>
      <w:r w:rsidRPr="00373287">
        <w:rPr>
          <w:b/>
          <w:highlight w:val="green"/>
          <w:u w:val="single"/>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32F40" w14:paraId="1B3A1470" w14:textId="77777777" w:rsidTr="007A3343">
        <w:tc>
          <w:tcPr>
            <w:tcW w:w="1980" w:type="dxa"/>
            <w:tcBorders>
              <w:top w:val="single" w:sz="4" w:space="0" w:color="auto"/>
              <w:left w:val="single" w:sz="4" w:space="0" w:color="auto"/>
              <w:bottom w:val="single" w:sz="4" w:space="0" w:color="auto"/>
              <w:right w:val="single" w:sz="4" w:space="0" w:color="auto"/>
            </w:tcBorders>
          </w:tcPr>
          <w:p w14:paraId="3A659B0F" w14:textId="77777777" w:rsidR="00D32F40" w:rsidRDefault="00D32F40" w:rsidP="007A3343"/>
        </w:tc>
        <w:tc>
          <w:tcPr>
            <w:tcW w:w="1620" w:type="dxa"/>
            <w:tcBorders>
              <w:top w:val="single" w:sz="4" w:space="0" w:color="auto"/>
              <w:left w:val="single" w:sz="4" w:space="0" w:color="auto"/>
              <w:bottom w:val="single" w:sz="4" w:space="0" w:color="auto"/>
              <w:right w:val="single" w:sz="4" w:space="0" w:color="auto"/>
            </w:tcBorders>
            <w:hideMark/>
          </w:tcPr>
          <w:p w14:paraId="66FA7240" w14:textId="77777777" w:rsidR="00D32F40" w:rsidRDefault="00D32F40" w:rsidP="007A3343">
            <w:r>
              <w:t>Config 1</w:t>
            </w:r>
          </w:p>
        </w:tc>
        <w:tc>
          <w:tcPr>
            <w:tcW w:w="1620" w:type="dxa"/>
            <w:tcBorders>
              <w:top w:val="single" w:sz="4" w:space="0" w:color="auto"/>
              <w:left w:val="single" w:sz="4" w:space="0" w:color="auto"/>
              <w:bottom w:val="single" w:sz="4" w:space="0" w:color="auto"/>
              <w:right w:val="single" w:sz="4" w:space="0" w:color="auto"/>
            </w:tcBorders>
            <w:hideMark/>
          </w:tcPr>
          <w:p w14:paraId="30FDFF5B" w14:textId="77777777" w:rsidR="00D32F40" w:rsidRDefault="00D32F40" w:rsidP="007A3343">
            <w:r>
              <w:t>Config 2</w:t>
            </w:r>
          </w:p>
        </w:tc>
      </w:tr>
      <w:tr w:rsidR="00D32F40" w14:paraId="473D2C04"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1E2EC004" w14:textId="77777777" w:rsidR="00D32F40" w:rsidRDefault="00D32F40" w:rsidP="007A3343">
            <w:r>
              <w:t>X</w:t>
            </w:r>
            <w:r>
              <w:rPr>
                <w:vertAlign w:val="subscript"/>
              </w:rPr>
              <w:t>0</w:t>
            </w:r>
            <w:r>
              <w:t xml:space="preserve"> – X</w:t>
            </w:r>
            <w:r>
              <w:rPr>
                <w:vertAlign w:val="subscript"/>
              </w:rPr>
              <w:t>1</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02891D31" w14:textId="77777777" w:rsidR="00D32F40" w:rsidRDefault="00D32F40" w:rsidP="007A3343">
            <w:r>
              <w:t>RBG size 1</w:t>
            </w:r>
          </w:p>
        </w:tc>
        <w:tc>
          <w:tcPr>
            <w:tcW w:w="1620" w:type="dxa"/>
            <w:tcBorders>
              <w:top w:val="single" w:sz="4" w:space="0" w:color="auto"/>
              <w:left w:val="single" w:sz="4" w:space="0" w:color="auto"/>
              <w:bottom w:val="single" w:sz="4" w:space="0" w:color="auto"/>
              <w:right w:val="single" w:sz="4" w:space="0" w:color="auto"/>
            </w:tcBorders>
            <w:hideMark/>
          </w:tcPr>
          <w:p w14:paraId="61319C11" w14:textId="77777777" w:rsidR="00D32F40" w:rsidRDefault="00D32F40" w:rsidP="007A3343">
            <w:r>
              <w:t>RBG size 2</w:t>
            </w:r>
          </w:p>
        </w:tc>
      </w:tr>
      <w:tr w:rsidR="00D32F40" w14:paraId="6E77BB40"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10CE7F41" w14:textId="77777777" w:rsidR="00D32F40" w:rsidRDefault="00D32F40" w:rsidP="007A3343">
            <w:r>
              <w:t>X</w:t>
            </w:r>
            <w:r>
              <w:rPr>
                <w:vertAlign w:val="subscript"/>
              </w:rPr>
              <w:t>1</w:t>
            </w:r>
            <w:r>
              <w:t>+1 – X</w:t>
            </w:r>
            <w:r>
              <w:rPr>
                <w:vertAlign w:val="subscript"/>
              </w:rPr>
              <w:t>2</w:t>
            </w:r>
            <w:r>
              <w:t xml:space="preserve"> RBs</w:t>
            </w:r>
          </w:p>
        </w:tc>
        <w:tc>
          <w:tcPr>
            <w:tcW w:w="1620" w:type="dxa"/>
            <w:tcBorders>
              <w:top w:val="single" w:sz="4" w:space="0" w:color="auto"/>
              <w:left w:val="single" w:sz="4" w:space="0" w:color="auto"/>
              <w:bottom w:val="single" w:sz="4" w:space="0" w:color="auto"/>
              <w:right w:val="single" w:sz="4" w:space="0" w:color="auto"/>
            </w:tcBorders>
            <w:hideMark/>
          </w:tcPr>
          <w:p w14:paraId="5CF4A65F" w14:textId="77777777" w:rsidR="00D32F40" w:rsidRDefault="00D32F40" w:rsidP="007A3343">
            <w:r>
              <w:t>RBG size 3</w:t>
            </w:r>
          </w:p>
        </w:tc>
        <w:tc>
          <w:tcPr>
            <w:tcW w:w="1620" w:type="dxa"/>
            <w:tcBorders>
              <w:top w:val="single" w:sz="4" w:space="0" w:color="auto"/>
              <w:left w:val="single" w:sz="4" w:space="0" w:color="auto"/>
              <w:bottom w:val="single" w:sz="4" w:space="0" w:color="auto"/>
              <w:right w:val="single" w:sz="4" w:space="0" w:color="auto"/>
            </w:tcBorders>
            <w:hideMark/>
          </w:tcPr>
          <w:p w14:paraId="309F6879" w14:textId="77777777" w:rsidR="00D32F40" w:rsidRDefault="00D32F40" w:rsidP="007A3343">
            <w:r>
              <w:t>RBG size 4</w:t>
            </w:r>
          </w:p>
        </w:tc>
      </w:tr>
      <w:tr w:rsidR="00D32F40" w14:paraId="0BC26B43"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02578987" w14:textId="77777777" w:rsidR="00D32F40" w:rsidRDefault="00D32F40" w:rsidP="007A3343">
            <w:r>
              <w:t>…</w:t>
            </w:r>
          </w:p>
        </w:tc>
        <w:tc>
          <w:tcPr>
            <w:tcW w:w="1620" w:type="dxa"/>
            <w:tcBorders>
              <w:top w:val="single" w:sz="4" w:space="0" w:color="auto"/>
              <w:left w:val="single" w:sz="4" w:space="0" w:color="auto"/>
              <w:bottom w:val="single" w:sz="4" w:space="0" w:color="auto"/>
              <w:right w:val="single" w:sz="4" w:space="0" w:color="auto"/>
            </w:tcBorders>
            <w:hideMark/>
          </w:tcPr>
          <w:p w14:paraId="7343BC82" w14:textId="77777777" w:rsidR="00D32F40" w:rsidRDefault="00D32F40" w:rsidP="007A3343">
            <w:r>
              <w:t>…</w:t>
            </w:r>
          </w:p>
        </w:tc>
        <w:tc>
          <w:tcPr>
            <w:tcW w:w="1620" w:type="dxa"/>
            <w:tcBorders>
              <w:top w:val="single" w:sz="4" w:space="0" w:color="auto"/>
              <w:left w:val="single" w:sz="4" w:space="0" w:color="auto"/>
              <w:bottom w:val="single" w:sz="4" w:space="0" w:color="auto"/>
              <w:right w:val="single" w:sz="4" w:space="0" w:color="auto"/>
            </w:tcBorders>
            <w:hideMark/>
          </w:tcPr>
          <w:p w14:paraId="08A3B77A" w14:textId="77777777" w:rsidR="00D32F40" w:rsidRDefault="00D32F40" w:rsidP="007A3343">
            <w:r>
              <w:t>…</w:t>
            </w:r>
          </w:p>
        </w:tc>
      </w:tr>
    </w:tbl>
    <w:p w14:paraId="3C9995B3" w14:textId="77777777" w:rsidR="00D32F40" w:rsidRDefault="00D32F40" w:rsidP="00D32F40">
      <w:pPr>
        <w:rPr>
          <w:rFonts w:ascii="Times" w:hAnsi="Times"/>
          <w:lang w:val="en-GB"/>
        </w:rPr>
      </w:pPr>
    </w:p>
    <w:p w14:paraId="6B10BBE2" w14:textId="77777777" w:rsidR="00D32F40" w:rsidRDefault="00D32F40" w:rsidP="00D32F40">
      <w:pPr>
        <w:pStyle w:val="ListParagraph"/>
        <w:numPr>
          <w:ilvl w:val="0"/>
          <w:numId w:val="9"/>
        </w:numPr>
        <w:contextualSpacing/>
        <w:rPr>
          <w:szCs w:val="20"/>
        </w:rPr>
      </w:pPr>
      <w:r>
        <w:rPr>
          <w:szCs w:val="20"/>
        </w:rPr>
        <w:t>RRC selects config 1 or config 2</w:t>
      </w:r>
    </w:p>
    <w:p w14:paraId="7C04AE5B" w14:textId="77777777" w:rsidR="00D32F40" w:rsidRDefault="00D32F40" w:rsidP="00D32F40">
      <w:pPr>
        <w:pStyle w:val="ListParagraph"/>
        <w:numPr>
          <w:ilvl w:val="0"/>
          <w:numId w:val="9"/>
        </w:numPr>
        <w:contextualSpacing/>
        <w:rPr>
          <w:szCs w:val="20"/>
        </w:rPr>
      </w:pPr>
      <w:r>
        <w:rPr>
          <w:szCs w:val="20"/>
        </w:rPr>
        <w:t>One config (config 1) is the default until RRC configures otherwise</w:t>
      </w:r>
    </w:p>
    <w:p w14:paraId="5AA1D091" w14:textId="77777777" w:rsidR="00D32F40" w:rsidRDefault="00D32F40" w:rsidP="00D32F40">
      <w:pPr>
        <w:pStyle w:val="ListParagraph"/>
        <w:numPr>
          <w:ilvl w:val="0"/>
          <w:numId w:val="9"/>
        </w:numPr>
        <w:contextualSpacing/>
        <w:rPr>
          <w:szCs w:val="20"/>
        </w:rPr>
      </w:pPr>
      <w:r>
        <w:rPr>
          <w:szCs w:val="20"/>
        </w:rPr>
        <w:lastRenderedPageBreak/>
        <w:t>The numbers ‘RBG size’ in the table are fixed in the spec</w:t>
      </w:r>
    </w:p>
    <w:p w14:paraId="0CCB4018" w14:textId="77777777" w:rsidR="00D32F40" w:rsidRDefault="00D32F40" w:rsidP="00D32F40">
      <w:pPr>
        <w:pStyle w:val="ListParagraph"/>
        <w:numPr>
          <w:ilvl w:val="0"/>
          <w:numId w:val="9"/>
        </w:numPr>
        <w:contextualSpacing/>
        <w:rPr>
          <w:szCs w:val="20"/>
        </w:rPr>
      </w:pPr>
      <w:r>
        <w:rPr>
          <w:szCs w:val="20"/>
        </w:rPr>
        <w:t>The number of rows should be no more than [4-6]</w:t>
      </w:r>
    </w:p>
    <w:p w14:paraId="6C667E08" w14:textId="77777777" w:rsidR="00D32F40" w:rsidRDefault="00D32F40" w:rsidP="00D32F40">
      <w:pPr>
        <w:pStyle w:val="ListParagraph"/>
        <w:numPr>
          <w:ilvl w:val="0"/>
          <w:numId w:val="9"/>
        </w:numPr>
        <w:contextualSpacing/>
        <w:rPr>
          <w:szCs w:val="20"/>
        </w:rPr>
      </w:pPr>
      <w:r>
        <w:rPr>
          <w:szCs w:val="20"/>
        </w:rPr>
        <w:t>Same table for DL and UL</w:t>
      </w:r>
    </w:p>
    <w:p w14:paraId="32FDE448" w14:textId="77777777" w:rsidR="00D32F40" w:rsidRDefault="00D32F40" w:rsidP="00D32F40">
      <w:pPr>
        <w:pStyle w:val="ListParagraph"/>
        <w:numPr>
          <w:ilvl w:val="1"/>
          <w:numId w:val="9"/>
        </w:numPr>
        <w:contextualSpacing/>
        <w:rPr>
          <w:szCs w:val="20"/>
        </w:rPr>
      </w:pPr>
      <w:r>
        <w:rPr>
          <w:szCs w:val="20"/>
        </w:rPr>
        <w:t>The configuration for DL &amp; UL is separate</w:t>
      </w:r>
    </w:p>
    <w:p w14:paraId="512B5CDF" w14:textId="77777777" w:rsidR="00D32F40" w:rsidRDefault="00D32F40" w:rsidP="00D32F40">
      <w:pPr>
        <w:pStyle w:val="ListParagraph"/>
        <w:numPr>
          <w:ilvl w:val="0"/>
          <w:numId w:val="9"/>
        </w:numPr>
        <w:contextualSpacing/>
        <w:rPr>
          <w:szCs w:val="20"/>
        </w:rPr>
      </w:pPr>
      <w:r>
        <w:rPr>
          <w:szCs w:val="20"/>
        </w:rPr>
        <w:t>Same RBG size irrespective of the duration (slot vs. non-slot)</w:t>
      </w:r>
    </w:p>
    <w:p w14:paraId="0796B221" w14:textId="77777777" w:rsidR="00D32F40" w:rsidRDefault="00D32F40" w:rsidP="00D32F40">
      <w:pPr>
        <w:contextualSpacing/>
      </w:pPr>
    </w:p>
    <w:p w14:paraId="3B3C4AAB" w14:textId="77777777" w:rsidR="00D32F40" w:rsidRDefault="00D32F40" w:rsidP="00D32F40">
      <w:pPr>
        <w:contextualSpacing/>
      </w:pPr>
      <w:r>
        <w:t>This was not further refined in RAN1 #91. Not that one important aspect to consider is DCI overhead when addressing wider bandwidths. It is beneficial not to the have the DCI overhead not to scale with bandwidth. Furthermore, the benefit of having to configurations is that there can be two levels of granularity for allocations which scale with bandwidth, while ensuring there is at least a fallback with efficient DCI overhead for better coverage. This was raised in a previous contribution [6].</w:t>
      </w:r>
    </w:p>
    <w:p w14:paraId="1309622F" w14:textId="77777777" w:rsidR="00D32F40" w:rsidRDefault="00D32F40" w:rsidP="00D32F40">
      <w:pPr>
        <w:contextualSpacing/>
      </w:pPr>
    </w:p>
    <w:p w14:paraId="6A08534E" w14:textId="6DCD6EAA" w:rsidR="00D32F40" w:rsidRPr="00FE4627" w:rsidRDefault="00D32F40" w:rsidP="00D32F40">
      <w:pPr>
        <w:contextualSpacing/>
        <w:rPr>
          <w:i/>
        </w:rPr>
      </w:pPr>
      <w:r w:rsidRPr="00B60EE9">
        <w:rPr>
          <w:b/>
          <w:u w:val="single"/>
        </w:rPr>
        <w:t>Proposal</w:t>
      </w:r>
      <w:r>
        <w:rPr>
          <w:b/>
          <w:u w:val="single"/>
        </w:rPr>
        <w:t xml:space="preserve"> </w:t>
      </w:r>
      <w:r w:rsidR="00DA193F">
        <w:rPr>
          <w:b/>
          <w:u w:val="single"/>
        </w:rPr>
        <w:t>5</w:t>
      </w:r>
      <w:r w:rsidRPr="00B60EE9">
        <w:rPr>
          <w:b/>
          <w:u w:val="single"/>
        </w:rPr>
        <w:t>:</w:t>
      </w:r>
      <w:r>
        <w:rPr>
          <w:b/>
        </w:rPr>
        <w:t xml:space="preserve"> </w:t>
      </w:r>
      <w:r w:rsidRPr="00FE4627">
        <w:rPr>
          <w:i/>
        </w:rPr>
        <w:t>The RBG sizes in the above table should satisfy the following requirements</w:t>
      </w:r>
    </w:p>
    <w:p w14:paraId="5C70B3F2" w14:textId="77777777" w:rsidR="00D32F40" w:rsidRPr="00FE4627" w:rsidRDefault="00D32F40" w:rsidP="00D32F40">
      <w:pPr>
        <w:pStyle w:val="ListParagraph"/>
        <w:numPr>
          <w:ilvl w:val="0"/>
          <w:numId w:val="11"/>
        </w:numPr>
        <w:contextualSpacing/>
        <w:rPr>
          <w:i/>
        </w:rPr>
      </w:pPr>
      <w:r w:rsidRPr="00FE4627">
        <w:rPr>
          <w:i/>
        </w:rPr>
        <w:t>For both configurations, the RBG sizes should scale up proportionally with bandwidth.</w:t>
      </w:r>
    </w:p>
    <w:p w14:paraId="6AB4383B" w14:textId="77777777" w:rsidR="00D32F40" w:rsidRPr="00FE4627" w:rsidRDefault="00D32F40" w:rsidP="00D32F40">
      <w:pPr>
        <w:pStyle w:val="ListParagraph"/>
        <w:numPr>
          <w:ilvl w:val="0"/>
          <w:numId w:val="11"/>
        </w:numPr>
        <w:contextualSpacing/>
        <w:rPr>
          <w:i/>
        </w:rPr>
      </w:pPr>
      <w:r w:rsidRPr="00FE4627">
        <w:rPr>
          <w:i/>
        </w:rPr>
        <w:t>Config 1 should have only RBG sizes 8 and 16 to allow for smaller DCI sizes and coarser scheduling granularity</w:t>
      </w:r>
    </w:p>
    <w:p w14:paraId="1EDE302A" w14:textId="77777777" w:rsidR="00D32F40" w:rsidRPr="00FE4627" w:rsidRDefault="00D32F40" w:rsidP="00D32F40">
      <w:pPr>
        <w:pStyle w:val="ListParagraph"/>
        <w:numPr>
          <w:ilvl w:val="1"/>
          <w:numId w:val="11"/>
        </w:numPr>
        <w:contextualSpacing/>
        <w:rPr>
          <w:i/>
        </w:rPr>
      </w:pPr>
      <w:r w:rsidRPr="00FE4627">
        <w:rPr>
          <w:i/>
        </w:rPr>
        <w:t>This should be the fallback (or default) configuration</w:t>
      </w:r>
    </w:p>
    <w:p w14:paraId="4CEA70FB" w14:textId="77777777" w:rsidR="00D32F40" w:rsidRPr="00FE4627" w:rsidRDefault="00D32F40" w:rsidP="00D32F40">
      <w:pPr>
        <w:pStyle w:val="ListParagraph"/>
        <w:numPr>
          <w:ilvl w:val="0"/>
          <w:numId w:val="11"/>
        </w:numPr>
        <w:contextualSpacing/>
        <w:rPr>
          <w:i/>
        </w:rPr>
      </w:pPr>
      <w:r w:rsidRPr="00FE4627">
        <w:rPr>
          <w:i/>
        </w:rPr>
        <w:t xml:space="preserve">Config 2 may have additional RBG sizes of 2,4,8 and 16 to allow for larger DCI </w:t>
      </w:r>
      <w:proofErr w:type="spellStart"/>
      <w:r w:rsidRPr="00FE4627">
        <w:rPr>
          <w:i/>
        </w:rPr>
        <w:t>szes</w:t>
      </w:r>
      <w:proofErr w:type="spellEnd"/>
      <w:r w:rsidRPr="00FE4627">
        <w:rPr>
          <w:i/>
        </w:rPr>
        <w:t xml:space="preserve"> and finer scheduling granularity.</w:t>
      </w:r>
    </w:p>
    <w:p w14:paraId="58FD3016" w14:textId="77777777" w:rsidR="00D32F40" w:rsidRDefault="00D32F40" w:rsidP="00D32F40">
      <w:pPr>
        <w:contextualSpacing/>
      </w:pPr>
    </w:p>
    <w:p w14:paraId="042AB335" w14:textId="77777777" w:rsidR="00D32F40" w:rsidRDefault="00D32F40" w:rsidP="00D32F40">
      <w:pPr>
        <w:contextualSpacing/>
      </w:pPr>
      <w:r>
        <w:t>Finally, the configurability should be matched with the supported PRG sizes which are {2,</w:t>
      </w:r>
      <w:proofErr w:type="gramStart"/>
      <w:r>
        <w:t>4,full</w:t>
      </w:r>
      <w:proofErr w:type="gramEnd"/>
      <w:r>
        <w:t xml:space="preserve"> bandwidth}. One natural and consistent proposal to realize this would be the following table which is matched to </w:t>
      </w:r>
      <w:r w:rsidRPr="000A05CD">
        <w:t xml:space="preserve">“Table 5.2.1.4-2: Configurable </w:t>
      </w:r>
      <w:proofErr w:type="spellStart"/>
      <w:r w:rsidRPr="000A05CD">
        <w:t>subband</w:t>
      </w:r>
      <w:proofErr w:type="spellEnd"/>
      <w:r w:rsidRPr="000A05CD">
        <w:t xml:space="preserve"> sizes”</w:t>
      </w:r>
      <w:r>
        <w:t xml:space="preserve"> of TS 38.214.</w:t>
      </w:r>
    </w:p>
    <w:p w14:paraId="7529AB5A" w14:textId="77777777" w:rsidR="00D32F40" w:rsidRDefault="00D32F40" w:rsidP="00D32F40">
      <w:pPr>
        <w:contextualSpacing/>
      </w:pPr>
    </w:p>
    <w:p w14:paraId="5A9F9740" w14:textId="439F92DD" w:rsidR="00D32F40" w:rsidRDefault="00D32F40" w:rsidP="00D32F40">
      <w:pPr>
        <w:contextualSpacing/>
      </w:pPr>
      <w:r w:rsidRPr="000A05CD">
        <w:rPr>
          <w:b/>
          <w:u w:val="single"/>
        </w:rPr>
        <w:t xml:space="preserve">Proposal </w:t>
      </w:r>
      <w:r w:rsidR="00DA193F">
        <w:rPr>
          <w:b/>
          <w:u w:val="single"/>
        </w:rPr>
        <w:t>6</w:t>
      </w:r>
      <w:r w:rsidRPr="000A05CD">
        <w:rPr>
          <w:b/>
          <w:u w:val="single"/>
        </w:rPr>
        <w:t>:</w:t>
      </w:r>
      <w:r>
        <w:t xml:space="preserve"> </w:t>
      </w:r>
      <w:r w:rsidRPr="000A05CD">
        <w:rPr>
          <w:i/>
        </w:rPr>
        <w:t>The RBG sizes for config 1 and config 2 which can be selected by RRC are given in the table below.</w:t>
      </w:r>
    </w:p>
    <w:p w14:paraId="377A6052" w14:textId="77777777" w:rsidR="00D32F40" w:rsidRDefault="00D32F40" w:rsidP="00D32F40">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32F40" w14:paraId="53CFB3F9" w14:textId="77777777" w:rsidTr="007A3343">
        <w:tc>
          <w:tcPr>
            <w:tcW w:w="1980" w:type="dxa"/>
            <w:tcBorders>
              <w:top w:val="single" w:sz="4" w:space="0" w:color="auto"/>
              <w:left w:val="single" w:sz="4" w:space="0" w:color="auto"/>
              <w:bottom w:val="single" w:sz="4" w:space="0" w:color="auto"/>
              <w:right w:val="single" w:sz="4" w:space="0" w:color="auto"/>
            </w:tcBorders>
          </w:tcPr>
          <w:p w14:paraId="6CCDFD1B" w14:textId="541904C0" w:rsidR="00D32F40" w:rsidRDefault="004819E2" w:rsidP="007A3343">
            <w:r>
              <w:t>BWP</w:t>
            </w:r>
            <w:r w:rsidR="00120C56">
              <w:t xml:space="preserve"> size</w:t>
            </w:r>
          </w:p>
        </w:tc>
        <w:tc>
          <w:tcPr>
            <w:tcW w:w="1620" w:type="dxa"/>
            <w:tcBorders>
              <w:top w:val="single" w:sz="4" w:space="0" w:color="auto"/>
              <w:left w:val="single" w:sz="4" w:space="0" w:color="auto"/>
              <w:bottom w:val="single" w:sz="4" w:space="0" w:color="auto"/>
              <w:right w:val="single" w:sz="4" w:space="0" w:color="auto"/>
            </w:tcBorders>
            <w:hideMark/>
          </w:tcPr>
          <w:p w14:paraId="3573F46A" w14:textId="77777777" w:rsidR="00D32F40" w:rsidRDefault="00D32F40" w:rsidP="007A3343">
            <w:r>
              <w:t>Config 1</w:t>
            </w:r>
          </w:p>
        </w:tc>
        <w:tc>
          <w:tcPr>
            <w:tcW w:w="1620" w:type="dxa"/>
            <w:tcBorders>
              <w:top w:val="single" w:sz="4" w:space="0" w:color="auto"/>
              <w:left w:val="single" w:sz="4" w:space="0" w:color="auto"/>
              <w:bottom w:val="single" w:sz="4" w:space="0" w:color="auto"/>
              <w:right w:val="single" w:sz="4" w:space="0" w:color="auto"/>
            </w:tcBorders>
            <w:hideMark/>
          </w:tcPr>
          <w:p w14:paraId="3C7446DF" w14:textId="77777777" w:rsidR="00D32F40" w:rsidRDefault="00D32F40" w:rsidP="007A3343">
            <w:r>
              <w:t>Config 2</w:t>
            </w:r>
          </w:p>
        </w:tc>
      </w:tr>
      <w:tr w:rsidR="00D32F40" w14:paraId="3987A736"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623844ED" w14:textId="77777777" w:rsidR="00D32F40" w:rsidRDefault="00D32F40" w:rsidP="007A3343">
            <w:r>
              <w:t>&lt; 24 RBs</w:t>
            </w:r>
          </w:p>
        </w:tc>
        <w:tc>
          <w:tcPr>
            <w:tcW w:w="1620" w:type="dxa"/>
            <w:tcBorders>
              <w:top w:val="single" w:sz="4" w:space="0" w:color="auto"/>
              <w:left w:val="single" w:sz="4" w:space="0" w:color="auto"/>
              <w:bottom w:val="single" w:sz="4" w:space="0" w:color="auto"/>
              <w:right w:val="single" w:sz="4" w:space="0" w:color="auto"/>
            </w:tcBorders>
            <w:hideMark/>
          </w:tcPr>
          <w:p w14:paraId="23B92066" w14:textId="437B9B7C" w:rsidR="00D32F40" w:rsidRDefault="00C10F09" w:rsidP="007A3343">
            <w:r>
              <w:t>4</w:t>
            </w:r>
          </w:p>
        </w:tc>
        <w:tc>
          <w:tcPr>
            <w:tcW w:w="1620" w:type="dxa"/>
            <w:tcBorders>
              <w:top w:val="single" w:sz="4" w:space="0" w:color="auto"/>
              <w:left w:val="single" w:sz="4" w:space="0" w:color="auto"/>
              <w:bottom w:val="single" w:sz="4" w:space="0" w:color="auto"/>
              <w:right w:val="single" w:sz="4" w:space="0" w:color="auto"/>
            </w:tcBorders>
            <w:hideMark/>
          </w:tcPr>
          <w:p w14:paraId="101CBCE7" w14:textId="44A4C076" w:rsidR="00D32F40" w:rsidRDefault="00C10F09" w:rsidP="007A3343">
            <w:r>
              <w:t>2</w:t>
            </w:r>
          </w:p>
        </w:tc>
      </w:tr>
      <w:tr w:rsidR="00D32F40" w14:paraId="63CDA691"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24268C6C" w14:textId="77777777" w:rsidR="00D32F40" w:rsidRDefault="00D32F40" w:rsidP="007A3343">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14:paraId="75E5E1D9" w14:textId="77777777" w:rsidR="00D32F40" w:rsidRDefault="00D32F40" w:rsidP="007A3343">
            <w:r>
              <w:t>8</w:t>
            </w:r>
          </w:p>
        </w:tc>
        <w:tc>
          <w:tcPr>
            <w:tcW w:w="1620" w:type="dxa"/>
            <w:tcBorders>
              <w:top w:val="single" w:sz="4" w:space="0" w:color="auto"/>
              <w:left w:val="single" w:sz="4" w:space="0" w:color="auto"/>
              <w:bottom w:val="single" w:sz="4" w:space="0" w:color="auto"/>
              <w:right w:val="single" w:sz="4" w:space="0" w:color="auto"/>
            </w:tcBorders>
            <w:hideMark/>
          </w:tcPr>
          <w:p w14:paraId="0F164123" w14:textId="77777777" w:rsidR="00D32F40" w:rsidRDefault="00D32F40" w:rsidP="007A3343">
            <w:r>
              <w:t>4</w:t>
            </w:r>
          </w:p>
        </w:tc>
      </w:tr>
      <w:tr w:rsidR="00D32F40" w14:paraId="7A6967D3" w14:textId="77777777" w:rsidTr="007A3343">
        <w:tc>
          <w:tcPr>
            <w:tcW w:w="1980" w:type="dxa"/>
            <w:tcBorders>
              <w:top w:val="single" w:sz="4" w:space="0" w:color="auto"/>
              <w:left w:val="single" w:sz="4" w:space="0" w:color="auto"/>
              <w:bottom w:val="single" w:sz="4" w:space="0" w:color="auto"/>
              <w:right w:val="single" w:sz="4" w:space="0" w:color="auto"/>
            </w:tcBorders>
            <w:hideMark/>
          </w:tcPr>
          <w:p w14:paraId="637BF41F" w14:textId="77777777" w:rsidR="00D32F40" w:rsidRDefault="00D32F40" w:rsidP="007A3343">
            <w:r>
              <w:t>73 – 144 RBs</w:t>
            </w:r>
          </w:p>
        </w:tc>
        <w:tc>
          <w:tcPr>
            <w:tcW w:w="1620" w:type="dxa"/>
            <w:tcBorders>
              <w:top w:val="single" w:sz="4" w:space="0" w:color="auto"/>
              <w:left w:val="single" w:sz="4" w:space="0" w:color="auto"/>
              <w:bottom w:val="single" w:sz="4" w:space="0" w:color="auto"/>
              <w:right w:val="single" w:sz="4" w:space="0" w:color="auto"/>
            </w:tcBorders>
            <w:hideMark/>
          </w:tcPr>
          <w:p w14:paraId="2551353C" w14:textId="77777777" w:rsidR="00D32F40" w:rsidRDefault="00D32F40" w:rsidP="007A3343">
            <w:r>
              <w:t>16</w:t>
            </w:r>
          </w:p>
        </w:tc>
        <w:tc>
          <w:tcPr>
            <w:tcW w:w="1620" w:type="dxa"/>
            <w:tcBorders>
              <w:top w:val="single" w:sz="4" w:space="0" w:color="auto"/>
              <w:left w:val="single" w:sz="4" w:space="0" w:color="auto"/>
              <w:bottom w:val="single" w:sz="4" w:space="0" w:color="auto"/>
              <w:right w:val="single" w:sz="4" w:space="0" w:color="auto"/>
            </w:tcBorders>
            <w:hideMark/>
          </w:tcPr>
          <w:p w14:paraId="37740ED2" w14:textId="77777777" w:rsidR="00D32F40" w:rsidRDefault="00D32F40" w:rsidP="007A3343">
            <w:r>
              <w:t>8</w:t>
            </w:r>
          </w:p>
        </w:tc>
      </w:tr>
      <w:tr w:rsidR="00D32F40" w14:paraId="67F10EF1" w14:textId="77777777" w:rsidTr="007A3343">
        <w:tc>
          <w:tcPr>
            <w:tcW w:w="1980" w:type="dxa"/>
            <w:tcBorders>
              <w:top w:val="single" w:sz="4" w:space="0" w:color="auto"/>
              <w:left w:val="single" w:sz="4" w:space="0" w:color="auto"/>
              <w:bottom w:val="single" w:sz="4" w:space="0" w:color="auto"/>
              <w:right w:val="single" w:sz="4" w:space="0" w:color="auto"/>
            </w:tcBorders>
          </w:tcPr>
          <w:p w14:paraId="38C10C2E" w14:textId="77777777" w:rsidR="00D32F40" w:rsidRDefault="00D32F40" w:rsidP="007A3343">
            <w:r>
              <w:t>144 – 275 RBs</w:t>
            </w:r>
          </w:p>
        </w:tc>
        <w:tc>
          <w:tcPr>
            <w:tcW w:w="1620" w:type="dxa"/>
            <w:tcBorders>
              <w:top w:val="single" w:sz="4" w:space="0" w:color="auto"/>
              <w:left w:val="single" w:sz="4" w:space="0" w:color="auto"/>
              <w:bottom w:val="single" w:sz="4" w:space="0" w:color="auto"/>
              <w:right w:val="single" w:sz="4" w:space="0" w:color="auto"/>
            </w:tcBorders>
          </w:tcPr>
          <w:p w14:paraId="60FD045F" w14:textId="77777777" w:rsidR="00D32F40" w:rsidRDefault="00D32F40" w:rsidP="007A3343">
            <w:r>
              <w:t>16</w:t>
            </w:r>
          </w:p>
        </w:tc>
        <w:tc>
          <w:tcPr>
            <w:tcW w:w="1620" w:type="dxa"/>
            <w:tcBorders>
              <w:top w:val="single" w:sz="4" w:space="0" w:color="auto"/>
              <w:left w:val="single" w:sz="4" w:space="0" w:color="auto"/>
              <w:bottom w:val="single" w:sz="4" w:space="0" w:color="auto"/>
              <w:right w:val="single" w:sz="4" w:space="0" w:color="auto"/>
            </w:tcBorders>
          </w:tcPr>
          <w:p w14:paraId="659D8B2C" w14:textId="77777777" w:rsidR="00D32F40" w:rsidRDefault="00D32F40" w:rsidP="007A3343">
            <w:r>
              <w:t>16</w:t>
            </w:r>
          </w:p>
        </w:tc>
      </w:tr>
    </w:tbl>
    <w:p w14:paraId="25D72C56" w14:textId="77777777" w:rsidR="00D32F40" w:rsidRDefault="00D32F40" w:rsidP="00D32F40">
      <w:pPr>
        <w:contextualSpacing/>
      </w:pPr>
    </w:p>
    <w:p w14:paraId="4ACCB197" w14:textId="77777777" w:rsidR="00D32F40" w:rsidRDefault="00D32F40" w:rsidP="00D32F40">
      <w:pPr>
        <w:contextualSpacing/>
      </w:pPr>
      <w:r>
        <w:t xml:space="preserve">Additionally, for the 38.214 </w:t>
      </w:r>
      <w:proofErr w:type="spellStart"/>
      <w:r>
        <w:t>subclause</w:t>
      </w:r>
      <w:proofErr w:type="spellEnd"/>
      <w:r>
        <w:t xml:space="preserve"> 5.1.2.2.2 on downlink resource allocation type 1 does not preclude misalignment between the start/end of the allocation and the PRG grid. Including such a notion would help address the efficiency and improve the performance of the system. We therefore have the following proposal.</w:t>
      </w:r>
    </w:p>
    <w:p w14:paraId="29C5B93C" w14:textId="77777777" w:rsidR="00D32F40" w:rsidRDefault="00D32F40" w:rsidP="00D32F40">
      <w:pPr>
        <w:contextualSpacing/>
      </w:pPr>
    </w:p>
    <w:p w14:paraId="2160024C" w14:textId="0EB48542" w:rsidR="00D32F40" w:rsidRPr="00AA510F" w:rsidRDefault="00DA193F" w:rsidP="00D32F40">
      <w:pPr>
        <w:contextualSpacing/>
        <w:rPr>
          <w:i/>
        </w:rPr>
      </w:pPr>
      <w:r>
        <w:rPr>
          <w:b/>
          <w:u w:val="single"/>
        </w:rPr>
        <w:t>Proposal 7</w:t>
      </w:r>
      <w:r w:rsidR="00D32F40" w:rsidRPr="009F6284">
        <w:rPr>
          <w:b/>
          <w:u w:val="single"/>
        </w:rPr>
        <w:t>:</w:t>
      </w:r>
      <w:r w:rsidR="00D32F40">
        <w:t xml:space="preserve"> </w:t>
      </w:r>
      <w:r w:rsidR="00D32F40" w:rsidRPr="00AA510F">
        <w:rPr>
          <w:i/>
        </w:rPr>
        <w:t xml:space="preserve">The following text in TS 38.214 </w:t>
      </w:r>
      <w:proofErr w:type="spellStart"/>
      <w:r w:rsidR="00D32F40" w:rsidRPr="00AA510F">
        <w:rPr>
          <w:i/>
        </w:rPr>
        <w:t>subclause</w:t>
      </w:r>
      <w:proofErr w:type="spellEnd"/>
      <w:r w:rsidR="00D32F40" w:rsidRPr="00AA510F">
        <w:rPr>
          <w:i/>
        </w:rPr>
        <w:t xml:space="preserve"> 5.1.2.2.2 should be updated to remove the word “localized or distributed”</w:t>
      </w:r>
      <w:r w:rsidR="007E6978">
        <w:rPr>
          <w:i/>
        </w:rPr>
        <w:t>:</w:t>
      </w:r>
    </w:p>
    <w:p w14:paraId="7B44ECBB" w14:textId="77777777" w:rsidR="00D32F40" w:rsidRDefault="00D32F40" w:rsidP="00D32F40">
      <w:pPr>
        <w:contextualSpacing/>
      </w:pPr>
    </w:p>
    <w:p w14:paraId="1E3ABAF2" w14:textId="77777777" w:rsidR="00D32F40" w:rsidRPr="00AD7E9A" w:rsidRDefault="00D32F40" w:rsidP="00D32F40">
      <w:pPr>
        <w:ind w:left="288"/>
        <w:rPr>
          <w:color w:val="000000"/>
          <w:lang w:eastAsia="en-GB"/>
        </w:rPr>
      </w:pPr>
      <w:bookmarkStart w:id="4" w:name="_Hlk498008922"/>
      <w:r w:rsidRPr="00B355B3">
        <w:rPr>
          <w:color w:val="000000"/>
        </w:rPr>
        <w:t>In downlink resource allocation of type 1, the resource block assignment information indicates to a scheduled UE a set of contiguously allocated</w:t>
      </w:r>
      <w:r w:rsidRPr="00B355B3">
        <w:rPr>
          <w:color w:val="FF0000"/>
        </w:rPr>
        <w:t xml:space="preserve"> </w:t>
      </w:r>
      <w:r w:rsidRPr="00B355B3">
        <w:rPr>
          <w:strike/>
          <w:color w:val="FF0000"/>
        </w:rPr>
        <w:t>localized or distributed</w:t>
      </w:r>
      <w:r w:rsidRPr="00B355B3">
        <w:rPr>
          <w:color w:val="FF0000"/>
        </w:rPr>
        <w:t xml:space="preserve"> </w:t>
      </w:r>
      <w:r w:rsidRPr="00B355B3">
        <w:rPr>
          <w:color w:val="000000"/>
        </w:rPr>
        <w:t xml:space="preserve">virtual resource blocks within the active carrier bandwidth part of size </w:t>
      </w:r>
      <w:r w:rsidRPr="00B355B3">
        <w:rPr>
          <w:color w:val="000000"/>
          <w:position w:val="-10"/>
        </w:rPr>
        <w:object w:dxaOrig="540" w:dyaOrig="340" w14:anchorId="03F55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7.5pt" o:ole="">
            <v:imagedata r:id="rId12" o:title=""/>
          </v:shape>
          <o:OLEObject Type="Embed" ProgID="Equation.3" ShapeID="_x0000_i1025" DrawAspect="Content" ObjectID="_1577293074" r:id="rId13"/>
        </w:object>
      </w:r>
      <w:r w:rsidRPr="00B355B3">
        <w:rPr>
          <w:color w:val="000000"/>
        </w:rPr>
        <w:t xml:space="preserve"> PRBs.</w:t>
      </w:r>
      <w:bookmarkEnd w:id="4"/>
    </w:p>
    <w:p w14:paraId="3280452D" w14:textId="2743CC88" w:rsidR="00076FD1" w:rsidRDefault="00076FD1" w:rsidP="00076FD1">
      <w:pPr>
        <w:rPr>
          <w:lang w:val="en-GB"/>
        </w:rPr>
      </w:pPr>
    </w:p>
    <w:p w14:paraId="09079F69" w14:textId="4B082187" w:rsidR="00031D58" w:rsidRDefault="00587EA1" w:rsidP="00587EA1">
      <w:pPr>
        <w:pStyle w:val="Heading1"/>
      </w:pPr>
      <w:r>
        <w:t>VRB-to-PRB mapping</w:t>
      </w:r>
    </w:p>
    <w:p w14:paraId="45646F28" w14:textId="0699FE86" w:rsidR="00587EA1" w:rsidRDefault="007D73B2" w:rsidP="00587EA1">
      <w:pPr>
        <w:rPr>
          <w:lang w:val="en-GB"/>
        </w:rPr>
      </w:pPr>
      <w:r>
        <w:rPr>
          <w:lang w:val="en-GB"/>
        </w:rPr>
        <w:t xml:space="preserve">In RAN1 #91, </w:t>
      </w:r>
      <w:r w:rsidR="00D32F40">
        <w:rPr>
          <w:lang w:val="en-GB"/>
        </w:rPr>
        <w:t>t</w:t>
      </w:r>
      <w:r w:rsidR="001F36BC">
        <w:rPr>
          <w:lang w:val="en-GB"/>
        </w:rPr>
        <w:t>he following agreement made</w:t>
      </w:r>
      <w:r>
        <w:rPr>
          <w:lang w:val="en-GB"/>
        </w:rPr>
        <w:t xml:space="preserve">: </w:t>
      </w:r>
    </w:p>
    <w:p w14:paraId="3E138BD3" w14:textId="7E05B7B1" w:rsidR="00587EA1" w:rsidRPr="00D32F40" w:rsidRDefault="00587EA1" w:rsidP="00587EA1">
      <w:pPr>
        <w:rPr>
          <w:rFonts w:ascii="Calibri" w:hAnsi="Calibri"/>
          <w:b/>
          <w:szCs w:val="22"/>
          <w:u w:val="single"/>
          <w:lang w:eastAsia="zh-CN"/>
        </w:rPr>
      </w:pPr>
      <w:r w:rsidRPr="00D32F40">
        <w:rPr>
          <w:b/>
          <w:highlight w:val="green"/>
          <w:u w:val="single"/>
          <w:lang w:eastAsia="zh-CN"/>
        </w:rPr>
        <w:lastRenderedPageBreak/>
        <w:t>Agreement</w:t>
      </w:r>
      <w:r w:rsidR="00D32F40">
        <w:rPr>
          <w:b/>
          <w:highlight w:val="green"/>
          <w:u w:val="single"/>
          <w:lang w:eastAsia="zh-CN"/>
        </w:rPr>
        <w:t>s:</w:t>
      </w:r>
      <w:r w:rsidR="00D32F40">
        <w:rPr>
          <w:b/>
          <w:u w:val="single"/>
          <w:lang w:eastAsia="zh-CN"/>
        </w:rPr>
        <w:t xml:space="preserve"> </w:t>
      </w:r>
    </w:p>
    <w:p w14:paraId="0EE7E822" w14:textId="55B766F9" w:rsidR="00587EA1" w:rsidRDefault="00A01DAC" w:rsidP="00D32F40">
      <w:pPr>
        <w:numPr>
          <w:ilvl w:val="0"/>
          <w:numId w:val="7"/>
        </w:numPr>
        <w:overflowPunct/>
        <w:autoSpaceDE/>
        <w:autoSpaceDN/>
        <w:adjustRightInd/>
        <w:spacing w:after="0"/>
        <w:textAlignment w:val="auto"/>
        <w:rPr>
          <w:rFonts w:ascii="Times" w:eastAsia="Times New Roman" w:hAnsi="Times"/>
          <w:szCs w:val="24"/>
          <w:lang w:val="en-GB" w:eastAsia="zh-CN"/>
        </w:rPr>
      </w:pPr>
      <w:r w:rsidRPr="00A01DAC">
        <w:rPr>
          <w:rFonts w:eastAsia="Times New Roman"/>
          <w:lang w:eastAsia="zh-CN"/>
        </w:rPr>
        <w:t>For downlink and OFDM uplink:</w:t>
      </w:r>
    </w:p>
    <w:p w14:paraId="2C9459CD" w14:textId="77777777" w:rsidR="008C35FC" w:rsidRPr="008C35FC" w:rsidRDefault="00A01DAC" w:rsidP="00D32F40">
      <w:pPr>
        <w:numPr>
          <w:ilvl w:val="0"/>
          <w:numId w:val="7"/>
        </w:numPr>
        <w:overflowPunct/>
        <w:autoSpaceDE/>
        <w:autoSpaceDN/>
        <w:adjustRightInd/>
        <w:spacing w:after="0"/>
        <w:ind w:left="1440"/>
        <w:textAlignment w:val="auto"/>
        <w:rPr>
          <w:rFonts w:eastAsia="Times New Roman"/>
          <w:lang w:eastAsia="zh-CN"/>
        </w:rPr>
      </w:pPr>
      <w:r>
        <w:t xml:space="preserve">Block </w:t>
      </w:r>
      <w:proofErr w:type="spellStart"/>
      <w:r>
        <w:t>interleaver</w:t>
      </w:r>
      <w:proofErr w:type="spellEnd"/>
      <w:r>
        <w:t xml:space="preserve"> (similar to PDCCH) across whole BWP:</w:t>
      </w:r>
    </w:p>
    <w:p w14:paraId="1A4D1938" w14:textId="4EC894D3" w:rsidR="00587EA1" w:rsidRDefault="008C35FC" w:rsidP="00D32F40">
      <w:pPr>
        <w:numPr>
          <w:ilvl w:val="1"/>
          <w:numId w:val="7"/>
        </w:numPr>
        <w:overflowPunct/>
        <w:autoSpaceDE/>
        <w:autoSpaceDN/>
        <w:adjustRightInd/>
        <w:spacing w:after="0"/>
        <w:ind w:left="2160"/>
        <w:textAlignment w:val="auto"/>
        <w:rPr>
          <w:rFonts w:eastAsia="Times New Roman"/>
          <w:lang w:eastAsia="zh-CN"/>
        </w:rPr>
      </w:pPr>
      <w:r>
        <w:t>Interleaving unit configurable between 2 and 4 PRBs</w:t>
      </w:r>
    </w:p>
    <w:p w14:paraId="1ACD477F" w14:textId="74C365B3" w:rsidR="00587EA1" w:rsidRPr="008C35FC" w:rsidRDefault="008C35FC" w:rsidP="00D32F40">
      <w:pPr>
        <w:numPr>
          <w:ilvl w:val="1"/>
          <w:numId w:val="7"/>
        </w:numPr>
        <w:overflowPunct/>
        <w:autoSpaceDE/>
        <w:autoSpaceDN/>
        <w:adjustRightInd/>
        <w:spacing w:after="0"/>
        <w:ind w:left="2160"/>
        <w:textAlignment w:val="auto"/>
        <w:rPr>
          <w:rFonts w:eastAsia="Times New Roman"/>
          <w:lang w:eastAsia="zh-CN"/>
        </w:rPr>
      </w:pPr>
      <w:r>
        <w:t xml:space="preserve">The number of rows is </w:t>
      </w:r>
      <w:proofErr w:type="spellStart"/>
      <w:r>
        <w:t>harded</w:t>
      </w:r>
      <w:proofErr w:type="spellEnd"/>
      <w:r>
        <w:t xml:space="preserve"> to 2</w:t>
      </w:r>
    </w:p>
    <w:p w14:paraId="0721820F" w14:textId="7EB932FC" w:rsidR="008C35FC" w:rsidRDefault="008C35FC" w:rsidP="00D32F40">
      <w:pPr>
        <w:numPr>
          <w:ilvl w:val="1"/>
          <w:numId w:val="7"/>
        </w:numPr>
        <w:overflowPunct/>
        <w:autoSpaceDE/>
        <w:autoSpaceDN/>
        <w:adjustRightInd/>
        <w:spacing w:after="0"/>
        <w:ind w:left="2160"/>
        <w:textAlignment w:val="auto"/>
        <w:rPr>
          <w:rFonts w:eastAsia="Times New Roman"/>
          <w:lang w:eastAsia="zh-CN"/>
        </w:rPr>
      </w:pPr>
      <w:r w:rsidRPr="008C35FC">
        <w:rPr>
          <w:rFonts w:eastAsia="Times New Roman"/>
          <w:lang w:eastAsia="zh-CN"/>
        </w:rPr>
        <w:t>The number of columns is given by the BWP size and number of rows</w:t>
      </w:r>
    </w:p>
    <w:p w14:paraId="21E5E895" w14:textId="0BA12AA7" w:rsidR="008C35FC" w:rsidRDefault="008C35FC" w:rsidP="00D32F40">
      <w:pPr>
        <w:numPr>
          <w:ilvl w:val="1"/>
          <w:numId w:val="7"/>
        </w:numPr>
        <w:overflowPunct/>
        <w:autoSpaceDE/>
        <w:autoSpaceDN/>
        <w:adjustRightInd/>
        <w:spacing w:after="0"/>
        <w:ind w:left="2160"/>
        <w:textAlignment w:val="auto"/>
        <w:rPr>
          <w:rFonts w:eastAsia="Times New Roman"/>
          <w:lang w:eastAsia="zh-CN"/>
        </w:rPr>
      </w:pPr>
      <w:r w:rsidRPr="008C35FC">
        <w:rPr>
          <w:rFonts w:eastAsia="Times New Roman"/>
          <w:lang w:eastAsia="zh-CN"/>
        </w:rPr>
        <w:t>FFS other details (no additional RRC impact)</w:t>
      </w:r>
    </w:p>
    <w:p w14:paraId="16299E59" w14:textId="77777777" w:rsidR="00D32F40" w:rsidRDefault="00D32F40" w:rsidP="00DD6463">
      <w:pPr>
        <w:overflowPunct/>
        <w:autoSpaceDE/>
        <w:autoSpaceDN/>
        <w:adjustRightInd/>
        <w:textAlignment w:val="auto"/>
        <w:rPr>
          <w:rFonts w:eastAsia="Times New Roman"/>
          <w:color w:val="FF0000"/>
          <w:lang w:eastAsia="zh-CN"/>
        </w:rPr>
      </w:pPr>
    </w:p>
    <w:p w14:paraId="7B158A37" w14:textId="2A5CA01E" w:rsidR="00D32F40" w:rsidRPr="00304C6B" w:rsidRDefault="00C46B84" w:rsidP="00DD6463">
      <w:pPr>
        <w:overflowPunct/>
        <w:autoSpaceDE/>
        <w:autoSpaceDN/>
        <w:adjustRightInd/>
        <w:textAlignment w:val="auto"/>
        <w:rPr>
          <w:rFonts w:eastAsia="Times New Roman"/>
          <w:lang w:eastAsia="zh-CN"/>
        </w:rPr>
      </w:pPr>
      <w:r w:rsidRPr="002A601D">
        <w:rPr>
          <w:rFonts w:eastAsia="Times New Roman"/>
          <w:lang w:eastAsia="zh-CN"/>
        </w:rPr>
        <w:t xml:space="preserve">Note that the block </w:t>
      </w:r>
      <w:proofErr w:type="spellStart"/>
      <w:r w:rsidRPr="002A601D">
        <w:rPr>
          <w:rFonts w:eastAsia="Times New Roman"/>
          <w:lang w:eastAsia="zh-CN"/>
        </w:rPr>
        <w:t>interleaver</w:t>
      </w:r>
      <w:proofErr w:type="spellEnd"/>
      <w:r w:rsidRPr="002A601D">
        <w:rPr>
          <w:rFonts w:eastAsia="Times New Roman"/>
          <w:lang w:eastAsia="zh-CN"/>
        </w:rPr>
        <w:t xml:space="preserve"> is defined across the whole BWP, </w:t>
      </w:r>
      <w:r w:rsidR="00843CF8" w:rsidRPr="002A601D">
        <w:rPr>
          <w:rFonts w:eastAsia="Times New Roman"/>
          <w:lang w:eastAsia="zh-CN"/>
        </w:rPr>
        <w:t xml:space="preserve">which is configured by two parameters, </w:t>
      </w:r>
      <w:r w:rsidR="002B781D" w:rsidRPr="002A601D">
        <w:rPr>
          <w:rFonts w:eastAsia="Times New Roman"/>
          <w:position w:val="-14"/>
          <w:lang w:eastAsia="zh-CN"/>
        </w:rPr>
        <w:object w:dxaOrig="639" w:dyaOrig="400" w14:anchorId="7313A163">
          <v:shape id="_x0000_i1026" type="#_x0000_t75" style="width:32pt;height:19.5pt" o:ole="">
            <v:imagedata r:id="rId14" o:title=""/>
          </v:shape>
          <o:OLEObject Type="Embed" ProgID="Equation.DSMT4" ShapeID="_x0000_i1026" DrawAspect="Content" ObjectID="_1577293075" r:id="rId15"/>
        </w:object>
      </w:r>
      <w:r w:rsidR="002B781D" w:rsidRPr="002A601D">
        <w:rPr>
          <w:rFonts w:eastAsia="Times New Roman"/>
          <w:lang w:eastAsia="zh-CN"/>
        </w:rPr>
        <w:t xml:space="preserve"> and </w:t>
      </w:r>
      <w:r w:rsidR="000B3413" w:rsidRPr="002A601D">
        <w:rPr>
          <w:rFonts w:eastAsia="Times New Roman"/>
          <w:position w:val="-14"/>
          <w:lang w:eastAsia="zh-CN"/>
        </w:rPr>
        <w:object w:dxaOrig="639" w:dyaOrig="400" w14:anchorId="0331FFCC">
          <v:shape id="_x0000_i1027" type="#_x0000_t75" style="width:32pt;height:19.5pt" o:ole="">
            <v:imagedata r:id="rId16" o:title=""/>
          </v:shape>
          <o:OLEObject Type="Embed" ProgID="Equation.DSMT4" ShapeID="_x0000_i1027" DrawAspect="Content" ObjectID="_1577293076" r:id="rId17"/>
        </w:object>
      </w:r>
      <w:r w:rsidR="000B3413" w:rsidRPr="002A601D">
        <w:rPr>
          <w:rFonts w:eastAsia="Times New Roman"/>
          <w:lang w:eastAsia="zh-CN"/>
        </w:rPr>
        <w:t>. Therefore, if the size of</w:t>
      </w:r>
      <w:r w:rsidR="002A7E7D" w:rsidRPr="002A601D">
        <w:rPr>
          <w:rFonts w:eastAsia="Times New Roman"/>
          <w:lang w:eastAsia="zh-CN"/>
        </w:rPr>
        <w:t xml:space="preserve"> the BWP is not divided by the </w:t>
      </w:r>
      <w:r w:rsidR="004960F6" w:rsidRPr="002A601D">
        <w:rPr>
          <w:rFonts w:eastAsia="Times New Roman"/>
          <w:lang w:eastAsia="zh-CN"/>
        </w:rPr>
        <w:t xml:space="preserve">configured </w:t>
      </w:r>
      <w:r w:rsidR="002A7E7D" w:rsidRPr="002A601D">
        <w:rPr>
          <w:rFonts w:eastAsia="Times New Roman"/>
          <w:lang w:eastAsia="zh-CN"/>
        </w:rPr>
        <w:t>size of the interleaving unit</w:t>
      </w:r>
      <w:r w:rsidR="002F02D0" w:rsidRPr="002A601D">
        <w:rPr>
          <w:rFonts w:eastAsia="Times New Roman"/>
          <w:lang w:eastAsia="zh-CN"/>
        </w:rPr>
        <w:t xml:space="preserve"> (</w:t>
      </w:r>
      <w:r w:rsidR="002A7E7D" w:rsidRPr="002A601D">
        <w:rPr>
          <w:rFonts w:eastAsia="Times New Roman"/>
          <w:lang w:eastAsia="zh-CN"/>
        </w:rPr>
        <w:t>2 or 4 RBs</w:t>
      </w:r>
      <w:r w:rsidR="002F02D0" w:rsidRPr="002A601D">
        <w:rPr>
          <w:rFonts w:eastAsia="Times New Roman"/>
          <w:lang w:eastAsia="zh-CN"/>
        </w:rPr>
        <w:t>)</w:t>
      </w:r>
      <w:r w:rsidR="002A7E7D" w:rsidRPr="002A601D">
        <w:rPr>
          <w:rFonts w:eastAsia="Times New Roman"/>
          <w:lang w:eastAsia="zh-CN"/>
        </w:rPr>
        <w:t xml:space="preserve">, </w:t>
      </w:r>
      <w:r w:rsidR="00005269" w:rsidRPr="002A601D">
        <w:rPr>
          <w:rFonts w:eastAsia="Times New Roman"/>
          <w:lang w:eastAsia="zh-CN"/>
        </w:rPr>
        <w:t xml:space="preserve">the BWP may contain </w:t>
      </w:r>
      <w:r w:rsidR="002F02D0" w:rsidRPr="002A601D">
        <w:rPr>
          <w:rFonts w:eastAsia="Times New Roman"/>
          <w:lang w:eastAsia="zh-CN"/>
        </w:rPr>
        <w:t xml:space="preserve">partial interleaving units, whose sizes are smaller than the configured </w:t>
      </w:r>
      <w:r w:rsidR="005932D4" w:rsidRPr="002A601D">
        <w:rPr>
          <w:rFonts w:eastAsia="Times New Roman"/>
          <w:lang w:eastAsia="zh-CN"/>
        </w:rPr>
        <w:t xml:space="preserve">value. </w:t>
      </w:r>
      <w:r w:rsidR="00984C7C" w:rsidRPr="002A601D">
        <w:rPr>
          <w:rFonts w:eastAsia="Times New Roman"/>
          <w:lang w:eastAsia="zh-CN"/>
        </w:rPr>
        <w:t xml:space="preserve">Some </w:t>
      </w:r>
      <w:r w:rsidR="00AF4371" w:rsidRPr="002A601D">
        <w:rPr>
          <w:rFonts w:eastAsia="Times New Roman"/>
          <w:lang w:eastAsia="zh-CN"/>
        </w:rPr>
        <w:t xml:space="preserve">examples </w:t>
      </w:r>
      <w:r w:rsidR="00984C7C" w:rsidRPr="002A601D">
        <w:rPr>
          <w:rFonts w:eastAsia="Times New Roman"/>
          <w:lang w:eastAsia="zh-CN"/>
        </w:rPr>
        <w:t>of such</w:t>
      </w:r>
      <w:r w:rsidR="004F56BB" w:rsidRPr="002A601D">
        <w:rPr>
          <w:rFonts w:eastAsia="Times New Roman"/>
          <w:lang w:eastAsia="zh-CN"/>
        </w:rPr>
        <w:t xml:space="preserve"> situa</w:t>
      </w:r>
      <w:r w:rsidR="00070519" w:rsidRPr="002A601D">
        <w:rPr>
          <w:rFonts w:eastAsia="Times New Roman"/>
          <w:lang w:eastAsia="zh-CN"/>
        </w:rPr>
        <w:t>tions in</w:t>
      </w:r>
      <w:r w:rsidR="00984C7C" w:rsidRPr="002A601D">
        <w:rPr>
          <w:rFonts w:eastAsia="Times New Roman"/>
          <w:lang w:eastAsia="zh-CN"/>
        </w:rPr>
        <w:t xml:space="preserve"> </w:t>
      </w:r>
      <w:r w:rsidR="00955FBA" w:rsidRPr="002A601D">
        <w:rPr>
          <w:rFonts w:eastAsia="Times New Roman"/>
          <w:lang w:eastAsia="zh-CN"/>
        </w:rPr>
        <w:t>DL VRB-to-PRB</w:t>
      </w:r>
      <w:r w:rsidR="00070519" w:rsidRPr="002A601D">
        <w:rPr>
          <w:rFonts w:eastAsia="Times New Roman"/>
          <w:lang w:eastAsia="zh-CN"/>
        </w:rPr>
        <w:t xml:space="preserve"> mapping are illustrated in Appendix 1.</w:t>
      </w:r>
    </w:p>
    <w:p w14:paraId="5FEFFEFA" w14:textId="7597E1EF" w:rsidR="00B53767" w:rsidRPr="00D32F40" w:rsidRDefault="00F07834" w:rsidP="007D73B2">
      <w:pPr>
        <w:rPr>
          <w:rFonts w:eastAsia="Times New Roman"/>
          <w:i/>
          <w:lang w:eastAsia="zh-CN"/>
        </w:rPr>
      </w:pPr>
      <w:r w:rsidRPr="000F1E17">
        <w:rPr>
          <w:rFonts w:eastAsia="Times New Roman"/>
          <w:b/>
          <w:u w:val="single"/>
          <w:lang w:eastAsia="zh-CN"/>
        </w:rPr>
        <w:t>Proposal</w:t>
      </w:r>
      <w:r>
        <w:rPr>
          <w:rFonts w:eastAsia="Times New Roman"/>
          <w:b/>
          <w:u w:val="single"/>
          <w:lang w:eastAsia="zh-CN"/>
        </w:rPr>
        <w:t xml:space="preserve"> </w:t>
      </w:r>
      <w:r w:rsidR="002B4924">
        <w:rPr>
          <w:rFonts w:eastAsia="Times New Roman"/>
          <w:b/>
          <w:u w:val="single"/>
          <w:lang w:eastAsia="zh-CN"/>
        </w:rPr>
        <w:t>8</w:t>
      </w:r>
      <w:r w:rsidRPr="000F1E17">
        <w:rPr>
          <w:rFonts w:eastAsia="Times New Roman"/>
          <w:b/>
          <w:u w:val="single"/>
          <w:lang w:eastAsia="zh-CN"/>
        </w:rPr>
        <w:t>:</w:t>
      </w:r>
      <w:r>
        <w:rPr>
          <w:rFonts w:eastAsia="Times New Roman"/>
          <w:lang w:eastAsia="zh-CN"/>
        </w:rPr>
        <w:t xml:space="preserve"> </w:t>
      </w:r>
      <w:r w:rsidRPr="00D32F40">
        <w:rPr>
          <w:rFonts w:eastAsia="Times New Roman"/>
          <w:i/>
          <w:lang w:eastAsia="zh-CN"/>
        </w:rPr>
        <w:t xml:space="preserve">A BWP may contain a partial interleaving </w:t>
      </w:r>
      <w:proofErr w:type="gramStart"/>
      <w:r w:rsidRPr="00D32F40">
        <w:rPr>
          <w:rFonts w:eastAsia="Times New Roman"/>
          <w:i/>
          <w:lang w:eastAsia="zh-CN"/>
        </w:rPr>
        <w:t>unit,</w:t>
      </w:r>
      <w:proofErr w:type="gramEnd"/>
      <w:r w:rsidRPr="00D32F40">
        <w:rPr>
          <w:rFonts w:eastAsia="Times New Roman"/>
          <w:i/>
          <w:lang w:eastAsia="zh-CN"/>
        </w:rPr>
        <w:t xml:space="preserve"> whose size is smaller than the configured value. </w:t>
      </w:r>
      <w:r w:rsidR="00DD6463" w:rsidRPr="00D32F40">
        <w:rPr>
          <w:rFonts w:eastAsia="Times New Roman"/>
          <w:i/>
          <w:lang w:eastAsia="zh-CN"/>
        </w:rPr>
        <w:t>To support partial interleaving units both in DL a</w:t>
      </w:r>
      <w:r w:rsidR="002156E3" w:rsidRPr="00D32F40">
        <w:rPr>
          <w:rFonts w:eastAsia="Times New Roman"/>
          <w:i/>
          <w:lang w:eastAsia="zh-CN"/>
        </w:rPr>
        <w:t xml:space="preserve">nd UL, </w:t>
      </w:r>
      <w:r w:rsidR="00D32F40" w:rsidRPr="00D32F40">
        <w:rPr>
          <w:rFonts w:eastAsia="Times New Roman"/>
          <w:i/>
          <w:lang w:eastAsia="zh-CN"/>
        </w:rPr>
        <w:t xml:space="preserve">the </w:t>
      </w:r>
      <w:r w:rsidR="00B53767" w:rsidRPr="00D32F40">
        <w:rPr>
          <w:rFonts w:eastAsia="Times New Roman"/>
          <w:i/>
          <w:lang w:eastAsia="zh-CN"/>
        </w:rPr>
        <w:t>tex</w:t>
      </w:r>
      <w:r w:rsidR="00D32F40" w:rsidRPr="00D32F40">
        <w:rPr>
          <w:rFonts w:eastAsia="Times New Roman"/>
          <w:i/>
          <w:lang w:eastAsia="zh-CN"/>
        </w:rPr>
        <w:t>t proposal in Appendix 2</w:t>
      </w:r>
      <w:r w:rsidR="00CD41FF">
        <w:rPr>
          <w:rFonts w:eastAsia="Times New Roman"/>
          <w:i/>
          <w:lang w:eastAsia="zh-CN"/>
        </w:rPr>
        <w:t xml:space="preserve"> should be adopted for TS 38.211.</w:t>
      </w:r>
    </w:p>
    <w:p w14:paraId="07A73904" w14:textId="269F73C2" w:rsidR="00583503" w:rsidRPr="00583503" w:rsidRDefault="00583503" w:rsidP="00583503">
      <w:pPr>
        <w:rPr>
          <w:rFonts w:eastAsia="Times New Roman"/>
          <w:lang w:eastAsia="zh-CN"/>
        </w:rPr>
      </w:pPr>
    </w:p>
    <w:p w14:paraId="323A9669" w14:textId="601F6394" w:rsidR="006C0B07" w:rsidRDefault="00603460" w:rsidP="00603460">
      <w:pPr>
        <w:pStyle w:val="Heading1"/>
      </w:pPr>
      <w:r>
        <w:t>Conclusions</w:t>
      </w:r>
    </w:p>
    <w:p w14:paraId="446C4FE6" w14:textId="77777777" w:rsidR="00A51DA7" w:rsidRDefault="00A51DA7" w:rsidP="00A51DA7">
      <w:pPr>
        <w:overflowPunct/>
        <w:autoSpaceDE/>
        <w:autoSpaceDN/>
        <w:adjustRightInd/>
        <w:spacing w:after="0"/>
        <w:textAlignment w:val="auto"/>
        <w:rPr>
          <w:rFonts w:eastAsia="Times New Roman"/>
        </w:rPr>
      </w:pPr>
      <w:r w:rsidRPr="00215CFB">
        <w:rPr>
          <w:rFonts w:eastAsia="Times New Roman"/>
          <w:b/>
          <w:u w:val="single"/>
        </w:rPr>
        <w:t>Proposal 1:</w:t>
      </w:r>
      <w:r>
        <w:rPr>
          <w:rFonts w:eastAsia="Times New Roman"/>
          <w:b/>
        </w:rPr>
        <w:t xml:space="preserve"> </w:t>
      </w:r>
      <w:r w:rsidRPr="00215CFB">
        <w:rPr>
          <w:rFonts w:eastAsia="Times New Roman"/>
          <w:i/>
        </w:rPr>
        <w:t>The</w:t>
      </w:r>
      <w:r w:rsidRPr="00215CFB">
        <w:rPr>
          <w:rFonts w:eastAsia="Times New Roman"/>
          <w:b/>
          <w:i/>
        </w:rPr>
        <w:t xml:space="preserve"> </w:t>
      </w:r>
      <w:r w:rsidRPr="00215CFB">
        <w:rPr>
          <w:rFonts w:eastAsia="Times New Roman"/>
          <w:i/>
        </w:rPr>
        <w:t xml:space="preserve">TS 38.214 </w:t>
      </w:r>
      <w:proofErr w:type="spellStart"/>
      <w:r w:rsidRPr="00215CFB">
        <w:rPr>
          <w:rFonts w:eastAsia="Times New Roman"/>
          <w:i/>
        </w:rPr>
        <w:t>subclauses</w:t>
      </w:r>
      <w:proofErr w:type="spellEnd"/>
      <w:r w:rsidRPr="00215CFB">
        <w:rPr>
          <w:rFonts w:eastAsia="Times New Roman"/>
          <w:i/>
        </w:rPr>
        <w:t xml:space="preserve"> 5.2.1.2 and 6.2.1.2 should be modified to reflect the use the BWP-specific parameters below (from [2]) with regard to the time-domain resource allocation signaling. (Further modification of names for consistency between TS 38.331 and TS 38.214 may be done as long as the </w:t>
      </w:r>
      <w:r>
        <w:rPr>
          <w:rFonts w:eastAsia="Times New Roman"/>
          <w:i/>
        </w:rPr>
        <w:t xml:space="preserve">overall </w:t>
      </w:r>
      <w:r w:rsidRPr="00215CFB">
        <w:rPr>
          <w:rFonts w:eastAsia="Times New Roman"/>
          <w:i/>
        </w:rPr>
        <w:t>procedure is unchanged.)</w:t>
      </w:r>
    </w:p>
    <w:p w14:paraId="0A420C1D"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K0</w:t>
      </w:r>
    </w:p>
    <w:p w14:paraId="22D77B0B"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K2</w:t>
      </w:r>
    </w:p>
    <w:p w14:paraId="3F982BEA"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Mapping-type</w:t>
      </w:r>
    </w:p>
    <w:p w14:paraId="4BD97E75"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Index-start-</w:t>
      </w:r>
      <w:proofErr w:type="spellStart"/>
      <w:r w:rsidRPr="00304C6B">
        <w:rPr>
          <w:rFonts w:ascii="Times New Roman" w:eastAsia="Times New Roman" w:hAnsi="Times New Roman"/>
          <w:i/>
          <w:sz w:val="20"/>
        </w:rPr>
        <w:t>len</w:t>
      </w:r>
      <w:proofErr w:type="spellEnd"/>
    </w:p>
    <w:p w14:paraId="71D52F29"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index</w:t>
      </w:r>
    </w:p>
    <w:p w14:paraId="1A7F1DE0"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DL-data-DL-acknowledgement = {Slot-timing-value-K1}</w:t>
      </w:r>
    </w:p>
    <w:p w14:paraId="19A9D618" w14:textId="77777777" w:rsidR="00A51DA7" w:rsidRPr="00304C6B"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UL-data-time-domain = {</w:t>
      </w:r>
      <w:proofErr w:type="gramStart"/>
      <w:r w:rsidRPr="00304C6B">
        <w:rPr>
          <w:rFonts w:ascii="Times New Roman" w:eastAsia="Times New Roman" w:hAnsi="Times New Roman"/>
          <w:i/>
          <w:sz w:val="20"/>
        </w:rPr>
        <w:t>K2,Index</w:t>
      </w:r>
      <w:proofErr w:type="gramEnd"/>
      <w:r w:rsidRPr="00304C6B">
        <w:rPr>
          <w:rFonts w:ascii="Times New Roman" w:eastAsia="Times New Roman" w:hAnsi="Times New Roman"/>
          <w:i/>
          <w:sz w:val="20"/>
        </w:rPr>
        <w:t>-start-len,index}</w:t>
      </w:r>
    </w:p>
    <w:p w14:paraId="2F3C0C51" w14:textId="12294606" w:rsidR="00A51DA7" w:rsidRDefault="00A51DA7" w:rsidP="00A51DA7">
      <w:pPr>
        <w:pStyle w:val="ListParagraph"/>
        <w:numPr>
          <w:ilvl w:val="0"/>
          <w:numId w:val="15"/>
        </w:numPr>
        <w:rPr>
          <w:rFonts w:ascii="Times New Roman" w:eastAsia="Times New Roman" w:hAnsi="Times New Roman"/>
          <w:i/>
          <w:sz w:val="20"/>
        </w:rPr>
      </w:pPr>
      <w:r w:rsidRPr="00304C6B">
        <w:rPr>
          <w:rFonts w:ascii="Times New Roman" w:eastAsia="Times New Roman" w:hAnsi="Times New Roman"/>
          <w:i/>
          <w:sz w:val="20"/>
        </w:rPr>
        <w:t>DL-data-time-domain = {K</w:t>
      </w:r>
      <w:proofErr w:type="gramStart"/>
      <w:r w:rsidRPr="00304C6B">
        <w:rPr>
          <w:rFonts w:ascii="Times New Roman" w:eastAsia="Times New Roman" w:hAnsi="Times New Roman"/>
          <w:i/>
          <w:sz w:val="20"/>
        </w:rPr>
        <w:t>0,Mapping</w:t>
      </w:r>
      <w:proofErr w:type="gramEnd"/>
      <w:r w:rsidRPr="00304C6B">
        <w:rPr>
          <w:rFonts w:ascii="Times New Roman" w:eastAsia="Times New Roman" w:hAnsi="Times New Roman"/>
          <w:i/>
          <w:sz w:val="20"/>
        </w:rPr>
        <w:t>-type,Index-start-len,index}</w:t>
      </w:r>
    </w:p>
    <w:p w14:paraId="54700123" w14:textId="77777777" w:rsidR="00A51DA7" w:rsidRPr="00A51DA7" w:rsidRDefault="00A51DA7" w:rsidP="00A51DA7">
      <w:pPr>
        <w:pStyle w:val="ListParagraph"/>
        <w:rPr>
          <w:rFonts w:ascii="Times New Roman" w:eastAsia="Times New Roman" w:hAnsi="Times New Roman"/>
          <w:i/>
          <w:sz w:val="20"/>
        </w:rPr>
      </w:pPr>
    </w:p>
    <w:p w14:paraId="570B378E" w14:textId="77777777" w:rsidR="00304C6B" w:rsidRPr="009770BB" w:rsidRDefault="00304C6B" w:rsidP="00304C6B">
      <w:pPr>
        <w:rPr>
          <w:rFonts w:eastAsia="Times New Roman"/>
        </w:rPr>
      </w:pPr>
      <w:r w:rsidRPr="009770BB">
        <w:rPr>
          <w:rFonts w:eastAsia="Times New Roman"/>
          <w:b/>
          <w:u w:val="single"/>
        </w:rPr>
        <w:t>Proposal 2:</w:t>
      </w:r>
      <w:r>
        <w:rPr>
          <w:rFonts w:eastAsia="Times New Roman"/>
        </w:rPr>
        <w:t xml:space="preserve"> </w:t>
      </w:r>
      <w:r w:rsidRPr="009770BB">
        <w:rPr>
          <w:rFonts w:eastAsia="Times New Roman"/>
          <w:i/>
        </w:rPr>
        <w:t xml:space="preserve">The TS38.214 </w:t>
      </w:r>
      <w:proofErr w:type="spellStart"/>
      <w:r w:rsidRPr="009770BB">
        <w:rPr>
          <w:rFonts w:eastAsia="Times New Roman"/>
          <w:i/>
        </w:rPr>
        <w:t>subclause</w:t>
      </w:r>
      <w:proofErr w:type="spellEnd"/>
      <w:r w:rsidRPr="009770BB">
        <w:rPr>
          <w:rFonts w:eastAsia="Times New Roman"/>
          <w:i/>
        </w:rPr>
        <w:t xml:space="preserve"> 5.2.1.2 should have the additional text related to UE behavior, “UE is not expected to receive PDSCH type A in the same slot if the PDCCH monitoring is after the first two or three symbols of a slot”</w:t>
      </w:r>
    </w:p>
    <w:p w14:paraId="5F373230" w14:textId="77777777" w:rsidR="00304C6B" w:rsidRPr="00741B31" w:rsidRDefault="00304C6B" w:rsidP="00304C6B">
      <w:pPr>
        <w:overflowPunct/>
        <w:autoSpaceDE/>
        <w:autoSpaceDN/>
        <w:adjustRightInd/>
        <w:spacing w:after="0"/>
        <w:textAlignment w:val="auto"/>
        <w:rPr>
          <w:rFonts w:eastAsia="Times New Roman"/>
          <w:b/>
          <w:u w:val="single"/>
        </w:rPr>
      </w:pPr>
      <w:r w:rsidRPr="00741B31">
        <w:rPr>
          <w:rFonts w:eastAsia="Times New Roman"/>
          <w:b/>
          <w:u w:val="single"/>
        </w:rPr>
        <w:t xml:space="preserve">Proposal </w:t>
      </w:r>
      <w:r>
        <w:rPr>
          <w:rFonts w:eastAsia="Times New Roman"/>
          <w:b/>
          <w:u w:val="single"/>
        </w:rPr>
        <w:t>3</w:t>
      </w:r>
      <w:r w:rsidRPr="00741B31">
        <w:rPr>
          <w:rFonts w:eastAsia="Times New Roman"/>
          <w:b/>
          <w:u w:val="single"/>
        </w:rPr>
        <w:t xml:space="preserve">: </w:t>
      </w:r>
      <w:r w:rsidRPr="00741B31">
        <w:rPr>
          <w:rFonts w:eastAsia="Times New Roman"/>
          <w:i/>
        </w:rPr>
        <w:t>The values of K0 which can be configured by RRC (to be indexed by 2 bits in DCI) should include {0,1,</w:t>
      </w:r>
      <w:proofErr w:type="gramStart"/>
      <w:r w:rsidRPr="00741B31">
        <w:rPr>
          <w:rFonts w:eastAsia="Times New Roman"/>
          <w:i/>
        </w:rPr>
        <w:t>2,3,</w:t>
      </w:r>
      <w:r w:rsidRPr="009770BB">
        <w:rPr>
          <w:rFonts w:eastAsia="Times New Roman"/>
          <w:i/>
        </w:rPr>
        <w:t>..</w:t>
      </w:r>
      <w:proofErr w:type="gramEnd"/>
      <w:r w:rsidRPr="009770BB">
        <w:rPr>
          <w:rFonts w:eastAsia="Times New Roman"/>
          <w:i/>
        </w:rPr>
        <w:t>,[</w:t>
      </w:r>
      <w:r w:rsidRPr="009770BB">
        <w:rPr>
          <w:rFonts w:eastAsia="Times New Roman"/>
          <w:i/>
          <w:iCs/>
        </w:rPr>
        <w:t>40</w:t>
      </w:r>
      <w:r w:rsidRPr="009770BB">
        <w:rPr>
          <w:rFonts w:eastAsia="Times New Roman"/>
          <w:i/>
        </w:rPr>
        <w:t>]</w:t>
      </w:r>
      <w:r w:rsidRPr="00741B31">
        <w:rPr>
          <w:rFonts w:eastAsia="Times New Roman"/>
          <w:i/>
        </w:rPr>
        <w:t>}</w:t>
      </w:r>
      <w:r w:rsidRPr="00AF045F">
        <w:rPr>
          <w:rFonts w:eastAsia="Times New Roman"/>
        </w:rPr>
        <w:t xml:space="preserve">. </w:t>
      </w:r>
      <w:r w:rsidRPr="00741B31">
        <w:rPr>
          <w:rFonts w:eastAsia="Times New Roman"/>
          <w:i/>
        </w:rPr>
        <w:t>The values of K2 which can be configured by RRC (to be indexed by 3 bits in DCI) should include {0,1,</w:t>
      </w:r>
      <w:proofErr w:type="gramStart"/>
      <w:r w:rsidRPr="00741B31">
        <w:rPr>
          <w:rFonts w:eastAsia="Times New Roman"/>
          <w:i/>
        </w:rPr>
        <w:t>2,3,</w:t>
      </w:r>
      <w:r w:rsidRPr="009770BB">
        <w:rPr>
          <w:rFonts w:eastAsia="Times New Roman"/>
          <w:i/>
        </w:rPr>
        <w:t>..</w:t>
      </w:r>
      <w:proofErr w:type="gramEnd"/>
      <w:r w:rsidRPr="009770BB">
        <w:rPr>
          <w:rFonts w:eastAsia="Times New Roman"/>
          <w:i/>
        </w:rPr>
        <w:t>,[</w:t>
      </w:r>
      <w:r w:rsidRPr="009770BB">
        <w:rPr>
          <w:rFonts w:eastAsia="Times New Roman"/>
          <w:i/>
          <w:iCs/>
        </w:rPr>
        <w:t>40</w:t>
      </w:r>
      <w:r w:rsidRPr="009770BB">
        <w:rPr>
          <w:rFonts w:eastAsia="Times New Roman"/>
          <w:i/>
        </w:rPr>
        <w:t>]</w:t>
      </w:r>
      <w:r w:rsidRPr="00741B31">
        <w:rPr>
          <w:rFonts w:eastAsia="Times New Roman"/>
          <w:i/>
        </w:rPr>
        <w:t>}</w:t>
      </w:r>
      <w:r>
        <w:rPr>
          <w:rFonts w:eastAsia="Times New Roman"/>
          <w:i/>
        </w:rPr>
        <w:t>.</w:t>
      </w:r>
    </w:p>
    <w:p w14:paraId="395AE486" w14:textId="77777777" w:rsidR="00304C6B" w:rsidRDefault="00304C6B" w:rsidP="00304C6B">
      <w:pPr>
        <w:overflowPunct/>
        <w:autoSpaceDE/>
        <w:autoSpaceDN/>
        <w:adjustRightInd/>
        <w:spacing w:after="0"/>
        <w:textAlignment w:val="auto"/>
        <w:rPr>
          <w:b/>
          <w:iCs/>
          <w:u w:val="single"/>
        </w:rPr>
      </w:pPr>
    </w:p>
    <w:p w14:paraId="311746CC" w14:textId="4B4BE346" w:rsidR="00304C6B" w:rsidRDefault="00304C6B" w:rsidP="00304C6B">
      <w:pPr>
        <w:overflowPunct/>
        <w:autoSpaceDE/>
        <w:autoSpaceDN/>
        <w:adjustRightInd/>
        <w:spacing w:after="0"/>
        <w:textAlignment w:val="auto"/>
        <w:rPr>
          <w:b/>
          <w:iCs/>
        </w:rPr>
      </w:pPr>
      <w:r>
        <w:rPr>
          <w:b/>
          <w:iCs/>
          <w:u w:val="single"/>
        </w:rPr>
        <w:t xml:space="preserve"> Proposal 4</w:t>
      </w:r>
      <w:r w:rsidRPr="0013051F">
        <w:rPr>
          <w:b/>
          <w:iCs/>
          <w:u w:val="single"/>
        </w:rPr>
        <w:t>:</w:t>
      </w:r>
      <w:r w:rsidRPr="009770BB">
        <w:rPr>
          <w:i/>
          <w:iCs/>
        </w:rPr>
        <w:t xml:space="preserve"> Regarding the support of </w:t>
      </w:r>
      <w:r>
        <w:rPr>
          <w:i/>
          <w:iCs/>
        </w:rPr>
        <w:t xml:space="preserve">TB </w:t>
      </w:r>
      <w:r w:rsidRPr="009770BB">
        <w:rPr>
          <w:i/>
          <w:iCs/>
        </w:rPr>
        <w:t>repetition</w:t>
      </w:r>
      <w:r>
        <w:rPr>
          <w:i/>
          <w:iCs/>
        </w:rPr>
        <w:t xml:space="preserve"> spanning multiple slots or mini-slots</w:t>
      </w:r>
      <w:r w:rsidRPr="009770BB">
        <w:rPr>
          <w:i/>
          <w:iCs/>
        </w:rPr>
        <w:t xml:space="preserve"> in NR specification</w:t>
      </w:r>
    </w:p>
    <w:p w14:paraId="6503D4BD" w14:textId="77777777" w:rsidR="00304C6B" w:rsidRPr="00AF045F" w:rsidRDefault="00304C6B" w:rsidP="00304C6B">
      <w:pPr>
        <w:pStyle w:val="ListParagraph"/>
        <w:numPr>
          <w:ilvl w:val="0"/>
          <w:numId w:val="19"/>
        </w:numPr>
        <w:rPr>
          <w:rFonts w:ascii="Times New Roman" w:hAnsi="Times New Roman"/>
          <w:sz w:val="20"/>
        </w:rPr>
      </w:pPr>
      <w:r w:rsidRPr="00AF045F">
        <w:rPr>
          <w:rFonts w:ascii="Times New Roman" w:hAnsi="Times New Roman"/>
          <w:i/>
          <w:sz w:val="20"/>
        </w:rPr>
        <w:t>When the UE is configured for repetition either on the downlink or the uplink, the maximum rank supported is 1.</w:t>
      </w:r>
    </w:p>
    <w:p w14:paraId="5F0549F0" w14:textId="77777777" w:rsidR="00304C6B" w:rsidRPr="00280362" w:rsidRDefault="00304C6B" w:rsidP="00304C6B">
      <w:pPr>
        <w:pStyle w:val="ListParagraph"/>
        <w:numPr>
          <w:ilvl w:val="0"/>
          <w:numId w:val="19"/>
        </w:numPr>
        <w:rPr>
          <w:rFonts w:ascii="Times New Roman" w:hAnsi="Times New Roman"/>
          <w:i/>
          <w:sz w:val="20"/>
        </w:rPr>
      </w:pPr>
      <w:r w:rsidRPr="00280362">
        <w:rPr>
          <w:rFonts w:ascii="Times New Roman" w:hAnsi="Times New Roman"/>
          <w:i/>
          <w:sz w:val="20"/>
        </w:rPr>
        <w:t xml:space="preserve">The </w:t>
      </w:r>
      <w:r>
        <w:rPr>
          <w:rFonts w:ascii="Times New Roman" w:hAnsi="Times New Roman"/>
          <w:i/>
          <w:sz w:val="20"/>
        </w:rPr>
        <w:t xml:space="preserve">RV field in </w:t>
      </w:r>
      <w:r w:rsidRPr="00280362">
        <w:rPr>
          <w:rFonts w:ascii="Times New Roman" w:hAnsi="Times New Roman"/>
          <w:i/>
          <w:sz w:val="20"/>
        </w:rPr>
        <w:t>DCI</w:t>
      </w:r>
      <w:r>
        <w:rPr>
          <w:rFonts w:ascii="Times New Roman" w:hAnsi="Times New Roman"/>
          <w:i/>
          <w:sz w:val="20"/>
        </w:rPr>
        <w:t xml:space="preserve"> should correspond to the index among a set of configurable RV sequences to be used for the repetition.</w:t>
      </w:r>
    </w:p>
    <w:p w14:paraId="68F2544D" w14:textId="77777777" w:rsidR="00304C6B" w:rsidRPr="008217A1" w:rsidRDefault="00304C6B" w:rsidP="00304C6B">
      <w:pPr>
        <w:pStyle w:val="ListParagraph"/>
        <w:numPr>
          <w:ilvl w:val="0"/>
          <w:numId w:val="19"/>
        </w:numPr>
      </w:pPr>
      <w:r w:rsidRPr="00AF045F">
        <w:rPr>
          <w:rFonts w:ascii="Times New Roman" w:hAnsi="Times New Roman"/>
          <w:i/>
          <w:iCs/>
          <w:sz w:val="20"/>
        </w:rPr>
        <w:t xml:space="preserve">In TS 38.214 </w:t>
      </w:r>
      <w:proofErr w:type="spellStart"/>
      <w:r w:rsidRPr="00AF045F">
        <w:rPr>
          <w:rFonts w:ascii="Times New Roman" w:hAnsi="Times New Roman"/>
          <w:i/>
          <w:iCs/>
          <w:sz w:val="20"/>
        </w:rPr>
        <w:t>subclause</w:t>
      </w:r>
      <w:proofErr w:type="spellEnd"/>
      <w:r w:rsidRPr="00AF045F">
        <w:rPr>
          <w:rFonts w:ascii="Times New Roman" w:hAnsi="Times New Roman"/>
          <w:i/>
          <w:iCs/>
          <w:sz w:val="20"/>
        </w:rPr>
        <w:t xml:space="preserve"> 5.1.2.1, when the parameter </w:t>
      </w:r>
      <w:r w:rsidRPr="00AF045F">
        <w:rPr>
          <w:rFonts w:ascii="Times New Roman" w:hAnsi="Times New Roman"/>
          <w:i/>
          <w:color w:val="000000"/>
          <w:sz w:val="20"/>
        </w:rPr>
        <w:t>aggregation-factor-DL</w:t>
      </w:r>
      <w:r w:rsidRPr="00AF045F">
        <w:rPr>
          <w:rFonts w:ascii="Times New Roman" w:hAnsi="Times New Roman"/>
          <w:i/>
          <w:iCs/>
          <w:sz w:val="20"/>
        </w:rPr>
        <w:t xml:space="preserve"> is set &gt; 1, it should be indicated in the text that the repetition of the TB is assumed across those number of aggregated slots. A similar text should appear in 6.1.2.1 with respect to the parameter </w:t>
      </w:r>
      <w:r w:rsidRPr="00AF045F">
        <w:rPr>
          <w:rFonts w:ascii="Times New Roman" w:hAnsi="Times New Roman"/>
          <w:i/>
          <w:color w:val="000000"/>
          <w:sz w:val="20"/>
        </w:rPr>
        <w:t>aggregation-factor-UL. Further details of the</w:t>
      </w:r>
      <w:r>
        <w:rPr>
          <w:rFonts w:ascii="Times New Roman" w:hAnsi="Times New Roman"/>
          <w:i/>
          <w:color w:val="000000"/>
          <w:sz w:val="20"/>
        </w:rPr>
        <w:t xml:space="preserve"> rank and</w:t>
      </w:r>
      <w:r w:rsidRPr="00AF045F">
        <w:rPr>
          <w:rFonts w:ascii="Times New Roman" w:hAnsi="Times New Roman"/>
          <w:i/>
          <w:color w:val="000000"/>
          <w:sz w:val="20"/>
        </w:rPr>
        <w:t xml:space="preserve"> RV sequence to use in the repetition should be included consistent with RAN1 agreements</w:t>
      </w:r>
      <w:r>
        <w:rPr>
          <w:rFonts w:ascii="Times New Roman" w:hAnsi="Times New Roman"/>
          <w:i/>
          <w:color w:val="000000"/>
          <w:sz w:val="20"/>
        </w:rPr>
        <w:t xml:space="preserve"> and the above proposals.</w:t>
      </w:r>
    </w:p>
    <w:p w14:paraId="67A13973" w14:textId="77777777" w:rsidR="00304C6B" w:rsidRDefault="00304C6B" w:rsidP="00304C6B">
      <w:pPr>
        <w:contextualSpacing/>
        <w:rPr>
          <w:b/>
          <w:color w:val="FF0000"/>
          <w:lang w:val="en-GB"/>
        </w:rPr>
      </w:pPr>
    </w:p>
    <w:p w14:paraId="56417FB9" w14:textId="77777777" w:rsidR="00304C6B" w:rsidRPr="00FE4627" w:rsidRDefault="00304C6B" w:rsidP="00304C6B">
      <w:pPr>
        <w:contextualSpacing/>
        <w:rPr>
          <w:i/>
        </w:rPr>
      </w:pPr>
      <w:r w:rsidRPr="00B60EE9">
        <w:rPr>
          <w:b/>
          <w:u w:val="single"/>
        </w:rPr>
        <w:t>Proposal</w:t>
      </w:r>
      <w:r>
        <w:rPr>
          <w:b/>
          <w:u w:val="single"/>
        </w:rPr>
        <w:t xml:space="preserve"> 5</w:t>
      </w:r>
      <w:r w:rsidRPr="00B60EE9">
        <w:rPr>
          <w:b/>
          <w:u w:val="single"/>
        </w:rPr>
        <w:t>:</w:t>
      </w:r>
      <w:r>
        <w:rPr>
          <w:b/>
        </w:rPr>
        <w:t xml:space="preserve"> </w:t>
      </w:r>
      <w:r w:rsidRPr="00FE4627">
        <w:rPr>
          <w:i/>
        </w:rPr>
        <w:t>The RBG sizes in the above table should satisfy the following requirements</w:t>
      </w:r>
    </w:p>
    <w:p w14:paraId="29CDB12D" w14:textId="77777777" w:rsidR="00304C6B" w:rsidRPr="00FE4627" w:rsidRDefault="00304C6B" w:rsidP="00304C6B">
      <w:pPr>
        <w:pStyle w:val="ListParagraph"/>
        <w:numPr>
          <w:ilvl w:val="0"/>
          <w:numId w:val="11"/>
        </w:numPr>
        <w:contextualSpacing/>
        <w:rPr>
          <w:i/>
        </w:rPr>
      </w:pPr>
      <w:r w:rsidRPr="00FE4627">
        <w:rPr>
          <w:i/>
        </w:rPr>
        <w:t>For both configurations, the RBG sizes should scale up proportionally with bandwidth.</w:t>
      </w:r>
    </w:p>
    <w:p w14:paraId="5312E470" w14:textId="77777777" w:rsidR="00304C6B" w:rsidRPr="00FE4627" w:rsidRDefault="00304C6B" w:rsidP="00304C6B">
      <w:pPr>
        <w:pStyle w:val="ListParagraph"/>
        <w:numPr>
          <w:ilvl w:val="0"/>
          <w:numId w:val="11"/>
        </w:numPr>
        <w:contextualSpacing/>
        <w:rPr>
          <w:i/>
        </w:rPr>
      </w:pPr>
      <w:r w:rsidRPr="00FE4627">
        <w:rPr>
          <w:i/>
        </w:rPr>
        <w:t>Config 1 should have only RBG sizes 8 and 16 to allow for smaller DCI sizes and coarser scheduling granularity</w:t>
      </w:r>
    </w:p>
    <w:p w14:paraId="16D27568" w14:textId="77777777" w:rsidR="00304C6B" w:rsidRPr="00FE4627" w:rsidRDefault="00304C6B" w:rsidP="00304C6B">
      <w:pPr>
        <w:pStyle w:val="ListParagraph"/>
        <w:numPr>
          <w:ilvl w:val="1"/>
          <w:numId w:val="11"/>
        </w:numPr>
        <w:contextualSpacing/>
        <w:rPr>
          <w:i/>
        </w:rPr>
      </w:pPr>
      <w:r w:rsidRPr="00FE4627">
        <w:rPr>
          <w:i/>
        </w:rPr>
        <w:lastRenderedPageBreak/>
        <w:t>This should be the fallback (or default) configuration</w:t>
      </w:r>
    </w:p>
    <w:p w14:paraId="22EECCA8" w14:textId="29C40349" w:rsidR="00304C6B" w:rsidRDefault="00304C6B" w:rsidP="00304C6B">
      <w:pPr>
        <w:pStyle w:val="ListParagraph"/>
        <w:numPr>
          <w:ilvl w:val="0"/>
          <w:numId w:val="11"/>
        </w:numPr>
        <w:contextualSpacing/>
        <w:rPr>
          <w:i/>
        </w:rPr>
      </w:pPr>
      <w:r w:rsidRPr="00FE4627">
        <w:rPr>
          <w:i/>
        </w:rPr>
        <w:t xml:space="preserve">Config 2 may have additional RBG sizes of 2,4,8 and 16 to allow for larger DCI </w:t>
      </w:r>
      <w:proofErr w:type="spellStart"/>
      <w:r w:rsidRPr="00FE4627">
        <w:rPr>
          <w:i/>
        </w:rPr>
        <w:t>szes</w:t>
      </w:r>
      <w:proofErr w:type="spellEnd"/>
      <w:r w:rsidRPr="00FE4627">
        <w:rPr>
          <w:i/>
        </w:rPr>
        <w:t xml:space="preserve"> and finer scheduling granularity.</w:t>
      </w:r>
    </w:p>
    <w:p w14:paraId="5FBECB54" w14:textId="77777777" w:rsidR="00304C6B" w:rsidRPr="00FE4627" w:rsidRDefault="00304C6B" w:rsidP="00304C6B">
      <w:pPr>
        <w:pStyle w:val="ListParagraph"/>
        <w:contextualSpacing/>
        <w:rPr>
          <w:i/>
        </w:rPr>
      </w:pPr>
    </w:p>
    <w:p w14:paraId="34ADA77B" w14:textId="2D45BE45" w:rsidR="00304C6B" w:rsidRDefault="00304C6B" w:rsidP="00304C6B">
      <w:pPr>
        <w:contextualSpacing/>
      </w:pPr>
      <w:r w:rsidRPr="000A05CD">
        <w:rPr>
          <w:b/>
          <w:u w:val="single"/>
        </w:rPr>
        <w:t xml:space="preserve">Proposal </w:t>
      </w:r>
      <w:r>
        <w:rPr>
          <w:b/>
          <w:u w:val="single"/>
        </w:rPr>
        <w:t>6</w:t>
      </w:r>
      <w:r w:rsidRPr="000A05CD">
        <w:rPr>
          <w:b/>
          <w:u w:val="single"/>
        </w:rPr>
        <w:t>:</w:t>
      </w:r>
      <w:r>
        <w:t xml:space="preserve"> </w:t>
      </w:r>
      <w:r w:rsidRPr="000A05CD">
        <w:rPr>
          <w:i/>
        </w:rPr>
        <w:t>The RBG sizes for config 1 and config 2 which can be selected by RRC are given in the table below.</w:t>
      </w:r>
    </w:p>
    <w:p w14:paraId="04FEEB96" w14:textId="77777777" w:rsidR="00304C6B" w:rsidRDefault="00304C6B" w:rsidP="00304C6B">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304C6B" w14:paraId="4D9ADBFB" w14:textId="77777777" w:rsidTr="00304C6B">
        <w:tc>
          <w:tcPr>
            <w:tcW w:w="1980" w:type="dxa"/>
            <w:tcBorders>
              <w:top w:val="single" w:sz="4" w:space="0" w:color="auto"/>
              <w:left w:val="single" w:sz="4" w:space="0" w:color="auto"/>
              <w:bottom w:val="single" w:sz="4" w:space="0" w:color="auto"/>
              <w:right w:val="single" w:sz="4" w:space="0" w:color="auto"/>
            </w:tcBorders>
          </w:tcPr>
          <w:p w14:paraId="42A07B0F" w14:textId="77777777" w:rsidR="00304C6B" w:rsidRDefault="00304C6B" w:rsidP="00304C6B">
            <w:r>
              <w:t>BWP size</w:t>
            </w:r>
          </w:p>
        </w:tc>
        <w:tc>
          <w:tcPr>
            <w:tcW w:w="1620" w:type="dxa"/>
            <w:tcBorders>
              <w:top w:val="single" w:sz="4" w:space="0" w:color="auto"/>
              <w:left w:val="single" w:sz="4" w:space="0" w:color="auto"/>
              <w:bottom w:val="single" w:sz="4" w:space="0" w:color="auto"/>
              <w:right w:val="single" w:sz="4" w:space="0" w:color="auto"/>
            </w:tcBorders>
            <w:hideMark/>
          </w:tcPr>
          <w:p w14:paraId="219DD6AD" w14:textId="77777777" w:rsidR="00304C6B" w:rsidRDefault="00304C6B" w:rsidP="00304C6B">
            <w:r>
              <w:t>Config 1</w:t>
            </w:r>
          </w:p>
        </w:tc>
        <w:tc>
          <w:tcPr>
            <w:tcW w:w="1620" w:type="dxa"/>
            <w:tcBorders>
              <w:top w:val="single" w:sz="4" w:space="0" w:color="auto"/>
              <w:left w:val="single" w:sz="4" w:space="0" w:color="auto"/>
              <w:bottom w:val="single" w:sz="4" w:space="0" w:color="auto"/>
              <w:right w:val="single" w:sz="4" w:space="0" w:color="auto"/>
            </w:tcBorders>
            <w:hideMark/>
          </w:tcPr>
          <w:p w14:paraId="3F4177B9" w14:textId="77777777" w:rsidR="00304C6B" w:rsidRDefault="00304C6B" w:rsidP="00304C6B">
            <w:r>
              <w:t>Config 2</w:t>
            </w:r>
          </w:p>
        </w:tc>
      </w:tr>
      <w:tr w:rsidR="00304C6B" w14:paraId="7CF9D520" w14:textId="77777777" w:rsidTr="00304C6B">
        <w:tc>
          <w:tcPr>
            <w:tcW w:w="1980" w:type="dxa"/>
            <w:tcBorders>
              <w:top w:val="single" w:sz="4" w:space="0" w:color="auto"/>
              <w:left w:val="single" w:sz="4" w:space="0" w:color="auto"/>
              <w:bottom w:val="single" w:sz="4" w:space="0" w:color="auto"/>
              <w:right w:val="single" w:sz="4" w:space="0" w:color="auto"/>
            </w:tcBorders>
            <w:hideMark/>
          </w:tcPr>
          <w:p w14:paraId="48F61BFA" w14:textId="77777777" w:rsidR="00304C6B" w:rsidRDefault="00304C6B" w:rsidP="00304C6B">
            <w:r>
              <w:t>&lt; 24 RBs</w:t>
            </w:r>
          </w:p>
        </w:tc>
        <w:tc>
          <w:tcPr>
            <w:tcW w:w="1620" w:type="dxa"/>
            <w:tcBorders>
              <w:top w:val="single" w:sz="4" w:space="0" w:color="auto"/>
              <w:left w:val="single" w:sz="4" w:space="0" w:color="auto"/>
              <w:bottom w:val="single" w:sz="4" w:space="0" w:color="auto"/>
              <w:right w:val="single" w:sz="4" w:space="0" w:color="auto"/>
            </w:tcBorders>
            <w:hideMark/>
          </w:tcPr>
          <w:p w14:paraId="249C1FF6" w14:textId="77777777" w:rsidR="00304C6B" w:rsidRDefault="00304C6B" w:rsidP="00304C6B">
            <w:r>
              <w:t>4</w:t>
            </w:r>
          </w:p>
        </w:tc>
        <w:tc>
          <w:tcPr>
            <w:tcW w:w="1620" w:type="dxa"/>
            <w:tcBorders>
              <w:top w:val="single" w:sz="4" w:space="0" w:color="auto"/>
              <w:left w:val="single" w:sz="4" w:space="0" w:color="auto"/>
              <w:bottom w:val="single" w:sz="4" w:space="0" w:color="auto"/>
              <w:right w:val="single" w:sz="4" w:space="0" w:color="auto"/>
            </w:tcBorders>
            <w:hideMark/>
          </w:tcPr>
          <w:p w14:paraId="1482E78D" w14:textId="77777777" w:rsidR="00304C6B" w:rsidRDefault="00304C6B" w:rsidP="00304C6B">
            <w:r>
              <w:t>2</w:t>
            </w:r>
          </w:p>
        </w:tc>
      </w:tr>
      <w:tr w:rsidR="00304C6B" w14:paraId="23EB705F" w14:textId="77777777" w:rsidTr="00304C6B">
        <w:tc>
          <w:tcPr>
            <w:tcW w:w="1980" w:type="dxa"/>
            <w:tcBorders>
              <w:top w:val="single" w:sz="4" w:space="0" w:color="auto"/>
              <w:left w:val="single" w:sz="4" w:space="0" w:color="auto"/>
              <w:bottom w:val="single" w:sz="4" w:space="0" w:color="auto"/>
              <w:right w:val="single" w:sz="4" w:space="0" w:color="auto"/>
            </w:tcBorders>
            <w:hideMark/>
          </w:tcPr>
          <w:p w14:paraId="177222B7" w14:textId="77777777" w:rsidR="00304C6B" w:rsidRDefault="00304C6B" w:rsidP="00304C6B">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14:paraId="10AA8426" w14:textId="77777777" w:rsidR="00304C6B" w:rsidRDefault="00304C6B" w:rsidP="00304C6B">
            <w:r>
              <w:t>8</w:t>
            </w:r>
          </w:p>
        </w:tc>
        <w:tc>
          <w:tcPr>
            <w:tcW w:w="1620" w:type="dxa"/>
            <w:tcBorders>
              <w:top w:val="single" w:sz="4" w:space="0" w:color="auto"/>
              <w:left w:val="single" w:sz="4" w:space="0" w:color="auto"/>
              <w:bottom w:val="single" w:sz="4" w:space="0" w:color="auto"/>
              <w:right w:val="single" w:sz="4" w:space="0" w:color="auto"/>
            </w:tcBorders>
            <w:hideMark/>
          </w:tcPr>
          <w:p w14:paraId="789C6C16" w14:textId="77777777" w:rsidR="00304C6B" w:rsidRDefault="00304C6B" w:rsidP="00304C6B">
            <w:r>
              <w:t>4</w:t>
            </w:r>
          </w:p>
        </w:tc>
      </w:tr>
      <w:tr w:rsidR="00304C6B" w14:paraId="4E2B6661" w14:textId="77777777" w:rsidTr="00304C6B">
        <w:tc>
          <w:tcPr>
            <w:tcW w:w="1980" w:type="dxa"/>
            <w:tcBorders>
              <w:top w:val="single" w:sz="4" w:space="0" w:color="auto"/>
              <w:left w:val="single" w:sz="4" w:space="0" w:color="auto"/>
              <w:bottom w:val="single" w:sz="4" w:space="0" w:color="auto"/>
              <w:right w:val="single" w:sz="4" w:space="0" w:color="auto"/>
            </w:tcBorders>
            <w:hideMark/>
          </w:tcPr>
          <w:p w14:paraId="1A42A10A" w14:textId="77777777" w:rsidR="00304C6B" w:rsidRDefault="00304C6B" w:rsidP="00304C6B">
            <w:r>
              <w:t>73 – 144 RBs</w:t>
            </w:r>
          </w:p>
        </w:tc>
        <w:tc>
          <w:tcPr>
            <w:tcW w:w="1620" w:type="dxa"/>
            <w:tcBorders>
              <w:top w:val="single" w:sz="4" w:space="0" w:color="auto"/>
              <w:left w:val="single" w:sz="4" w:space="0" w:color="auto"/>
              <w:bottom w:val="single" w:sz="4" w:space="0" w:color="auto"/>
              <w:right w:val="single" w:sz="4" w:space="0" w:color="auto"/>
            </w:tcBorders>
            <w:hideMark/>
          </w:tcPr>
          <w:p w14:paraId="0928BCC6" w14:textId="77777777" w:rsidR="00304C6B" w:rsidRDefault="00304C6B" w:rsidP="00304C6B">
            <w:r>
              <w:t>16</w:t>
            </w:r>
          </w:p>
        </w:tc>
        <w:tc>
          <w:tcPr>
            <w:tcW w:w="1620" w:type="dxa"/>
            <w:tcBorders>
              <w:top w:val="single" w:sz="4" w:space="0" w:color="auto"/>
              <w:left w:val="single" w:sz="4" w:space="0" w:color="auto"/>
              <w:bottom w:val="single" w:sz="4" w:space="0" w:color="auto"/>
              <w:right w:val="single" w:sz="4" w:space="0" w:color="auto"/>
            </w:tcBorders>
            <w:hideMark/>
          </w:tcPr>
          <w:p w14:paraId="7ADEBDFC" w14:textId="77777777" w:rsidR="00304C6B" w:rsidRDefault="00304C6B" w:rsidP="00304C6B">
            <w:r>
              <w:t>8</w:t>
            </w:r>
          </w:p>
        </w:tc>
      </w:tr>
      <w:tr w:rsidR="00304C6B" w14:paraId="35C0353B" w14:textId="77777777" w:rsidTr="00304C6B">
        <w:tc>
          <w:tcPr>
            <w:tcW w:w="1980" w:type="dxa"/>
            <w:tcBorders>
              <w:top w:val="single" w:sz="4" w:space="0" w:color="auto"/>
              <w:left w:val="single" w:sz="4" w:space="0" w:color="auto"/>
              <w:bottom w:val="single" w:sz="4" w:space="0" w:color="auto"/>
              <w:right w:val="single" w:sz="4" w:space="0" w:color="auto"/>
            </w:tcBorders>
          </w:tcPr>
          <w:p w14:paraId="72037E90" w14:textId="77777777" w:rsidR="00304C6B" w:rsidRDefault="00304C6B" w:rsidP="00304C6B">
            <w:r>
              <w:t>144 – 275 RBs</w:t>
            </w:r>
          </w:p>
        </w:tc>
        <w:tc>
          <w:tcPr>
            <w:tcW w:w="1620" w:type="dxa"/>
            <w:tcBorders>
              <w:top w:val="single" w:sz="4" w:space="0" w:color="auto"/>
              <w:left w:val="single" w:sz="4" w:space="0" w:color="auto"/>
              <w:bottom w:val="single" w:sz="4" w:space="0" w:color="auto"/>
              <w:right w:val="single" w:sz="4" w:space="0" w:color="auto"/>
            </w:tcBorders>
          </w:tcPr>
          <w:p w14:paraId="0B1B46AA" w14:textId="77777777" w:rsidR="00304C6B" w:rsidRDefault="00304C6B" w:rsidP="00304C6B">
            <w:r>
              <w:t>16</w:t>
            </w:r>
          </w:p>
        </w:tc>
        <w:tc>
          <w:tcPr>
            <w:tcW w:w="1620" w:type="dxa"/>
            <w:tcBorders>
              <w:top w:val="single" w:sz="4" w:space="0" w:color="auto"/>
              <w:left w:val="single" w:sz="4" w:space="0" w:color="auto"/>
              <w:bottom w:val="single" w:sz="4" w:space="0" w:color="auto"/>
              <w:right w:val="single" w:sz="4" w:space="0" w:color="auto"/>
            </w:tcBorders>
          </w:tcPr>
          <w:p w14:paraId="30728E0C" w14:textId="77777777" w:rsidR="00304C6B" w:rsidRDefault="00304C6B" w:rsidP="00304C6B">
            <w:r>
              <w:t>16</w:t>
            </w:r>
          </w:p>
        </w:tc>
      </w:tr>
    </w:tbl>
    <w:p w14:paraId="3B3B4391" w14:textId="77777777" w:rsidR="00304C6B" w:rsidRDefault="00304C6B" w:rsidP="00304C6B">
      <w:pPr>
        <w:contextualSpacing/>
        <w:rPr>
          <w:b/>
          <w:color w:val="FF0000"/>
          <w:lang w:val="en-GB"/>
        </w:rPr>
      </w:pPr>
    </w:p>
    <w:p w14:paraId="139179B3" w14:textId="0FDA0D42" w:rsidR="00304C6B" w:rsidRPr="00AA510F" w:rsidRDefault="00304C6B" w:rsidP="00304C6B">
      <w:pPr>
        <w:contextualSpacing/>
        <w:rPr>
          <w:i/>
        </w:rPr>
      </w:pPr>
      <w:r>
        <w:rPr>
          <w:b/>
          <w:u w:val="single"/>
        </w:rPr>
        <w:t>Proposal 7</w:t>
      </w:r>
      <w:r w:rsidRPr="009F6284">
        <w:rPr>
          <w:b/>
          <w:u w:val="single"/>
        </w:rPr>
        <w:t>:</w:t>
      </w:r>
      <w:r>
        <w:t xml:space="preserve"> </w:t>
      </w:r>
      <w:r w:rsidRPr="00AA510F">
        <w:rPr>
          <w:i/>
        </w:rPr>
        <w:t xml:space="preserve">The following text in TS 38.214 </w:t>
      </w:r>
      <w:proofErr w:type="spellStart"/>
      <w:r w:rsidRPr="00AA510F">
        <w:rPr>
          <w:i/>
        </w:rPr>
        <w:t>subclause</w:t>
      </w:r>
      <w:proofErr w:type="spellEnd"/>
      <w:r w:rsidRPr="00AA510F">
        <w:rPr>
          <w:i/>
        </w:rPr>
        <w:t xml:space="preserve"> 5.1.2.2.2 should be updated to remove the word “localized or distributed”</w:t>
      </w:r>
      <w:r>
        <w:rPr>
          <w:i/>
        </w:rPr>
        <w:t>:</w:t>
      </w:r>
    </w:p>
    <w:p w14:paraId="4EF67A14" w14:textId="77777777" w:rsidR="00304C6B" w:rsidRDefault="00304C6B" w:rsidP="00304C6B">
      <w:pPr>
        <w:contextualSpacing/>
      </w:pPr>
    </w:p>
    <w:p w14:paraId="29BF1E92" w14:textId="259725AD" w:rsidR="00304C6B" w:rsidRPr="00304C6B" w:rsidRDefault="00304C6B" w:rsidP="00304C6B">
      <w:pPr>
        <w:ind w:left="288"/>
        <w:rPr>
          <w:color w:val="000000"/>
          <w:lang w:eastAsia="en-GB"/>
        </w:rPr>
      </w:pPr>
      <w:r w:rsidRPr="00B355B3">
        <w:rPr>
          <w:color w:val="000000"/>
        </w:rPr>
        <w:t>In downlink resource allocation of type 1, the resource block assignment information indicates to a scheduled UE a set of contiguously allocated</w:t>
      </w:r>
      <w:r w:rsidRPr="00B355B3">
        <w:rPr>
          <w:color w:val="FF0000"/>
        </w:rPr>
        <w:t xml:space="preserve"> </w:t>
      </w:r>
      <w:r w:rsidRPr="00B355B3">
        <w:rPr>
          <w:strike/>
          <w:color w:val="FF0000"/>
        </w:rPr>
        <w:t>localized or distributed</w:t>
      </w:r>
      <w:r w:rsidRPr="00B355B3">
        <w:rPr>
          <w:color w:val="FF0000"/>
        </w:rPr>
        <w:t xml:space="preserve"> </w:t>
      </w:r>
      <w:r w:rsidRPr="00B355B3">
        <w:rPr>
          <w:color w:val="000000"/>
        </w:rPr>
        <w:t xml:space="preserve">virtual resource blocks within the active carrier bandwidth part of size </w:t>
      </w:r>
      <w:r w:rsidRPr="00B355B3">
        <w:rPr>
          <w:color w:val="000000"/>
          <w:position w:val="-10"/>
        </w:rPr>
        <w:object w:dxaOrig="540" w:dyaOrig="340" w14:anchorId="3226BF9B">
          <v:shape id="_x0000_i1028" type="#_x0000_t75" style="width:28.5pt;height:17.5pt" o:ole="">
            <v:imagedata r:id="rId12" o:title=""/>
          </v:shape>
          <o:OLEObject Type="Embed" ProgID="Equation.3" ShapeID="_x0000_i1028" DrawAspect="Content" ObjectID="_1577293077" r:id="rId18"/>
        </w:object>
      </w:r>
      <w:r w:rsidRPr="00B355B3">
        <w:rPr>
          <w:color w:val="000000"/>
        </w:rPr>
        <w:t xml:space="preserve"> PRBs.</w:t>
      </w:r>
    </w:p>
    <w:p w14:paraId="7B87551B" w14:textId="148ABE9C" w:rsidR="006C0B07" w:rsidRPr="00304C6B" w:rsidRDefault="00304C6B" w:rsidP="00A22588">
      <w:pPr>
        <w:rPr>
          <w:rFonts w:eastAsia="Times New Roman"/>
          <w:i/>
          <w:lang w:eastAsia="zh-CN"/>
        </w:rPr>
      </w:pPr>
      <w:r w:rsidRPr="000F1E17">
        <w:rPr>
          <w:rFonts w:eastAsia="Times New Roman"/>
          <w:b/>
          <w:u w:val="single"/>
          <w:lang w:eastAsia="zh-CN"/>
        </w:rPr>
        <w:t>Proposal</w:t>
      </w:r>
      <w:r>
        <w:rPr>
          <w:rFonts w:eastAsia="Times New Roman"/>
          <w:b/>
          <w:u w:val="single"/>
          <w:lang w:eastAsia="zh-CN"/>
        </w:rPr>
        <w:t xml:space="preserve"> 8</w:t>
      </w:r>
      <w:r w:rsidRPr="000F1E17">
        <w:rPr>
          <w:rFonts w:eastAsia="Times New Roman"/>
          <w:b/>
          <w:u w:val="single"/>
          <w:lang w:eastAsia="zh-CN"/>
        </w:rPr>
        <w:t>:</w:t>
      </w:r>
      <w:r>
        <w:rPr>
          <w:rFonts w:eastAsia="Times New Roman"/>
          <w:lang w:eastAsia="zh-CN"/>
        </w:rPr>
        <w:t xml:space="preserve"> </w:t>
      </w:r>
      <w:r w:rsidRPr="00D32F40">
        <w:rPr>
          <w:rFonts w:eastAsia="Times New Roman"/>
          <w:i/>
          <w:lang w:eastAsia="zh-CN"/>
        </w:rPr>
        <w:t xml:space="preserve">A BWP may contain a partial interleaving </w:t>
      </w:r>
      <w:proofErr w:type="gramStart"/>
      <w:r w:rsidRPr="00D32F40">
        <w:rPr>
          <w:rFonts w:eastAsia="Times New Roman"/>
          <w:i/>
          <w:lang w:eastAsia="zh-CN"/>
        </w:rPr>
        <w:t>unit,</w:t>
      </w:r>
      <w:proofErr w:type="gramEnd"/>
      <w:r w:rsidRPr="00D32F40">
        <w:rPr>
          <w:rFonts w:eastAsia="Times New Roman"/>
          <w:i/>
          <w:lang w:eastAsia="zh-CN"/>
        </w:rPr>
        <w:t xml:space="preserve"> whose size is smaller than the configured value. To support partial interleaving units both in DL and UL, the text proposal in Appendix 2</w:t>
      </w:r>
      <w:r>
        <w:rPr>
          <w:rFonts w:eastAsia="Times New Roman"/>
          <w:i/>
          <w:lang w:eastAsia="zh-CN"/>
        </w:rPr>
        <w:t xml:space="preserve"> should be adopted for TS 38.211.</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1E8EDB7" w14:textId="77777777" w:rsidR="00950A2A" w:rsidRDefault="00950A2A" w:rsidP="00950A2A">
      <w:pPr>
        <w:numPr>
          <w:ilvl w:val="0"/>
          <w:numId w:val="2"/>
        </w:numPr>
        <w:spacing w:before="100" w:beforeAutospacing="1" w:after="100" w:afterAutospacing="1"/>
        <w:rPr>
          <w:szCs w:val="22"/>
        </w:rPr>
      </w:pPr>
      <w:r>
        <w:rPr>
          <w:szCs w:val="22"/>
        </w:rPr>
        <w:t>RAN1 #91 Chairman’s Notes, Reno, USA</w:t>
      </w:r>
    </w:p>
    <w:p w14:paraId="2FF450DC" w14:textId="77777777" w:rsidR="00950A2A" w:rsidRDefault="00950A2A" w:rsidP="00950A2A">
      <w:pPr>
        <w:numPr>
          <w:ilvl w:val="0"/>
          <w:numId w:val="2"/>
        </w:numPr>
        <w:spacing w:before="100" w:beforeAutospacing="1" w:after="100" w:afterAutospacing="1"/>
        <w:rPr>
          <w:szCs w:val="22"/>
        </w:rPr>
      </w:pPr>
      <w:r w:rsidRPr="00CF441F">
        <w:rPr>
          <w:szCs w:val="22"/>
        </w:rPr>
        <w:t>R1-1721616</w:t>
      </w:r>
      <w:r>
        <w:rPr>
          <w:szCs w:val="22"/>
        </w:rPr>
        <w:t>, “</w:t>
      </w:r>
      <w:r w:rsidRPr="00CF441F">
        <w:rPr>
          <w:szCs w:val="22"/>
        </w:rPr>
        <w:t>LS on RRC parameters for NR</w:t>
      </w:r>
      <w:r>
        <w:rPr>
          <w:szCs w:val="22"/>
        </w:rPr>
        <w:t>”,</w:t>
      </w:r>
      <w:r w:rsidRPr="00CF441F">
        <w:t xml:space="preserve"> </w:t>
      </w:r>
      <w:r w:rsidRPr="00CF441F">
        <w:rPr>
          <w:szCs w:val="22"/>
        </w:rPr>
        <w:t>Ericsson</w:t>
      </w:r>
      <w:r>
        <w:rPr>
          <w:szCs w:val="22"/>
        </w:rPr>
        <w:t>, RAN1 #91, Reno, USA</w:t>
      </w:r>
    </w:p>
    <w:p w14:paraId="4ACED76C" w14:textId="77777777" w:rsidR="00950A2A" w:rsidRPr="001D7BF6" w:rsidRDefault="00950A2A" w:rsidP="00950A2A">
      <w:pPr>
        <w:numPr>
          <w:ilvl w:val="0"/>
          <w:numId w:val="2"/>
        </w:numPr>
        <w:spacing w:before="100" w:beforeAutospacing="1" w:after="100" w:afterAutospacing="1"/>
        <w:rPr>
          <w:szCs w:val="22"/>
        </w:rPr>
      </w:pPr>
      <w:r>
        <w:rPr>
          <w:szCs w:val="22"/>
        </w:rPr>
        <w:t>TS 38.331 v1.0.1, “</w:t>
      </w:r>
      <w:r w:rsidRPr="001D7BF6">
        <w:rPr>
          <w:szCs w:val="22"/>
        </w:rPr>
        <w:t>NR</w:t>
      </w:r>
      <w:r>
        <w:rPr>
          <w:szCs w:val="22"/>
        </w:rPr>
        <w:t xml:space="preserve">; </w:t>
      </w:r>
      <w:r w:rsidRPr="001D7BF6">
        <w:rPr>
          <w:szCs w:val="22"/>
        </w:rPr>
        <w:t>Radio Resource Control (RRC</w:t>
      </w:r>
      <w:r>
        <w:rPr>
          <w:szCs w:val="22"/>
        </w:rPr>
        <w:t xml:space="preserve">) </w:t>
      </w:r>
      <w:r w:rsidRPr="001D7BF6">
        <w:rPr>
          <w:szCs w:val="22"/>
        </w:rPr>
        <w:t>Protocol specification</w:t>
      </w:r>
      <w:r>
        <w:rPr>
          <w:szCs w:val="22"/>
        </w:rPr>
        <w:t xml:space="preserve"> </w:t>
      </w:r>
      <w:r w:rsidRPr="001D7BF6">
        <w:rPr>
          <w:szCs w:val="22"/>
        </w:rPr>
        <w:t>(Release 15)</w:t>
      </w:r>
      <w:r>
        <w:rPr>
          <w:szCs w:val="22"/>
        </w:rPr>
        <w:t>”</w:t>
      </w:r>
    </w:p>
    <w:p w14:paraId="7C2B195B" w14:textId="77777777" w:rsidR="00950A2A" w:rsidRPr="00842C3E" w:rsidRDefault="00950A2A" w:rsidP="00950A2A">
      <w:pPr>
        <w:numPr>
          <w:ilvl w:val="0"/>
          <w:numId w:val="2"/>
        </w:numPr>
        <w:spacing w:before="100" w:beforeAutospacing="1" w:after="100" w:afterAutospacing="1"/>
        <w:rPr>
          <w:szCs w:val="22"/>
        </w:rPr>
      </w:pPr>
      <w:r>
        <w:rPr>
          <w:szCs w:val="22"/>
        </w:rPr>
        <w:t>TS 38.214 v15.0.0, “</w:t>
      </w:r>
      <w:r w:rsidRPr="00842C3E">
        <w:rPr>
          <w:szCs w:val="22"/>
        </w:rPr>
        <w:t>NR</w:t>
      </w:r>
      <w:r>
        <w:rPr>
          <w:szCs w:val="22"/>
        </w:rPr>
        <w:t xml:space="preserve">; </w:t>
      </w:r>
      <w:r w:rsidRPr="00842C3E">
        <w:rPr>
          <w:szCs w:val="22"/>
        </w:rPr>
        <w:t>Physical layer procedures for data</w:t>
      </w:r>
      <w:r>
        <w:rPr>
          <w:szCs w:val="22"/>
        </w:rPr>
        <w:t>”</w:t>
      </w:r>
    </w:p>
    <w:p w14:paraId="1C78B112" w14:textId="77777777" w:rsidR="00950A2A" w:rsidRPr="00AA46C6" w:rsidRDefault="00950A2A" w:rsidP="00950A2A">
      <w:pPr>
        <w:numPr>
          <w:ilvl w:val="0"/>
          <w:numId w:val="2"/>
        </w:numPr>
        <w:spacing w:before="100" w:beforeAutospacing="1" w:after="100" w:afterAutospacing="1"/>
        <w:rPr>
          <w:szCs w:val="22"/>
        </w:rPr>
      </w:pPr>
      <w:bookmarkStart w:id="5" w:name="_Ref498711942"/>
      <w:r>
        <w:rPr>
          <w:szCs w:val="22"/>
        </w:rPr>
        <w:t>RAN1 #90bis Chairman’s Notes, Prague, Czech Republic</w:t>
      </w:r>
    </w:p>
    <w:p w14:paraId="5D2DC080" w14:textId="7C7052F0" w:rsidR="00950A2A" w:rsidRDefault="00950A2A" w:rsidP="00950A2A">
      <w:pPr>
        <w:numPr>
          <w:ilvl w:val="0"/>
          <w:numId w:val="2"/>
        </w:numPr>
        <w:spacing w:before="100" w:beforeAutospacing="1" w:after="100" w:afterAutospacing="1"/>
        <w:rPr>
          <w:szCs w:val="22"/>
        </w:rPr>
      </w:pPr>
      <w:r w:rsidRPr="001F36BC">
        <w:rPr>
          <w:szCs w:val="22"/>
        </w:rPr>
        <w:t>R1-1718568</w:t>
      </w:r>
      <w:r>
        <w:rPr>
          <w:szCs w:val="22"/>
        </w:rPr>
        <w:t>, “</w:t>
      </w:r>
      <w:r w:rsidRPr="001F36BC">
        <w:rPr>
          <w:szCs w:val="22"/>
        </w:rPr>
        <w:t>DL/UL Resource Allocation</w:t>
      </w:r>
      <w:r>
        <w:rPr>
          <w:szCs w:val="22"/>
        </w:rPr>
        <w:t>”, Qualcomm Incorporated, RAN1 #90bis, Prague, Czech Republic</w:t>
      </w:r>
    </w:p>
    <w:p w14:paraId="7C2ACA3A" w14:textId="017DC3C0" w:rsidR="00506803" w:rsidRPr="002E4881" w:rsidRDefault="00506803" w:rsidP="00950A2A">
      <w:pPr>
        <w:numPr>
          <w:ilvl w:val="0"/>
          <w:numId w:val="2"/>
        </w:numPr>
        <w:spacing w:before="100" w:beforeAutospacing="1" w:after="100" w:afterAutospacing="1"/>
        <w:rPr>
          <w:szCs w:val="22"/>
        </w:rPr>
      </w:pPr>
      <w:r>
        <w:rPr>
          <w:szCs w:val="22"/>
        </w:rPr>
        <w:t>R1-1720693, “Open Issues on BWP”, Qualcomm Incorporated, RAN1 #91, Reno USA</w:t>
      </w:r>
    </w:p>
    <w:bookmarkEnd w:id="5"/>
    <w:p w14:paraId="7208299E" w14:textId="7B839205" w:rsidR="00A22588" w:rsidRPr="002E4881" w:rsidRDefault="00A22588" w:rsidP="00950A2A">
      <w:pPr>
        <w:spacing w:before="100" w:beforeAutospacing="1" w:after="100" w:afterAutospacing="1"/>
        <w:rPr>
          <w:szCs w:val="22"/>
        </w:rPr>
      </w:pPr>
    </w:p>
    <w:p w14:paraId="59A5EA72" w14:textId="61CBD3A7" w:rsidR="00DD0230" w:rsidRDefault="00D214D7" w:rsidP="008A0964">
      <w:pPr>
        <w:pStyle w:val="Heading1"/>
        <w:numPr>
          <w:ilvl w:val="0"/>
          <w:numId w:val="0"/>
        </w:numPr>
        <w:ind w:left="432" w:hanging="432"/>
      </w:pPr>
      <w:r>
        <w:t>Appendix 1: DL VRB-to-PRB mapping examples</w:t>
      </w:r>
    </w:p>
    <w:p w14:paraId="7AC08472" w14:textId="77777777" w:rsidR="00D214D7" w:rsidRDefault="00D214D7" w:rsidP="00D214D7">
      <w:r>
        <w:t>Example 1) One partial bundle at PRB bundle 0</w:t>
      </w:r>
    </w:p>
    <w:tbl>
      <w:tblPr>
        <w:tblStyle w:val="GridTable4-Accent1"/>
        <w:tblW w:w="0" w:type="auto"/>
        <w:jc w:val="center"/>
        <w:tblLook w:val="04A0" w:firstRow="1" w:lastRow="0" w:firstColumn="1" w:lastColumn="0" w:noHBand="0" w:noVBand="1"/>
      </w:tblPr>
      <w:tblGrid>
        <w:gridCol w:w="1558"/>
        <w:gridCol w:w="1558"/>
        <w:gridCol w:w="1558"/>
        <w:gridCol w:w="1558"/>
        <w:gridCol w:w="1559"/>
        <w:gridCol w:w="1559"/>
      </w:tblGrid>
      <w:tr w:rsidR="00D214D7" w14:paraId="1841F1F3" w14:textId="77777777" w:rsidTr="00D64EC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32" w:type="dxa"/>
            <w:gridSpan w:val="4"/>
            <w:tcBorders>
              <w:right w:val="double" w:sz="4" w:space="0" w:color="5B9BD5" w:themeColor="accent1"/>
            </w:tcBorders>
            <w:vAlign w:val="center"/>
          </w:tcPr>
          <w:p w14:paraId="46A60F16" w14:textId="77777777" w:rsidR="00D214D7" w:rsidRDefault="00D214D7" w:rsidP="00B53767">
            <w:pPr>
              <w:spacing w:after="0"/>
              <w:jc w:val="center"/>
            </w:pPr>
            <w:r>
              <w:t>Parameters</w:t>
            </w:r>
          </w:p>
        </w:tc>
        <w:tc>
          <w:tcPr>
            <w:tcW w:w="3118" w:type="dxa"/>
            <w:gridSpan w:val="2"/>
            <w:tcBorders>
              <w:left w:val="double" w:sz="4" w:space="0" w:color="5B9BD5" w:themeColor="accent1"/>
            </w:tcBorders>
            <w:vAlign w:val="center"/>
          </w:tcPr>
          <w:p w14:paraId="6B9D9AA1" w14:textId="77777777" w:rsidR="00D214D7" w:rsidRDefault="00D214D7" w:rsidP="00B53767">
            <w:pPr>
              <w:spacing w:after="0"/>
              <w:jc w:val="center"/>
              <w:cnfStyle w:val="100000000000" w:firstRow="1" w:lastRow="0" w:firstColumn="0" w:lastColumn="0" w:oddVBand="0" w:evenVBand="0" w:oddHBand="0" w:evenHBand="0" w:firstRowFirstColumn="0" w:firstRowLastColumn="0" w:lastRowFirstColumn="0" w:lastRowLastColumn="0"/>
            </w:pPr>
            <w:r>
              <w:t>Derived parameters</w:t>
            </w:r>
          </w:p>
        </w:tc>
      </w:tr>
      <w:tr w:rsidR="00D214D7" w14:paraId="4107B161" w14:textId="77777777" w:rsidTr="00D64EC6">
        <w:trPr>
          <w:cnfStyle w:val="000000100000" w:firstRow="0" w:lastRow="0" w:firstColumn="0" w:lastColumn="0" w:oddVBand="0" w:evenVBand="0" w:oddHBand="1" w:evenHBand="0" w:firstRowFirstColumn="0" w:firstRowLastColumn="0" w:lastRowFirstColumn="0" w:lastRowLastColumn="0"/>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34EBBAA4" w14:textId="77777777" w:rsidR="00D214D7" w:rsidRDefault="00D214D7" w:rsidP="00B53767">
            <w:pPr>
              <w:spacing w:after="0"/>
              <w:jc w:val="center"/>
            </w:pPr>
            <w:r w:rsidRPr="00155BB0">
              <w:rPr>
                <w:rFonts w:eastAsia="SimSun" w:cs="Times New Roman"/>
                <w:b w:val="0"/>
                <w:bCs w:val="0"/>
                <w:position w:val="-14"/>
                <w:sz w:val="20"/>
                <w:szCs w:val="20"/>
              </w:rPr>
              <w:object w:dxaOrig="639" w:dyaOrig="400" w14:anchorId="42ECFB23">
                <v:shape id="_x0000_i1029" type="#_x0000_t75" style="width:32pt;height:19.5pt" o:ole="">
                  <v:imagedata r:id="rId19" o:title=""/>
                </v:shape>
                <o:OLEObject Type="Embed" ProgID="Equation.DSMT4" ShapeID="_x0000_i1029" DrawAspect="Content" ObjectID="_1577293078" r:id="rId20"/>
              </w:object>
            </w:r>
          </w:p>
        </w:tc>
        <w:tc>
          <w:tcPr>
            <w:tcW w:w="1558" w:type="dxa"/>
            <w:vAlign w:val="center"/>
          </w:tcPr>
          <w:p w14:paraId="5263E45E"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639" w:dyaOrig="400" w14:anchorId="186B39EB">
                <v:shape id="_x0000_i1030" type="#_x0000_t75" style="width:32pt;height:19.5pt" o:ole="">
                  <v:imagedata r:id="rId21" o:title=""/>
                </v:shape>
                <o:OLEObject Type="Embed" ProgID="Equation.DSMT4" ShapeID="_x0000_i1030" DrawAspect="Content" ObjectID="_1577293079" r:id="rId22"/>
              </w:object>
            </w:r>
          </w:p>
        </w:tc>
        <w:tc>
          <w:tcPr>
            <w:tcW w:w="1558" w:type="dxa"/>
            <w:vAlign w:val="center"/>
          </w:tcPr>
          <w:p w14:paraId="5D3CCC3A"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580" w:dyaOrig="380" w14:anchorId="6499BBCB">
                <v:shape id="_x0000_i1031" type="#_x0000_t75" style="width:29.5pt;height:19pt" o:ole="">
                  <v:imagedata r:id="rId23" o:title=""/>
                </v:shape>
                <o:OLEObject Type="Embed" ProgID="Equation.DSMT4" ShapeID="_x0000_i1031" DrawAspect="Content" ObjectID="_1577293080" r:id="rId24"/>
              </w:object>
            </w:r>
          </w:p>
        </w:tc>
        <w:tc>
          <w:tcPr>
            <w:tcW w:w="1558" w:type="dxa"/>
            <w:tcBorders>
              <w:right w:val="double" w:sz="4" w:space="0" w:color="5B9BD5" w:themeColor="accent1"/>
            </w:tcBorders>
            <w:vAlign w:val="center"/>
          </w:tcPr>
          <w:p w14:paraId="0073C45C"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4"/>
                <w:sz w:val="20"/>
                <w:szCs w:val="20"/>
              </w:rPr>
              <w:object w:dxaOrig="240" w:dyaOrig="260" w14:anchorId="78C64943">
                <v:shape id="_x0000_i1032" type="#_x0000_t75" style="width:12.5pt;height:13pt" o:ole="">
                  <v:imagedata r:id="rId25" o:title=""/>
                </v:shape>
                <o:OLEObject Type="Embed" ProgID="Equation.DSMT4" ShapeID="_x0000_i1032" DrawAspect="Content" ObjectID="_1577293081" r:id="rId26"/>
              </w:object>
            </w:r>
          </w:p>
        </w:tc>
        <w:tc>
          <w:tcPr>
            <w:tcW w:w="1559" w:type="dxa"/>
            <w:tcBorders>
              <w:left w:val="double" w:sz="4" w:space="0" w:color="5B9BD5" w:themeColor="accent1"/>
            </w:tcBorders>
            <w:vAlign w:val="center"/>
          </w:tcPr>
          <w:p w14:paraId="7440B77D"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2"/>
                <w:sz w:val="20"/>
                <w:szCs w:val="20"/>
              </w:rPr>
              <w:object w:dxaOrig="639" w:dyaOrig="360" w14:anchorId="69F58C78">
                <v:shape id="_x0000_i1033" type="#_x0000_t75" style="width:32pt;height:18pt" o:ole="">
                  <v:imagedata r:id="rId27" o:title=""/>
                </v:shape>
                <o:OLEObject Type="Embed" ProgID="Equation.DSMT4" ShapeID="_x0000_i1033" DrawAspect="Content" ObjectID="_1577293082" r:id="rId28"/>
              </w:object>
            </w:r>
          </w:p>
        </w:tc>
        <w:tc>
          <w:tcPr>
            <w:tcW w:w="1559" w:type="dxa"/>
            <w:vAlign w:val="center"/>
          </w:tcPr>
          <w:p w14:paraId="71CC2DD8"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6"/>
                <w:sz w:val="20"/>
                <w:szCs w:val="20"/>
              </w:rPr>
              <w:object w:dxaOrig="240" w:dyaOrig="279" w14:anchorId="0C1ABEA0">
                <v:shape id="_x0000_i1034" type="#_x0000_t75" style="width:12.5pt;height:14pt" o:ole="">
                  <v:imagedata r:id="rId29" o:title=""/>
                </v:shape>
                <o:OLEObject Type="Embed" ProgID="Equation.DSMT4" ShapeID="_x0000_i1034" DrawAspect="Content" ObjectID="_1577293083" r:id="rId30"/>
              </w:object>
            </w:r>
          </w:p>
        </w:tc>
      </w:tr>
      <w:tr w:rsidR="00D214D7" w14:paraId="4D305521" w14:textId="77777777" w:rsidTr="00D64EC6">
        <w:trPr>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5F2C9E18" w14:textId="77777777" w:rsidR="00D214D7" w:rsidRPr="00155BB0" w:rsidRDefault="00D214D7" w:rsidP="00B53767">
            <w:pPr>
              <w:spacing w:after="0"/>
              <w:jc w:val="center"/>
              <w:rPr>
                <w:b w:val="0"/>
              </w:rPr>
            </w:pPr>
            <w:r w:rsidRPr="00155BB0">
              <w:rPr>
                <w:b w:val="0"/>
              </w:rPr>
              <w:t>1</w:t>
            </w:r>
          </w:p>
        </w:tc>
        <w:tc>
          <w:tcPr>
            <w:tcW w:w="1558" w:type="dxa"/>
            <w:vAlign w:val="center"/>
          </w:tcPr>
          <w:p w14:paraId="4DB9DFFA"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13</w:t>
            </w:r>
          </w:p>
        </w:tc>
        <w:tc>
          <w:tcPr>
            <w:tcW w:w="1558" w:type="dxa"/>
            <w:vAlign w:val="center"/>
          </w:tcPr>
          <w:p w14:paraId="6ED24AD1"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8" w:type="dxa"/>
            <w:tcBorders>
              <w:right w:val="double" w:sz="4" w:space="0" w:color="5B9BD5" w:themeColor="accent1"/>
            </w:tcBorders>
            <w:vAlign w:val="center"/>
          </w:tcPr>
          <w:p w14:paraId="148D1B54"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9" w:type="dxa"/>
            <w:tcBorders>
              <w:left w:val="double" w:sz="4" w:space="0" w:color="5B9BD5" w:themeColor="accent1"/>
            </w:tcBorders>
            <w:vAlign w:val="center"/>
          </w:tcPr>
          <w:p w14:paraId="045E3279"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7</w:t>
            </w:r>
          </w:p>
        </w:tc>
        <w:tc>
          <w:tcPr>
            <w:tcW w:w="1559" w:type="dxa"/>
            <w:vAlign w:val="center"/>
          </w:tcPr>
          <w:p w14:paraId="2CC2EDFA"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4</w:t>
            </w:r>
          </w:p>
        </w:tc>
      </w:tr>
    </w:tbl>
    <w:p w14:paraId="523EAD80" w14:textId="77777777" w:rsidR="00D214D7" w:rsidRDefault="00D214D7" w:rsidP="00D214D7"/>
    <w:p w14:paraId="4992F186" w14:textId="159B4924" w:rsidR="00D214D7" w:rsidRDefault="00D214D7" w:rsidP="00D32F40">
      <w:pPr>
        <w:pStyle w:val="ListParagraph"/>
        <w:numPr>
          <w:ilvl w:val="0"/>
          <w:numId w:val="10"/>
        </w:numPr>
      </w:pPr>
      <w:r>
        <w:t xml:space="preserve">Size of VRB/PRB bundle 0: </w:t>
      </w:r>
      <w:r w:rsidRPr="00155BB0">
        <w:rPr>
          <w:position w:val="-14"/>
        </w:rPr>
        <w:object w:dxaOrig="2740" w:dyaOrig="400" w14:anchorId="790FAA3B">
          <v:shape id="_x0000_i1035" type="#_x0000_t75" style="width:137pt;height:21pt" o:ole="">
            <v:imagedata r:id="rId31" o:title=""/>
          </v:shape>
          <o:OLEObject Type="Embed" ProgID="Equation.DSMT4" ShapeID="_x0000_i1035" DrawAspect="Content" ObjectID="_1577293084" r:id="rId32"/>
        </w:object>
      </w:r>
    </w:p>
    <w:p w14:paraId="25487C58" w14:textId="77777777" w:rsidR="00D214D7" w:rsidRDefault="00D214D7" w:rsidP="00D214D7"/>
    <w:p w14:paraId="68D70D90" w14:textId="3EA4C51D" w:rsidR="00D214D7" w:rsidRDefault="00AD3DEF" w:rsidP="002D4997">
      <w:pPr>
        <w:jc w:val="center"/>
      </w:pPr>
      <w:r>
        <w:object w:dxaOrig="9630" w:dyaOrig="6517" w14:anchorId="34788269">
          <v:shape id="_x0000_i1036" type="#_x0000_t75" style="width:337.5pt;height:228.5pt" o:ole="">
            <v:imagedata r:id="rId33" o:title=""/>
          </v:shape>
          <o:OLEObject Type="Embed" ProgID="Visio.Drawing.11" ShapeID="_x0000_i1036" DrawAspect="Content" ObjectID="_1577293085" r:id="rId34"/>
        </w:object>
      </w:r>
    </w:p>
    <w:p w14:paraId="1D304619" w14:textId="77777777" w:rsidR="00D214D7" w:rsidRDefault="00D214D7" w:rsidP="002D4997">
      <w:pPr>
        <w:pStyle w:val="Caption"/>
        <w:jc w:val="center"/>
      </w:pPr>
      <w:r>
        <w:t xml:space="preserve">Figure </w:t>
      </w:r>
      <w:r w:rsidR="00011AB5">
        <w:fldChar w:fldCharType="begin"/>
      </w:r>
      <w:r w:rsidR="00011AB5">
        <w:instrText xml:space="preserve"> SEQ Figure \* ARABIC </w:instrText>
      </w:r>
      <w:r w:rsidR="00011AB5">
        <w:fldChar w:fldCharType="separate"/>
      </w:r>
      <w:r>
        <w:rPr>
          <w:noProof/>
        </w:rPr>
        <w:t>1</w:t>
      </w:r>
      <w:r w:rsidR="00011AB5">
        <w:rPr>
          <w:noProof/>
        </w:rPr>
        <w:fldChar w:fldCharType="end"/>
      </w:r>
      <w:r>
        <w:t>. VRB-to-PRB mapping example 1</w:t>
      </w:r>
    </w:p>
    <w:p w14:paraId="5FFDFF6D" w14:textId="77777777" w:rsidR="00D214D7" w:rsidRPr="002D04BD" w:rsidRDefault="00D214D7" w:rsidP="00D214D7"/>
    <w:p w14:paraId="2E3CEA57" w14:textId="77777777" w:rsidR="00D214D7" w:rsidRDefault="00D214D7" w:rsidP="00D214D7">
      <w:r>
        <w:t xml:space="preserve">Example 2) One partial bundle at PRB bundle </w:t>
      </w:r>
      <w:r w:rsidRPr="00F17F7E">
        <w:rPr>
          <w:position w:val="-12"/>
        </w:rPr>
        <w:object w:dxaOrig="940" w:dyaOrig="360" w14:anchorId="24458E88">
          <v:shape id="_x0000_i1037" type="#_x0000_t75" style="width:47pt;height:18pt" o:ole="">
            <v:imagedata r:id="rId35" o:title=""/>
          </v:shape>
          <o:OLEObject Type="Embed" ProgID="Equation.DSMT4" ShapeID="_x0000_i1037" DrawAspect="Content" ObjectID="_1577293086" r:id="rId36"/>
        </w:object>
      </w:r>
    </w:p>
    <w:tbl>
      <w:tblPr>
        <w:tblStyle w:val="GridTable4-Accent1"/>
        <w:tblW w:w="0" w:type="auto"/>
        <w:jc w:val="center"/>
        <w:tblLook w:val="04A0" w:firstRow="1" w:lastRow="0" w:firstColumn="1" w:lastColumn="0" w:noHBand="0" w:noVBand="1"/>
      </w:tblPr>
      <w:tblGrid>
        <w:gridCol w:w="1558"/>
        <w:gridCol w:w="1558"/>
        <w:gridCol w:w="1558"/>
        <w:gridCol w:w="1558"/>
        <w:gridCol w:w="1559"/>
        <w:gridCol w:w="1559"/>
      </w:tblGrid>
      <w:tr w:rsidR="00D214D7" w14:paraId="102CC879" w14:textId="77777777" w:rsidTr="002D49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32" w:type="dxa"/>
            <w:gridSpan w:val="4"/>
            <w:tcBorders>
              <w:right w:val="double" w:sz="4" w:space="0" w:color="5B9BD5" w:themeColor="accent1"/>
            </w:tcBorders>
            <w:vAlign w:val="center"/>
          </w:tcPr>
          <w:p w14:paraId="71F6DB1A" w14:textId="77777777" w:rsidR="00D214D7" w:rsidRDefault="00D214D7" w:rsidP="00B53767">
            <w:pPr>
              <w:spacing w:after="0"/>
              <w:jc w:val="center"/>
            </w:pPr>
            <w:r>
              <w:t>Parameters</w:t>
            </w:r>
          </w:p>
        </w:tc>
        <w:tc>
          <w:tcPr>
            <w:tcW w:w="3118" w:type="dxa"/>
            <w:gridSpan w:val="2"/>
            <w:tcBorders>
              <w:left w:val="double" w:sz="4" w:space="0" w:color="5B9BD5" w:themeColor="accent1"/>
            </w:tcBorders>
            <w:vAlign w:val="center"/>
          </w:tcPr>
          <w:p w14:paraId="264069EF" w14:textId="77777777" w:rsidR="00D214D7" w:rsidRDefault="00D214D7" w:rsidP="00B53767">
            <w:pPr>
              <w:spacing w:after="0"/>
              <w:jc w:val="center"/>
              <w:cnfStyle w:val="100000000000" w:firstRow="1" w:lastRow="0" w:firstColumn="0" w:lastColumn="0" w:oddVBand="0" w:evenVBand="0" w:oddHBand="0" w:evenHBand="0" w:firstRowFirstColumn="0" w:firstRowLastColumn="0" w:lastRowFirstColumn="0" w:lastRowLastColumn="0"/>
            </w:pPr>
            <w:r>
              <w:t>Derived parameters</w:t>
            </w:r>
          </w:p>
        </w:tc>
      </w:tr>
      <w:tr w:rsidR="00D214D7" w14:paraId="6AD1D3BB" w14:textId="77777777" w:rsidTr="002D4997">
        <w:trPr>
          <w:cnfStyle w:val="000000100000" w:firstRow="0" w:lastRow="0" w:firstColumn="0" w:lastColumn="0" w:oddVBand="0" w:evenVBand="0" w:oddHBand="1" w:evenHBand="0" w:firstRowFirstColumn="0" w:firstRowLastColumn="0" w:lastRowFirstColumn="0" w:lastRowLastColumn="0"/>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21138AD9" w14:textId="77777777" w:rsidR="00D214D7" w:rsidRDefault="00D214D7" w:rsidP="00B53767">
            <w:pPr>
              <w:spacing w:after="0"/>
              <w:jc w:val="center"/>
            </w:pPr>
            <w:r w:rsidRPr="00155BB0">
              <w:rPr>
                <w:rFonts w:eastAsia="SimSun" w:cs="Times New Roman"/>
                <w:b w:val="0"/>
                <w:bCs w:val="0"/>
                <w:position w:val="-14"/>
                <w:sz w:val="20"/>
                <w:szCs w:val="20"/>
              </w:rPr>
              <w:object w:dxaOrig="639" w:dyaOrig="400" w14:anchorId="1B79C423">
                <v:shape id="_x0000_i1038" type="#_x0000_t75" style="width:32pt;height:19.5pt" o:ole="">
                  <v:imagedata r:id="rId19" o:title=""/>
                </v:shape>
                <o:OLEObject Type="Embed" ProgID="Equation.DSMT4" ShapeID="_x0000_i1038" DrawAspect="Content" ObjectID="_1577293087" r:id="rId37"/>
              </w:object>
            </w:r>
          </w:p>
        </w:tc>
        <w:tc>
          <w:tcPr>
            <w:tcW w:w="1558" w:type="dxa"/>
            <w:vAlign w:val="center"/>
          </w:tcPr>
          <w:p w14:paraId="05C265DA"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639" w:dyaOrig="400" w14:anchorId="29662631">
                <v:shape id="_x0000_i1039" type="#_x0000_t75" style="width:32pt;height:19.5pt" o:ole="">
                  <v:imagedata r:id="rId21" o:title=""/>
                </v:shape>
                <o:OLEObject Type="Embed" ProgID="Equation.DSMT4" ShapeID="_x0000_i1039" DrawAspect="Content" ObjectID="_1577293088" r:id="rId38"/>
              </w:object>
            </w:r>
          </w:p>
        </w:tc>
        <w:tc>
          <w:tcPr>
            <w:tcW w:w="1558" w:type="dxa"/>
            <w:vAlign w:val="center"/>
          </w:tcPr>
          <w:p w14:paraId="0DCA0675"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580" w:dyaOrig="380" w14:anchorId="4ED3F779">
                <v:shape id="_x0000_i1040" type="#_x0000_t75" style="width:29.5pt;height:19pt" o:ole="">
                  <v:imagedata r:id="rId23" o:title=""/>
                </v:shape>
                <o:OLEObject Type="Embed" ProgID="Equation.DSMT4" ShapeID="_x0000_i1040" DrawAspect="Content" ObjectID="_1577293089" r:id="rId39"/>
              </w:object>
            </w:r>
          </w:p>
        </w:tc>
        <w:tc>
          <w:tcPr>
            <w:tcW w:w="1558" w:type="dxa"/>
            <w:tcBorders>
              <w:right w:val="double" w:sz="4" w:space="0" w:color="5B9BD5" w:themeColor="accent1"/>
            </w:tcBorders>
            <w:vAlign w:val="center"/>
          </w:tcPr>
          <w:p w14:paraId="1A667B11"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4"/>
                <w:sz w:val="20"/>
                <w:szCs w:val="20"/>
              </w:rPr>
              <w:object w:dxaOrig="240" w:dyaOrig="260" w14:anchorId="34C9B659">
                <v:shape id="_x0000_i1041" type="#_x0000_t75" style="width:12.5pt;height:13pt" o:ole="">
                  <v:imagedata r:id="rId25" o:title=""/>
                </v:shape>
                <o:OLEObject Type="Embed" ProgID="Equation.DSMT4" ShapeID="_x0000_i1041" DrawAspect="Content" ObjectID="_1577293090" r:id="rId40"/>
              </w:object>
            </w:r>
          </w:p>
        </w:tc>
        <w:tc>
          <w:tcPr>
            <w:tcW w:w="1559" w:type="dxa"/>
            <w:tcBorders>
              <w:left w:val="double" w:sz="4" w:space="0" w:color="5B9BD5" w:themeColor="accent1"/>
            </w:tcBorders>
            <w:vAlign w:val="center"/>
          </w:tcPr>
          <w:p w14:paraId="688BF65E"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2"/>
                <w:sz w:val="20"/>
                <w:szCs w:val="20"/>
              </w:rPr>
              <w:object w:dxaOrig="639" w:dyaOrig="360" w14:anchorId="3965428F">
                <v:shape id="_x0000_i1042" type="#_x0000_t75" style="width:32pt;height:18pt" o:ole="">
                  <v:imagedata r:id="rId27" o:title=""/>
                </v:shape>
                <o:OLEObject Type="Embed" ProgID="Equation.DSMT4" ShapeID="_x0000_i1042" DrawAspect="Content" ObjectID="_1577293091" r:id="rId41"/>
              </w:object>
            </w:r>
          </w:p>
        </w:tc>
        <w:tc>
          <w:tcPr>
            <w:tcW w:w="1559" w:type="dxa"/>
            <w:vAlign w:val="center"/>
          </w:tcPr>
          <w:p w14:paraId="5C776105"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6"/>
                <w:sz w:val="20"/>
                <w:szCs w:val="20"/>
              </w:rPr>
              <w:object w:dxaOrig="240" w:dyaOrig="279" w14:anchorId="7CB733B3">
                <v:shape id="_x0000_i1043" type="#_x0000_t75" style="width:12.5pt;height:14pt" o:ole="">
                  <v:imagedata r:id="rId29" o:title=""/>
                </v:shape>
                <o:OLEObject Type="Embed" ProgID="Equation.DSMT4" ShapeID="_x0000_i1043" DrawAspect="Content" ObjectID="_1577293092" r:id="rId42"/>
              </w:object>
            </w:r>
          </w:p>
        </w:tc>
      </w:tr>
      <w:tr w:rsidR="00D214D7" w14:paraId="73678C17" w14:textId="77777777" w:rsidTr="002D4997">
        <w:trPr>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0EB4A1C0" w14:textId="77777777" w:rsidR="00D214D7" w:rsidRPr="00155BB0" w:rsidRDefault="00D214D7" w:rsidP="00B53767">
            <w:pPr>
              <w:spacing w:after="0"/>
              <w:jc w:val="center"/>
              <w:rPr>
                <w:b w:val="0"/>
              </w:rPr>
            </w:pPr>
            <w:r>
              <w:rPr>
                <w:b w:val="0"/>
              </w:rPr>
              <w:t>0</w:t>
            </w:r>
          </w:p>
        </w:tc>
        <w:tc>
          <w:tcPr>
            <w:tcW w:w="1558" w:type="dxa"/>
            <w:vAlign w:val="center"/>
          </w:tcPr>
          <w:p w14:paraId="42ADFD1F"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13</w:t>
            </w:r>
          </w:p>
        </w:tc>
        <w:tc>
          <w:tcPr>
            <w:tcW w:w="1558" w:type="dxa"/>
            <w:vAlign w:val="center"/>
          </w:tcPr>
          <w:p w14:paraId="27D454D9"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8" w:type="dxa"/>
            <w:tcBorders>
              <w:right w:val="double" w:sz="4" w:space="0" w:color="5B9BD5" w:themeColor="accent1"/>
            </w:tcBorders>
            <w:vAlign w:val="center"/>
          </w:tcPr>
          <w:p w14:paraId="17C7C05B"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9" w:type="dxa"/>
            <w:tcBorders>
              <w:left w:val="double" w:sz="4" w:space="0" w:color="5B9BD5" w:themeColor="accent1"/>
            </w:tcBorders>
            <w:vAlign w:val="center"/>
          </w:tcPr>
          <w:p w14:paraId="652B2D63"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7</w:t>
            </w:r>
          </w:p>
        </w:tc>
        <w:tc>
          <w:tcPr>
            <w:tcW w:w="1559" w:type="dxa"/>
            <w:vAlign w:val="center"/>
          </w:tcPr>
          <w:p w14:paraId="44790FFF"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4</w:t>
            </w:r>
          </w:p>
        </w:tc>
      </w:tr>
    </w:tbl>
    <w:p w14:paraId="6676421E" w14:textId="77777777" w:rsidR="00D214D7" w:rsidRDefault="00D214D7" w:rsidP="00D214D7"/>
    <w:p w14:paraId="61D36B2A" w14:textId="6EFED7D3" w:rsidR="00D214D7" w:rsidRDefault="00D214D7" w:rsidP="00D32F40">
      <w:pPr>
        <w:pStyle w:val="ListParagraph"/>
        <w:numPr>
          <w:ilvl w:val="0"/>
          <w:numId w:val="10"/>
        </w:numPr>
      </w:pPr>
      <w:r>
        <w:t xml:space="preserve">Size of VRB bundle 5 or PRB bundle 6: </w:t>
      </w:r>
      <w:r w:rsidRPr="00155BB0">
        <w:rPr>
          <w:position w:val="-16"/>
        </w:rPr>
        <w:object w:dxaOrig="2980" w:dyaOrig="440" w14:anchorId="1B474C5F">
          <v:shape id="_x0000_i1044" type="#_x0000_t75" style="width:149pt;height:21.5pt" o:ole="">
            <v:imagedata r:id="rId43" o:title=""/>
          </v:shape>
          <o:OLEObject Type="Embed" ProgID="Equation.DSMT4" ShapeID="_x0000_i1044" DrawAspect="Content" ObjectID="_1577293093" r:id="rId44"/>
        </w:object>
      </w:r>
    </w:p>
    <w:p w14:paraId="06C3042D" w14:textId="77777777" w:rsidR="00D214D7" w:rsidRDefault="00D214D7" w:rsidP="00D214D7"/>
    <w:p w14:paraId="0283E4A1" w14:textId="522ACF96" w:rsidR="00D214D7" w:rsidRDefault="00F47DD1" w:rsidP="002D4997">
      <w:pPr>
        <w:jc w:val="center"/>
      </w:pPr>
      <w:r>
        <w:object w:dxaOrig="9630" w:dyaOrig="6876" w14:anchorId="49A2C4AF">
          <v:shape id="_x0000_i1045" type="#_x0000_t75" style="width:336.5pt;height:240pt" o:ole="">
            <v:imagedata r:id="rId45" o:title=""/>
          </v:shape>
          <o:OLEObject Type="Embed" ProgID="Visio.Drawing.11" ShapeID="_x0000_i1045" DrawAspect="Content" ObjectID="_1577293094" r:id="rId46"/>
        </w:object>
      </w:r>
    </w:p>
    <w:p w14:paraId="18E6A365" w14:textId="77777777" w:rsidR="00D214D7" w:rsidRDefault="00D214D7" w:rsidP="002D4997">
      <w:pPr>
        <w:pStyle w:val="Caption"/>
        <w:jc w:val="center"/>
      </w:pPr>
      <w:r>
        <w:lastRenderedPageBreak/>
        <w:t xml:space="preserve">Figure </w:t>
      </w:r>
      <w:r w:rsidR="00011AB5">
        <w:fldChar w:fldCharType="begin"/>
      </w:r>
      <w:r w:rsidR="00011AB5">
        <w:instrText xml:space="preserve"> SEQ Figure \* ARABIC </w:instrText>
      </w:r>
      <w:r w:rsidR="00011AB5">
        <w:fldChar w:fldCharType="separate"/>
      </w:r>
      <w:r>
        <w:rPr>
          <w:noProof/>
        </w:rPr>
        <w:t>1</w:t>
      </w:r>
      <w:r w:rsidR="00011AB5">
        <w:rPr>
          <w:noProof/>
        </w:rPr>
        <w:fldChar w:fldCharType="end"/>
      </w:r>
      <w:r>
        <w:t>. VRB-to-PRB mapping example 2</w:t>
      </w:r>
    </w:p>
    <w:p w14:paraId="6317284B" w14:textId="77777777" w:rsidR="00D214D7" w:rsidRDefault="00D214D7" w:rsidP="00D214D7"/>
    <w:p w14:paraId="0A71A47C" w14:textId="77777777" w:rsidR="00D214D7" w:rsidRDefault="00D214D7" w:rsidP="00D214D7">
      <w:r>
        <w:t xml:space="preserve">Example 3) Two partial bundles at PRB bundle 0 and </w:t>
      </w:r>
      <w:r w:rsidRPr="00F17F7E">
        <w:rPr>
          <w:position w:val="-12"/>
        </w:rPr>
        <w:object w:dxaOrig="940" w:dyaOrig="360" w14:anchorId="36A02E2B">
          <v:shape id="_x0000_i1046" type="#_x0000_t75" style="width:47pt;height:18pt" o:ole="">
            <v:imagedata r:id="rId35" o:title=""/>
          </v:shape>
          <o:OLEObject Type="Embed" ProgID="Equation.DSMT4" ShapeID="_x0000_i1046" DrawAspect="Content" ObjectID="_1577293095" r:id="rId47"/>
        </w:object>
      </w:r>
    </w:p>
    <w:tbl>
      <w:tblPr>
        <w:tblStyle w:val="GridTable4-Accent1"/>
        <w:tblW w:w="0" w:type="auto"/>
        <w:jc w:val="center"/>
        <w:tblLook w:val="04A0" w:firstRow="1" w:lastRow="0" w:firstColumn="1" w:lastColumn="0" w:noHBand="0" w:noVBand="1"/>
      </w:tblPr>
      <w:tblGrid>
        <w:gridCol w:w="1558"/>
        <w:gridCol w:w="1558"/>
        <w:gridCol w:w="1558"/>
        <w:gridCol w:w="1558"/>
        <w:gridCol w:w="1559"/>
        <w:gridCol w:w="1559"/>
      </w:tblGrid>
      <w:tr w:rsidR="00D214D7" w14:paraId="634715A1" w14:textId="77777777" w:rsidTr="002D49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32" w:type="dxa"/>
            <w:gridSpan w:val="4"/>
            <w:tcBorders>
              <w:right w:val="double" w:sz="4" w:space="0" w:color="5B9BD5" w:themeColor="accent1"/>
            </w:tcBorders>
            <w:vAlign w:val="center"/>
          </w:tcPr>
          <w:p w14:paraId="44BFD75A" w14:textId="77777777" w:rsidR="00D214D7" w:rsidRDefault="00D214D7" w:rsidP="00B53767">
            <w:pPr>
              <w:spacing w:after="0"/>
              <w:jc w:val="center"/>
            </w:pPr>
            <w:r>
              <w:t>Parameters</w:t>
            </w:r>
          </w:p>
        </w:tc>
        <w:tc>
          <w:tcPr>
            <w:tcW w:w="3118" w:type="dxa"/>
            <w:gridSpan w:val="2"/>
            <w:tcBorders>
              <w:left w:val="double" w:sz="4" w:space="0" w:color="5B9BD5" w:themeColor="accent1"/>
            </w:tcBorders>
            <w:vAlign w:val="center"/>
          </w:tcPr>
          <w:p w14:paraId="0EB57B47" w14:textId="77777777" w:rsidR="00D214D7" w:rsidRDefault="00D214D7" w:rsidP="00B53767">
            <w:pPr>
              <w:spacing w:after="0"/>
              <w:jc w:val="center"/>
              <w:cnfStyle w:val="100000000000" w:firstRow="1" w:lastRow="0" w:firstColumn="0" w:lastColumn="0" w:oddVBand="0" w:evenVBand="0" w:oddHBand="0" w:evenHBand="0" w:firstRowFirstColumn="0" w:firstRowLastColumn="0" w:lastRowFirstColumn="0" w:lastRowLastColumn="0"/>
            </w:pPr>
            <w:r>
              <w:t>Derived parameters</w:t>
            </w:r>
          </w:p>
        </w:tc>
      </w:tr>
      <w:tr w:rsidR="00D214D7" w14:paraId="34C3552D" w14:textId="77777777" w:rsidTr="002D4997">
        <w:trPr>
          <w:cnfStyle w:val="000000100000" w:firstRow="0" w:lastRow="0" w:firstColumn="0" w:lastColumn="0" w:oddVBand="0" w:evenVBand="0" w:oddHBand="1" w:evenHBand="0" w:firstRowFirstColumn="0" w:firstRowLastColumn="0" w:lastRowFirstColumn="0" w:lastRowLastColumn="0"/>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39159C3A" w14:textId="77777777" w:rsidR="00D214D7" w:rsidRDefault="00D214D7" w:rsidP="00B53767">
            <w:pPr>
              <w:spacing w:after="0"/>
              <w:jc w:val="center"/>
            </w:pPr>
            <w:r w:rsidRPr="00155BB0">
              <w:rPr>
                <w:rFonts w:eastAsia="SimSun" w:cs="Times New Roman"/>
                <w:b w:val="0"/>
                <w:bCs w:val="0"/>
                <w:position w:val="-14"/>
                <w:sz w:val="20"/>
                <w:szCs w:val="20"/>
              </w:rPr>
              <w:object w:dxaOrig="639" w:dyaOrig="400" w14:anchorId="3A17F506">
                <v:shape id="_x0000_i1047" type="#_x0000_t75" style="width:32pt;height:19.5pt" o:ole="">
                  <v:imagedata r:id="rId19" o:title=""/>
                </v:shape>
                <o:OLEObject Type="Embed" ProgID="Equation.DSMT4" ShapeID="_x0000_i1047" DrawAspect="Content" ObjectID="_1577293096" r:id="rId48"/>
              </w:object>
            </w:r>
          </w:p>
        </w:tc>
        <w:tc>
          <w:tcPr>
            <w:tcW w:w="1558" w:type="dxa"/>
            <w:vAlign w:val="center"/>
          </w:tcPr>
          <w:p w14:paraId="0D1735A4"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639" w:dyaOrig="400" w14:anchorId="441FB302">
                <v:shape id="_x0000_i1048" type="#_x0000_t75" style="width:32pt;height:19.5pt" o:ole="">
                  <v:imagedata r:id="rId21" o:title=""/>
                </v:shape>
                <o:OLEObject Type="Embed" ProgID="Equation.DSMT4" ShapeID="_x0000_i1048" DrawAspect="Content" ObjectID="_1577293097" r:id="rId49"/>
              </w:object>
            </w:r>
          </w:p>
        </w:tc>
        <w:tc>
          <w:tcPr>
            <w:tcW w:w="1558" w:type="dxa"/>
            <w:vAlign w:val="center"/>
          </w:tcPr>
          <w:p w14:paraId="4E717C84"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4"/>
                <w:sz w:val="20"/>
                <w:szCs w:val="20"/>
              </w:rPr>
              <w:object w:dxaOrig="580" w:dyaOrig="380" w14:anchorId="0F2326AD">
                <v:shape id="_x0000_i1049" type="#_x0000_t75" style="width:29.5pt;height:19pt" o:ole="">
                  <v:imagedata r:id="rId23" o:title=""/>
                </v:shape>
                <o:OLEObject Type="Embed" ProgID="Equation.DSMT4" ShapeID="_x0000_i1049" DrawAspect="Content" ObjectID="_1577293098" r:id="rId50"/>
              </w:object>
            </w:r>
          </w:p>
        </w:tc>
        <w:tc>
          <w:tcPr>
            <w:tcW w:w="1558" w:type="dxa"/>
            <w:tcBorders>
              <w:right w:val="double" w:sz="4" w:space="0" w:color="5B9BD5" w:themeColor="accent1"/>
            </w:tcBorders>
            <w:vAlign w:val="center"/>
          </w:tcPr>
          <w:p w14:paraId="72C2A6AC"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4"/>
                <w:sz w:val="20"/>
                <w:szCs w:val="20"/>
              </w:rPr>
              <w:object w:dxaOrig="240" w:dyaOrig="260" w14:anchorId="528F713F">
                <v:shape id="_x0000_i1050" type="#_x0000_t75" style="width:12.5pt;height:13pt" o:ole="">
                  <v:imagedata r:id="rId25" o:title=""/>
                </v:shape>
                <o:OLEObject Type="Embed" ProgID="Equation.DSMT4" ShapeID="_x0000_i1050" DrawAspect="Content" ObjectID="_1577293099" r:id="rId51"/>
              </w:object>
            </w:r>
          </w:p>
        </w:tc>
        <w:tc>
          <w:tcPr>
            <w:tcW w:w="1559" w:type="dxa"/>
            <w:tcBorders>
              <w:left w:val="double" w:sz="4" w:space="0" w:color="5B9BD5" w:themeColor="accent1"/>
            </w:tcBorders>
            <w:vAlign w:val="center"/>
          </w:tcPr>
          <w:p w14:paraId="308102B5"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12"/>
                <w:sz w:val="20"/>
                <w:szCs w:val="20"/>
              </w:rPr>
              <w:object w:dxaOrig="639" w:dyaOrig="360" w14:anchorId="63F852C7">
                <v:shape id="_x0000_i1051" type="#_x0000_t75" style="width:32pt;height:18pt" o:ole="">
                  <v:imagedata r:id="rId27" o:title=""/>
                </v:shape>
                <o:OLEObject Type="Embed" ProgID="Equation.DSMT4" ShapeID="_x0000_i1051" DrawAspect="Content" ObjectID="_1577293100" r:id="rId52"/>
              </w:object>
            </w:r>
          </w:p>
        </w:tc>
        <w:tc>
          <w:tcPr>
            <w:tcW w:w="1559" w:type="dxa"/>
            <w:vAlign w:val="center"/>
          </w:tcPr>
          <w:p w14:paraId="605194B9" w14:textId="77777777" w:rsidR="00D214D7" w:rsidRDefault="00D214D7" w:rsidP="00B53767">
            <w:pPr>
              <w:spacing w:after="0"/>
              <w:jc w:val="center"/>
              <w:cnfStyle w:val="000000100000" w:firstRow="0" w:lastRow="0" w:firstColumn="0" w:lastColumn="0" w:oddVBand="0" w:evenVBand="0" w:oddHBand="1" w:evenHBand="0" w:firstRowFirstColumn="0" w:firstRowLastColumn="0" w:lastRowFirstColumn="0" w:lastRowLastColumn="0"/>
            </w:pPr>
            <w:r w:rsidRPr="00155BB0">
              <w:rPr>
                <w:rFonts w:eastAsia="SimSun" w:cs="Times New Roman"/>
                <w:position w:val="-6"/>
                <w:sz w:val="20"/>
                <w:szCs w:val="20"/>
              </w:rPr>
              <w:object w:dxaOrig="240" w:dyaOrig="279" w14:anchorId="488C94C7">
                <v:shape id="_x0000_i1052" type="#_x0000_t75" style="width:12.5pt;height:14pt" o:ole="">
                  <v:imagedata r:id="rId29" o:title=""/>
                </v:shape>
                <o:OLEObject Type="Embed" ProgID="Equation.DSMT4" ShapeID="_x0000_i1052" DrawAspect="Content" ObjectID="_1577293101" r:id="rId53"/>
              </w:object>
            </w:r>
          </w:p>
        </w:tc>
      </w:tr>
      <w:tr w:rsidR="00D214D7" w14:paraId="6FD7F617" w14:textId="77777777" w:rsidTr="002D4997">
        <w:trPr>
          <w:trHeight w:val="400"/>
          <w:jc w:val="center"/>
        </w:trPr>
        <w:tc>
          <w:tcPr>
            <w:cnfStyle w:val="001000000000" w:firstRow="0" w:lastRow="0" w:firstColumn="1" w:lastColumn="0" w:oddVBand="0" w:evenVBand="0" w:oddHBand="0" w:evenHBand="0" w:firstRowFirstColumn="0" w:firstRowLastColumn="0" w:lastRowFirstColumn="0" w:lastRowLastColumn="0"/>
            <w:tcW w:w="1558" w:type="dxa"/>
            <w:vAlign w:val="center"/>
          </w:tcPr>
          <w:p w14:paraId="44A75C44" w14:textId="77777777" w:rsidR="00D214D7" w:rsidRPr="00155BB0" w:rsidRDefault="00D214D7" w:rsidP="00B53767">
            <w:pPr>
              <w:spacing w:after="0"/>
              <w:jc w:val="center"/>
              <w:rPr>
                <w:b w:val="0"/>
              </w:rPr>
            </w:pPr>
            <w:r w:rsidRPr="00155BB0">
              <w:rPr>
                <w:b w:val="0"/>
              </w:rPr>
              <w:t>1</w:t>
            </w:r>
          </w:p>
        </w:tc>
        <w:tc>
          <w:tcPr>
            <w:tcW w:w="1558" w:type="dxa"/>
            <w:vAlign w:val="center"/>
          </w:tcPr>
          <w:p w14:paraId="638B6A07"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14</w:t>
            </w:r>
          </w:p>
        </w:tc>
        <w:tc>
          <w:tcPr>
            <w:tcW w:w="1558" w:type="dxa"/>
            <w:vAlign w:val="center"/>
          </w:tcPr>
          <w:p w14:paraId="766F79C3"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8" w:type="dxa"/>
            <w:tcBorders>
              <w:right w:val="double" w:sz="4" w:space="0" w:color="5B9BD5" w:themeColor="accent1"/>
            </w:tcBorders>
            <w:vAlign w:val="center"/>
          </w:tcPr>
          <w:p w14:paraId="2D9F2B45"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2</w:t>
            </w:r>
          </w:p>
        </w:tc>
        <w:tc>
          <w:tcPr>
            <w:tcW w:w="1559" w:type="dxa"/>
            <w:tcBorders>
              <w:left w:val="double" w:sz="4" w:space="0" w:color="5B9BD5" w:themeColor="accent1"/>
            </w:tcBorders>
            <w:vAlign w:val="center"/>
          </w:tcPr>
          <w:p w14:paraId="4E4BD29A"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8</w:t>
            </w:r>
          </w:p>
        </w:tc>
        <w:tc>
          <w:tcPr>
            <w:tcW w:w="1559" w:type="dxa"/>
            <w:vAlign w:val="center"/>
          </w:tcPr>
          <w:p w14:paraId="4DDB444C" w14:textId="77777777" w:rsidR="00D214D7" w:rsidRDefault="00D214D7" w:rsidP="00B53767">
            <w:pPr>
              <w:spacing w:after="0"/>
              <w:jc w:val="center"/>
              <w:cnfStyle w:val="000000000000" w:firstRow="0" w:lastRow="0" w:firstColumn="0" w:lastColumn="0" w:oddVBand="0" w:evenVBand="0" w:oddHBand="0" w:evenHBand="0" w:firstRowFirstColumn="0" w:firstRowLastColumn="0" w:lastRowFirstColumn="0" w:lastRowLastColumn="0"/>
            </w:pPr>
            <w:r>
              <w:t>4</w:t>
            </w:r>
          </w:p>
        </w:tc>
      </w:tr>
    </w:tbl>
    <w:p w14:paraId="4B08D26E" w14:textId="77777777" w:rsidR="00D214D7" w:rsidRDefault="00D214D7" w:rsidP="00D214D7"/>
    <w:p w14:paraId="2C7DAC64" w14:textId="35BA2FAC" w:rsidR="00D214D7" w:rsidRDefault="00D214D7" w:rsidP="00D32F40">
      <w:pPr>
        <w:pStyle w:val="ListParagraph"/>
        <w:numPr>
          <w:ilvl w:val="0"/>
          <w:numId w:val="10"/>
        </w:numPr>
      </w:pPr>
      <w:r>
        <w:t xml:space="preserve">Size of VRB/PRB bundle 0: </w:t>
      </w:r>
      <w:r w:rsidRPr="00155BB0">
        <w:rPr>
          <w:position w:val="-14"/>
        </w:rPr>
        <w:object w:dxaOrig="2740" w:dyaOrig="400" w14:anchorId="54347321">
          <v:shape id="_x0000_i1053" type="#_x0000_t75" style="width:137pt;height:21pt" o:ole="">
            <v:imagedata r:id="rId31" o:title=""/>
          </v:shape>
          <o:OLEObject Type="Embed" ProgID="Equation.DSMT4" ShapeID="_x0000_i1053" DrawAspect="Content" ObjectID="_1577293102" r:id="rId54"/>
        </w:object>
      </w:r>
    </w:p>
    <w:p w14:paraId="6C4B376A" w14:textId="4CE1E5A0" w:rsidR="00D214D7" w:rsidRDefault="00D214D7" w:rsidP="00D32F40">
      <w:pPr>
        <w:pStyle w:val="ListParagraph"/>
        <w:numPr>
          <w:ilvl w:val="0"/>
          <w:numId w:val="10"/>
        </w:numPr>
      </w:pPr>
      <w:r>
        <w:t xml:space="preserve">Size of VRB/PRB bundle 7: </w:t>
      </w:r>
      <w:r w:rsidRPr="00155BB0">
        <w:rPr>
          <w:position w:val="-16"/>
        </w:rPr>
        <w:object w:dxaOrig="2980" w:dyaOrig="440" w14:anchorId="7B3194D9">
          <v:shape id="_x0000_i1054" type="#_x0000_t75" style="width:149pt;height:21.5pt" o:ole="">
            <v:imagedata r:id="rId43" o:title=""/>
          </v:shape>
          <o:OLEObject Type="Embed" ProgID="Equation.DSMT4" ShapeID="_x0000_i1054" DrawAspect="Content" ObjectID="_1577293103" r:id="rId55"/>
        </w:object>
      </w:r>
    </w:p>
    <w:p w14:paraId="1C99DB77" w14:textId="77777777" w:rsidR="00D214D7" w:rsidRDefault="00D214D7" w:rsidP="00D214D7"/>
    <w:p w14:paraId="558524BE" w14:textId="4F6A9677" w:rsidR="00D214D7" w:rsidRDefault="003D140B" w:rsidP="002D4997">
      <w:pPr>
        <w:jc w:val="center"/>
      </w:pPr>
      <w:r>
        <w:object w:dxaOrig="9630" w:dyaOrig="6517" w14:anchorId="0DFA4725">
          <v:shape id="_x0000_i1055" type="#_x0000_t75" style="width:337.5pt;height:228.5pt" o:ole="">
            <v:imagedata r:id="rId56" o:title=""/>
          </v:shape>
          <o:OLEObject Type="Embed" ProgID="Visio.Drawing.11" ShapeID="_x0000_i1055" DrawAspect="Content" ObjectID="_1577293104" r:id="rId57"/>
        </w:object>
      </w:r>
    </w:p>
    <w:p w14:paraId="6FDF75EC" w14:textId="77777777" w:rsidR="00D214D7" w:rsidRDefault="00D214D7" w:rsidP="002D4997">
      <w:pPr>
        <w:pStyle w:val="Caption"/>
        <w:jc w:val="center"/>
      </w:pPr>
      <w:r>
        <w:t xml:space="preserve">Figure </w:t>
      </w:r>
      <w:r w:rsidR="00011AB5">
        <w:fldChar w:fldCharType="begin"/>
      </w:r>
      <w:r w:rsidR="00011AB5">
        <w:instrText xml:space="preserve"> SEQ Figure \* ARABIC </w:instrText>
      </w:r>
      <w:r w:rsidR="00011AB5">
        <w:fldChar w:fldCharType="separate"/>
      </w:r>
      <w:r>
        <w:rPr>
          <w:noProof/>
        </w:rPr>
        <w:t>1</w:t>
      </w:r>
      <w:r w:rsidR="00011AB5">
        <w:rPr>
          <w:noProof/>
        </w:rPr>
        <w:fldChar w:fldCharType="end"/>
      </w:r>
      <w:r>
        <w:t>. VRB-to-PRB mapping example 3</w:t>
      </w:r>
    </w:p>
    <w:p w14:paraId="6383A2A1" w14:textId="77777777" w:rsidR="00D214D7" w:rsidRPr="00D214D7" w:rsidRDefault="00D214D7" w:rsidP="00D214D7"/>
    <w:p w14:paraId="2044FBA0" w14:textId="0B87B0FC" w:rsidR="002E4881" w:rsidRDefault="00007D2E" w:rsidP="008A0964">
      <w:pPr>
        <w:pStyle w:val="Heading1"/>
        <w:numPr>
          <w:ilvl w:val="0"/>
          <w:numId w:val="0"/>
        </w:numPr>
        <w:ind w:left="432" w:hanging="432"/>
      </w:pPr>
      <w:r>
        <w:t>Appendix</w:t>
      </w:r>
      <w:r w:rsidR="008A0964">
        <w:t xml:space="preserve"> </w:t>
      </w:r>
      <w:r w:rsidR="00D214D7">
        <w:t>2</w:t>
      </w:r>
      <w:r>
        <w:t xml:space="preserve">: Text </w:t>
      </w:r>
      <w:r w:rsidR="008A0964">
        <w:t>proposal (TS 38.211)</w:t>
      </w:r>
    </w:p>
    <w:p w14:paraId="6F9D57CF" w14:textId="5792331B" w:rsidR="00950A2A" w:rsidRPr="00950A2A" w:rsidRDefault="00950A2A" w:rsidP="00950A2A">
      <w:pPr>
        <w:rPr>
          <w:i/>
          <w:lang w:val="en-GB"/>
        </w:rPr>
      </w:pPr>
      <w:r w:rsidRPr="00950A2A">
        <w:rPr>
          <w:i/>
          <w:lang w:val="en-GB"/>
        </w:rPr>
        <w:t>The following text changes highlighted in green should be made to TS 38.211</w:t>
      </w:r>
      <w:r>
        <w:rPr>
          <w:i/>
          <w:lang w:val="en-GB"/>
        </w:rPr>
        <w:t>.</w:t>
      </w:r>
    </w:p>
    <w:p w14:paraId="305D8C94" w14:textId="77777777" w:rsidR="00D87477" w:rsidRDefault="00D87477" w:rsidP="00967B96">
      <w:pPr>
        <w:pStyle w:val="Heading4"/>
        <w:numPr>
          <w:ilvl w:val="0"/>
          <w:numId w:val="0"/>
        </w:numPr>
        <w:ind w:left="864" w:hanging="864"/>
      </w:pPr>
      <w:bookmarkStart w:id="6" w:name="_Toc500952655"/>
      <w:r>
        <w:t>6.3.1.6</w:t>
      </w:r>
      <w:r>
        <w:tab/>
        <w:t>Mapping from virtual to physical resource blocks</w:t>
      </w:r>
      <w:bookmarkEnd w:id="6"/>
    </w:p>
    <w:p w14:paraId="0FE6C6C3" w14:textId="77777777" w:rsidR="00D87477" w:rsidRDefault="00D87477" w:rsidP="00D87477">
      <w:r>
        <w:t>Virtual resource blocks shall be mapped to physical resource blocks according to the indicated mapping scheme, non-interleaved or interleaved mapping.</w:t>
      </w:r>
    </w:p>
    <w:p w14:paraId="2363D4C6" w14:textId="77777777" w:rsidR="00D87477" w:rsidRDefault="00D87477" w:rsidP="00D87477">
      <w:r>
        <w:t xml:space="preserve">For non-interleaved VRB-to-PRB mapping, virtual resource block </w:t>
      </w:r>
      <w:r w:rsidRPr="00A77CF0">
        <w:rPr>
          <w:position w:val="-10"/>
        </w:rPr>
        <w:object w:dxaOrig="200" w:dyaOrig="300" w14:anchorId="10A6FB8B">
          <v:shape id="_x0000_i1056" type="#_x0000_t75" style="width:13pt;height:18pt" o:ole="">
            <v:imagedata r:id="rId58" o:title=""/>
          </v:shape>
          <o:OLEObject Type="Embed" ProgID="Equation.DSMT4" ShapeID="_x0000_i1056" DrawAspect="Content" ObjectID="_1577293105" r:id="rId59"/>
        </w:object>
      </w:r>
      <w:r w:rsidRPr="00625BCB">
        <w:t xml:space="preserve"> </w:t>
      </w:r>
      <w:r>
        <w:t xml:space="preserve"> is mapped to physical resource block </w:t>
      </w:r>
      <w:r w:rsidRPr="00A77CF0">
        <w:rPr>
          <w:position w:val="-10"/>
        </w:rPr>
        <w:object w:dxaOrig="200" w:dyaOrig="300" w14:anchorId="710CC907">
          <v:shape id="_x0000_i1057" type="#_x0000_t75" style="width:13pt;height:18pt" o:ole="">
            <v:imagedata r:id="rId60" o:title=""/>
          </v:shape>
          <o:OLEObject Type="Embed" ProgID="Equation.DSMT4" ShapeID="_x0000_i1057" DrawAspect="Content" ObjectID="_1577293106" r:id="rId61"/>
        </w:object>
      </w:r>
      <w:r>
        <w:t>.</w:t>
      </w:r>
    </w:p>
    <w:p w14:paraId="47E670AB" w14:textId="77777777" w:rsidR="00D87477" w:rsidRDefault="00D87477" w:rsidP="00D87477">
      <w:r>
        <w:t>For interleaved VRB-to-PRB mapping, the mapping process is defined in terms of resource block bundles:</w:t>
      </w:r>
    </w:p>
    <w:p w14:paraId="6E7D278F" w14:textId="77777777" w:rsidR="00D87477" w:rsidRPr="00B45578" w:rsidRDefault="00D87477" w:rsidP="00D87477">
      <w:pPr>
        <w:pStyle w:val="B1"/>
        <w:rPr>
          <w:highlight w:val="green"/>
        </w:rPr>
      </w:pPr>
      <w:r w:rsidRPr="00B45578">
        <w:rPr>
          <w:highlight w:val="green"/>
        </w:rPr>
        <w:lastRenderedPageBreak/>
        <w:t>-</w:t>
      </w:r>
      <w:r w:rsidRPr="00B45578">
        <w:rPr>
          <w:highlight w:val="green"/>
        </w:rPr>
        <w:tab/>
        <w:t xml:space="preserve">A resource block bundle is defined as a group of </w:t>
      </w:r>
      <w:r w:rsidRPr="00B45578">
        <w:rPr>
          <w:position w:val="-14"/>
          <w:highlight w:val="green"/>
        </w:rPr>
        <w:object w:dxaOrig="580" w:dyaOrig="380" w14:anchorId="128900F7">
          <v:shape id="_x0000_i1058" type="#_x0000_t75" style="width:28.5pt;height:19pt" o:ole="">
            <v:imagedata r:id="rId62" o:title=""/>
          </v:shape>
          <o:OLEObject Type="Embed" ProgID="Equation.DSMT4" ShapeID="_x0000_i1058" DrawAspect="Content" ObjectID="_1577293107" r:id="rId63"/>
        </w:object>
      </w:r>
      <w:r w:rsidRPr="00B45578">
        <w:rPr>
          <w:highlight w:val="green"/>
        </w:rPr>
        <w:t xml:space="preserve"> consecutive resource blocks,</w:t>
      </w:r>
      <w:r w:rsidRPr="00B45578">
        <w:rPr>
          <w:color w:val="FF0000"/>
          <w:highlight w:val="green"/>
        </w:rPr>
        <w:t xml:space="preserve"> </w:t>
      </w:r>
      <w:r w:rsidRPr="00B45578">
        <w:rPr>
          <w:highlight w:val="green"/>
        </w:rPr>
        <w:t xml:space="preserve">where </w:t>
      </w:r>
      <w:r w:rsidRPr="00B45578">
        <w:rPr>
          <w:position w:val="-14"/>
          <w:highlight w:val="green"/>
        </w:rPr>
        <w:object w:dxaOrig="580" w:dyaOrig="380" w14:anchorId="2CF6BB1B">
          <v:shape id="_x0000_i1059" type="#_x0000_t75" style="width:29.5pt;height:19pt" o:ole="">
            <v:imagedata r:id="rId64" o:title=""/>
          </v:shape>
          <o:OLEObject Type="Embed" ProgID="Equation.DSMT4" ShapeID="_x0000_i1059" DrawAspect="Content" ObjectID="_1577293108" r:id="rId65"/>
        </w:object>
      </w:r>
      <w:r w:rsidRPr="00B45578">
        <w:rPr>
          <w:highlight w:val="green"/>
        </w:rPr>
        <w:t xml:space="preserve"> is the bundle size provided by the higher-layer parameter </w:t>
      </w:r>
      <w:r w:rsidRPr="00B45578">
        <w:rPr>
          <w:i/>
          <w:highlight w:val="green"/>
        </w:rPr>
        <w:t>VRB-to-PRB-</w:t>
      </w:r>
      <w:proofErr w:type="spellStart"/>
      <w:r w:rsidRPr="00B45578">
        <w:rPr>
          <w:i/>
          <w:highlight w:val="green"/>
        </w:rPr>
        <w:t>interleaver</w:t>
      </w:r>
      <w:proofErr w:type="spellEnd"/>
      <w:r w:rsidRPr="00B45578">
        <w:rPr>
          <w:highlight w:val="green"/>
        </w:rPr>
        <w:t xml:space="preserve">. Resource block bundles partition the carrier bandwidth part </w:t>
      </w:r>
      <w:r w:rsidRPr="00B45578">
        <w:rPr>
          <w:position w:val="-6"/>
          <w:highlight w:val="green"/>
        </w:rPr>
        <w:object w:dxaOrig="139" w:dyaOrig="260" w14:anchorId="1074B734">
          <v:shape id="_x0000_i1060" type="#_x0000_t75" style="width:7pt;height:13pt" o:ole="">
            <v:imagedata r:id="rId66" o:title=""/>
          </v:shape>
          <o:OLEObject Type="Embed" ProgID="Equation.DSMT4" ShapeID="_x0000_i1060" DrawAspect="Content" ObjectID="_1577293109" r:id="rId67"/>
        </w:object>
      </w:r>
      <w:r w:rsidRPr="00B45578">
        <w:rPr>
          <w:highlight w:val="green"/>
        </w:rPr>
        <w:t xml:space="preserve">, and at most one bundle, which are mapped to the highest frequency of the carrier bandwidth part, can have sizes smaller than </w:t>
      </w:r>
      <w:r w:rsidRPr="00B45578">
        <w:rPr>
          <w:position w:val="-14"/>
          <w:highlight w:val="green"/>
        </w:rPr>
        <w:object w:dxaOrig="580" w:dyaOrig="380" w14:anchorId="68A508CD">
          <v:shape id="_x0000_i1061" type="#_x0000_t75" style="width:28.5pt;height:19pt" o:ole="">
            <v:imagedata r:id="rId68" o:title=""/>
          </v:shape>
          <o:OLEObject Type="Embed" ProgID="Equation.DSMT4" ShapeID="_x0000_i1061" DrawAspect="Content" ObjectID="_1577293110" r:id="rId69"/>
        </w:object>
      </w:r>
      <w:r w:rsidRPr="00B45578">
        <w:rPr>
          <w:highlight w:val="green"/>
        </w:rPr>
        <w:t>.</w:t>
      </w:r>
    </w:p>
    <w:p w14:paraId="5263982D" w14:textId="77777777" w:rsidR="00D87477" w:rsidRPr="00B45578" w:rsidRDefault="00D87477" w:rsidP="00D87477">
      <w:pPr>
        <w:pStyle w:val="B1"/>
        <w:ind w:firstLine="0"/>
        <w:rPr>
          <w:highlight w:val="green"/>
        </w:rPr>
      </w:pPr>
      <w:r w:rsidRPr="00B45578">
        <w:rPr>
          <w:highlight w:val="green"/>
        </w:rPr>
        <w:t>-</w:t>
      </w:r>
      <w:r w:rsidRPr="00B45578">
        <w:rPr>
          <w:highlight w:val="green"/>
        </w:rPr>
        <w:tab/>
        <w:t xml:space="preserve">There are </w:t>
      </w:r>
      <w:r w:rsidRPr="00B45578">
        <w:rPr>
          <w:position w:val="-16"/>
          <w:highlight w:val="green"/>
        </w:rPr>
        <w:object w:dxaOrig="2360" w:dyaOrig="440" w14:anchorId="1E4F822E">
          <v:shape id="_x0000_i1062" type="#_x0000_t75" style="width:118pt;height:21.5pt" o:ole="">
            <v:imagedata r:id="rId70" o:title=""/>
          </v:shape>
          <o:OLEObject Type="Embed" ProgID="Equation.DSMT4" ShapeID="_x0000_i1062" DrawAspect="Content" ObjectID="_1577293111" r:id="rId71"/>
        </w:object>
      </w:r>
      <w:r w:rsidRPr="00B45578">
        <w:rPr>
          <w:highlight w:val="green"/>
        </w:rPr>
        <w:t xml:space="preserve"> resource block bundles within carrier bandwidth part </w:t>
      </w:r>
      <w:r w:rsidRPr="00B45578">
        <w:rPr>
          <w:position w:val="-6"/>
          <w:highlight w:val="green"/>
        </w:rPr>
        <w:object w:dxaOrig="139" w:dyaOrig="260" w14:anchorId="6B41F327">
          <v:shape id="_x0000_i1063" type="#_x0000_t75" style="width:7pt;height:13pt" o:ole="">
            <v:imagedata r:id="rId66" o:title=""/>
          </v:shape>
          <o:OLEObject Type="Embed" ProgID="Equation.DSMT4" ShapeID="_x0000_i1063" DrawAspect="Content" ObjectID="_1577293112" r:id="rId72"/>
        </w:object>
      </w:r>
      <w:r w:rsidRPr="00B45578">
        <w:rPr>
          <w:highlight w:val="green"/>
        </w:rPr>
        <w:t xml:space="preserve">. The resource block bundles are indexed from 0 to </w:t>
      </w:r>
      <w:r w:rsidRPr="00B45578">
        <w:rPr>
          <w:position w:val="-12"/>
          <w:highlight w:val="green"/>
        </w:rPr>
        <w:object w:dxaOrig="940" w:dyaOrig="360" w14:anchorId="5C1A1434">
          <v:shape id="_x0000_i1064" type="#_x0000_t75" style="width:47pt;height:18pt" o:ole="">
            <v:imagedata r:id="rId73" o:title=""/>
          </v:shape>
          <o:OLEObject Type="Embed" ProgID="Equation.DSMT4" ShapeID="_x0000_i1064" DrawAspect="Content" ObjectID="_1577293113" r:id="rId74"/>
        </w:object>
      </w:r>
      <w:r w:rsidRPr="00B45578">
        <w:rPr>
          <w:highlight w:val="green"/>
        </w:rPr>
        <w:t>. For physical resource block bundles, the index is in the order of increasing frequency.</w:t>
      </w:r>
    </w:p>
    <w:p w14:paraId="51D1E0AC" w14:textId="7478AF0C" w:rsidR="00D87477" w:rsidRPr="00B45578" w:rsidRDefault="00D87477" w:rsidP="00D87477">
      <w:pPr>
        <w:pStyle w:val="B1"/>
        <w:ind w:firstLine="0"/>
        <w:rPr>
          <w:highlight w:val="green"/>
        </w:rPr>
      </w:pPr>
      <w:r w:rsidRPr="00B45578">
        <w:rPr>
          <w:highlight w:val="green"/>
        </w:rPr>
        <w:t>-</w:t>
      </w:r>
      <w:r w:rsidRPr="00B45578">
        <w:rPr>
          <w:highlight w:val="green"/>
        </w:rPr>
        <w:tab/>
        <w:t xml:space="preserve">If </w:t>
      </w:r>
      <w:r w:rsidRPr="00B45578">
        <w:rPr>
          <w:position w:val="-14"/>
          <w:highlight w:val="green"/>
        </w:rPr>
        <w:object w:dxaOrig="2100" w:dyaOrig="400" w14:anchorId="6F86049A">
          <v:shape id="_x0000_i1065" type="#_x0000_t75" style="width:105.5pt;height:19.5pt" o:ole="">
            <v:imagedata r:id="rId75" o:title=""/>
          </v:shape>
          <o:OLEObject Type="Embed" ProgID="Equation.DSMT4" ShapeID="_x0000_i1065" DrawAspect="Content" ObjectID="_1577293114" r:id="rId76"/>
        </w:object>
      </w:r>
      <w:r w:rsidRPr="00B45578">
        <w:rPr>
          <w:highlight w:val="green"/>
        </w:rPr>
        <w:t xml:space="preserve">, virtual resource block bundle </w:t>
      </w:r>
      <w:r w:rsidR="00C872A0" w:rsidRPr="00B45578">
        <w:rPr>
          <w:position w:val="-14"/>
          <w:highlight w:val="green"/>
        </w:rPr>
        <w:object w:dxaOrig="1620" w:dyaOrig="400" w14:anchorId="036B6F80">
          <v:shape id="_x0000_i1066" type="#_x0000_t75" style="width:81pt;height:21pt" o:ole="">
            <v:imagedata r:id="rId77" o:title=""/>
          </v:shape>
          <o:OLEObject Type="Embed" ProgID="Equation.DSMT4" ShapeID="_x0000_i1066" DrawAspect="Content" ObjectID="_1577293115" r:id="rId78"/>
        </w:object>
      </w:r>
      <w:r w:rsidRPr="00B45578">
        <w:rPr>
          <w:highlight w:val="green"/>
        </w:rPr>
        <w:t xml:space="preserve"> is of size</w:t>
      </w:r>
      <w:r w:rsidRPr="00B45578">
        <w:rPr>
          <w:position w:val="-14"/>
          <w:highlight w:val="green"/>
        </w:rPr>
        <w:object w:dxaOrig="1719" w:dyaOrig="400" w14:anchorId="4BA1362D">
          <v:shape id="_x0000_i1067" type="#_x0000_t75" style="width:86pt;height:19.5pt" o:ole="">
            <v:imagedata r:id="rId79" o:title=""/>
          </v:shape>
          <o:OLEObject Type="Embed" ProgID="Equation.DSMT4" ShapeID="_x0000_i1067" DrawAspect="Content" ObjectID="_1577293116" r:id="rId80"/>
        </w:object>
      </w:r>
      <w:r w:rsidRPr="00B45578">
        <w:rPr>
          <w:highlight w:val="green"/>
        </w:rPr>
        <w:t>,</w:t>
      </w:r>
      <w:r w:rsidR="00C82AC0">
        <w:rPr>
          <w:highlight w:val="green"/>
        </w:rPr>
        <w:t xml:space="preserve"> where </w:t>
      </w:r>
      <w:r w:rsidR="00C82AC0" w:rsidRPr="00C82AC0">
        <w:rPr>
          <w:position w:val="-4"/>
          <w:highlight w:val="green"/>
        </w:rPr>
        <w:object w:dxaOrig="600" w:dyaOrig="260" w14:anchorId="1A03D3F8">
          <v:shape id="_x0000_i1068" type="#_x0000_t75" style="width:30pt;height:13pt" o:ole="">
            <v:imagedata r:id="rId81" o:title=""/>
          </v:shape>
          <o:OLEObject Type="Embed" ProgID="Equation.DSMT4" ShapeID="_x0000_i1068" DrawAspect="Content" ObjectID="_1577293117" r:id="rId82"/>
        </w:object>
      </w:r>
      <w:r w:rsidR="00C82AC0">
        <w:rPr>
          <w:highlight w:val="green"/>
        </w:rPr>
        <w:t>,</w:t>
      </w:r>
      <w:r w:rsidRPr="00B45578">
        <w:rPr>
          <w:highlight w:val="green"/>
        </w:rPr>
        <w:t xml:space="preserve"> and is mapped to physical resource block bundle </w:t>
      </w:r>
      <w:r w:rsidRPr="00B45578">
        <w:rPr>
          <w:position w:val="-12"/>
          <w:highlight w:val="green"/>
        </w:rPr>
        <w:object w:dxaOrig="940" w:dyaOrig="360" w14:anchorId="02A82A6D">
          <v:shape id="_x0000_i1069" type="#_x0000_t75" style="width:47pt;height:18pt" o:ole="">
            <v:imagedata r:id="rId83" o:title=""/>
          </v:shape>
          <o:OLEObject Type="Embed" ProgID="Equation.DSMT4" ShapeID="_x0000_i1069" DrawAspect="Content" ObjectID="_1577293118" r:id="rId84"/>
        </w:object>
      </w:r>
      <w:r w:rsidRPr="00B45578">
        <w:rPr>
          <w:highlight w:val="green"/>
        </w:rPr>
        <w:t>.</w:t>
      </w:r>
    </w:p>
    <w:p w14:paraId="7BA4F6A8" w14:textId="77777777" w:rsidR="00D87477" w:rsidRPr="00B45578" w:rsidRDefault="00D87477" w:rsidP="00D87477">
      <w:pPr>
        <w:pStyle w:val="B1"/>
        <w:rPr>
          <w:highlight w:val="green"/>
        </w:rPr>
      </w:pPr>
      <w:r w:rsidRPr="00B45578">
        <w:rPr>
          <w:highlight w:val="green"/>
        </w:rPr>
        <w:t>-</w:t>
      </w:r>
      <w:r w:rsidRPr="00B45578">
        <w:rPr>
          <w:highlight w:val="green"/>
        </w:rPr>
        <w:tab/>
        <w:t xml:space="preserve">Virtual resource block bundle </w:t>
      </w:r>
      <w:r w:rsidRPr="00B45578">
        <w:rPr>
          <w:position w:val="-12"/>
          <w:highlight w:val="green"/>
        </w:rPr>
        <w:object w:dxaOrig="1820" w:dyaOrig="360" w14:anchorId="0870556B">
          <v:shape id="_x0000_i1070" type="#_x0000_t75" style="width:93pt;height:18pt" o:ole="">
            <v:imagedata r:id="rId85" o:title=""/>
          </v:shape>
          <o:OLEObject Type="Embed" ProgID="Equation.DSMT4" ShapeID="_x0000_i1070" DrawAspect="Content" ObjectID="_1577293119" r:id="rId86"/>
        </w:object>
      </w:r>
      <w:r w:rsidRPr="00B45578">
        <w:rPr>
          <w:highlight w:val="green"/>
        </w:rPr>
        <w:t xml:space="preserve"> is mapped to physical resource block bundle </w:t>
      </w:r>
      <w:r w:rsidRPr="00B45578">
        <w:rPr>
          <w:position w:val="-10"/>
          <w:highlight w:val="green"/>
        </w:rPr>
        <w:object w:dxaOrig="440" w:dyaOrig="300" w14:anchorId="588997BA">
          <v:shape id="_x0000_i1071" type="#_x0000_t75" style="width:24pt;height:18pt" o:ole="">
            <v:imagedata r:id="rId87" o:title=""/>
          </v:shape>
          <o:OLEObject Type="Embed" ProgID="Equation.3" ShapeID="_x0000_i1071" DrawAspect="Content" ObjectID="_1577293120" r:id="rId88"/>
        </w:object>
      </w:r>
      <w:r w:rsidRPr="00B45578">
        <w:rPr>
          <w:highlight w:val="green"/>
        </w:rPr>
        <w:t xml:space="preserve"> where </w:t>
      </w:r>
    </w:p>
    <w:p w14:paraId="02977283" w14:textId="77777777" w:rsidR="00D87477" w:rsidRDefault="00D87477" w:rsidP="00D87477">
      <w:pPr>
        <w:pStyle w:val="EQ"/>
        <w:jc w:val="center"/>
      </w:pPr>
      <w:r w:rsidRPr="00B45578">
        <w:rPr>
          <w:position w:val="-108"/>
          <w:highlight w:val="green"/>
        </w:rPr>
        <w:object w:dxaOrig="5220" w:dyaOrig="2280" w14:anchorId="318EB1B3">
          <v:shape id="_x0000_i1072" type="#_x0000_t75" style="width:260.5pt;height:118pt" o:ole="">
            <v:imagedata r:id="rId89" o:title=""/>
          </v:shape>
          <o:OLEObject Type="Embed" ProgID="Equation.DSMT4" ShapeID="_x0000_i1072" DrawAspect="Content" ObjectID="_1577293121" r:id="rId90"/>
        </w:object>
      </w:r>
    </w:p>
    <w:p w14:paraId="279E8AF0" w14:textId="77777777" w:rsidR="00D87477" w:rsidRDefault="00D87477" w:rsidP="00967B96">
      <w:pPr>
        <w:pStyle w:val="Heading4"/>
        <w:numPr>
          <w:ilvl w:val="0"/>
          <w:numId w:val="0"/>
        </w:numPr>
        <w:ind w:left="864" w:hanging="864"/>
      </w:pPr>
      <w:r>
        <w:t>7.3.1.6</w:t>
      </w:r>
      <w:r>
        <w:tab/>
        <w:t>Mapping from virtual to physical resource blocks</w:t>
      </w:r>
    </w:p>
    <w:p w14:paraId="0844F1BF" w14:textId="77777777" w:rsidR="00D87477" w:rsidRDefault="00D87477" w:rsidP="00D87477">
      <w:r>
        <w:t>The UE shall assume the virtual resource blocks are mapped to physical resource blocks according to the indicated mapping scheme, non-interleaved or interleaved mapping.</w:t>
      </w:r>
    </w:p>
    <w:p w14:paraId="57FAEB70" w14:textId="77777777" w:rsidR="00D87477" w:rsidRDefault="00D87477" w:rsidP="00D87477">
      <w:r>
        <w:t xml:space="preserve">For non-interleaved VRB-to-PRB mapping, virtual resource block </w:t>
      </w:r>
      <w:r w:rsidRPr="00E23BAA">
        <w:rPr>
          <w:position w:val="-10"/>
        </w:rPr>
        <w:object w:dxaOrig="200" w:dyaOrig="300" w14:anchorId="4A43E33D">
          <v:shape id="_x0000_i1073" type="#_x0000_t75" style="width:10pt;height:15.5pt" o:ole="">
            <v:imagedata r:id="rId91" o:title=""/>
          </v:shape>
          <o:OLEObject Type="Embed" ProgID="Equation.DSMT4" ShapeID="_x0000_i1073" DrawAspect="Content" ObjectID="_1577293122" r:id="rId92"/>
        </w:object>
      </w:r>
      <w:r>
        <w:t xml:space="preserve">  is mapped to physical resource block </w:t>
      </w:r>
      <w:r w:rsidRPr="00E23BAA">
        <w:rPr>
          <w:position w:val="-10"/>
        </w:rPr>
        <w:object w:dxaOrig="200" w:dyaOrig="300" w14:anchorId="29717261">
          <v:shape id="_x0000_i1074" type="#_x0000_t75" style="width:10pt;height:15.5pt" o:ole="">
            <v:imagedata r:id="rId93" o:title=""/>
          </v:shape>
          <o:OLEObject Type="Embed" ProgID="Equation.DSMT4" ShapeID="_x0000_i1074" DrawAspect="Content" ObjectID="_1577293123" r:id="rId94"/>
        </w:object>
      </w:r>
      <w:r>
        <w:t>.</w:t>
      </w:r>
    </w:p>
    <w:p w14:paraId="50270EFA" w14:textId="77777777" w:rsidR="00D87477" w:rsidRDefault="00D87477" w:rsidP="00D87477">
      <w:r>
        <w:t>For interleaved VRB-to-PRB mapping, the mapping process is defined in terms of resource block bundles:</w:t>
      </w:r>
    </w:p>
    <w:p w14:paraId="0576628B" w14:textId="77777777" w:rsidR="00D87477" w:rsidRPr="00B45578" w:rsidRDefault="00D87477" w:rsidP="00D87477">
      <w:pPr>
        <w:pStyle w:val="B1"/>
        <w:rPr>
          <w:highlight w:val="green"/>
        </w:rPr>
      </w:pPr>
      <w:r w:rsidRPr="00B45578">
        <w:rPr>
          <w:highlight w:val="green"/>
        </w:rPr>
        <w:t>-</w:t>
      </w:r>
      <w:r w:rsidRPr="00B45578">
        <w:rPr>
          <w:highlight w:val="green"/>
        </w:rPr>
        <w:tab/>
        <w:t xml:space="preserve">A resource block bundle is defined as a group of </w:t>
      </w:r>
      <w:r w:rsidRPr="00B45578">
        <w:rPr>
          <w:position w:val="-14"/>
          <w:highlight w:val="green"/>
        </w:rPr>
        <w:object w:dxaOrig="580" w:dyaOrig="380" w14:anchorId="003DB734">
          <v:shape id="_x0000_i1075" type="#_x0000_t75" style="width:28.5pt;height:19pt" o:ole="">
            <v:imagedata r:id="rId95" o:title=""/>
          </v:shape>
          <o:OLEObject Type="Embed" ProgID="Equation.DSMT4" ShapeID="_x0000_i1075" DrawAspect="Content" ObjectID="_1577293124" r:id="rId96"/>
        </w:object>
      </w:r>
      <w:r w:rsidRPr="00B45578">
        <w:rPr>
          <w:highlight w:val="green"/>
        </w:rPr>
        <w:t xml:space="preserve"> consecutive resource blocks,</w:t>
      </w:r>
      <w:r w:rsidRPr="00B45578">
        <w:rPr>
          <w:color w:val="FF0000"/>
          <w:highlight w:val="green"/>
        </w:rPr>
        <w:t xml:space="preserve"> </w:t>
      </w:r>
      <w:r w:rsidRPr="00B45578">
        <w:rPr>
          <w:highlight w:val="green"/>
        </w:rPr>
        <w:t xml:space="preserve">where </w:t>
      </w:r>
      <w:r w:rsidRPr="00B45578">
        <w:rPr>
          <w:position w:val="-14"/>
          <w:highlight w:val="green"/>
        </w:rPr>
        <w:object w:dxaOrig="580" w:dyaOrig="380" w14:anchorId="5AA9EFB3">
          <v:shape id="_x0000_i1076" type="#_x0000_t75" style="width:28.5pt;height:19pt" o:ole="">
            <v:imagedata r:id="rId97" o:title=""/>
          </v:shape>
          <o:OLEObject Type="Embed" ProgID="Equation.DSMT4" ShapeID="_x0000_i1076" DrawAspect="Content" ObjectID="_1577293125" r:id="rId98"/>
        </w:object>
      </w:r>
      <w:r w:rsidRPr="00B45578">
        <w:rPr>
          <w:highlight w:val="green"/>
        </w:rPr>
        <w:t xml:space="preserve"> is the bundle size provided by the higher-layer parameter </w:t>
      </w:r>
      <w:r w:rsidRPr="00B45578">
        <w:rPr>
          <w:i/>
          <w:highlight w:val="green"/>
        </w:rPr>
        <w:t>VRB-to-PRB-</w:t>
      </w:r>
      <w:proofErr w:type="spellStart"/>
      <w:r w:rsidRPr="00B45578">
        <w:rPr>
          <w:i/>
          <w:highlight w:val="green"/>
        </w:rPr>
        <w:t>interleaver</w:t>
      </w:r>
      <w:proofErr w:type="spellEnd"/>
      <w:r w:rsidRPr="00B45578">
        <w:rPr>
          <w:highlight w:val="green"/>
        </w:rPr>
        <w:t xml:space="preserve">. Resource block bundles partition the carrier bandwidth part </w:t>
      </w:r>
      <w:r w:rsidRPr="00B45578">
        <w:rPr>
          <w:position w:val="-6"/>
          <w:highlight w:val="green"/>
        </w:rPr>
        <w:object w:dxaOrig="139" w:dyaOrig="260" w14:anchorId="445D8D81">
          <v:shape id="_x0000_i1077" type="#_x0000_t75" style="width:7pt;height:13pt" o:ole="">
            <v:imagedata r:id="rId66" o:title=""/>
          </v:shape>
          <o:OLEObject Type="Embed" ProgID="Equation.DSMT4" ShapeID="_x0000_i1077" DrawAspect="Content" ObjectID="_1577293126" r:id="rId99"/>
        </w:object>
      </w:r>
      <w:r w:rsidRPr="00B45578">
        <w:rPr>
          <w:highlight w:val="green"/>
        </w:rPr>
        <w:t xml:space="preserve">, and at most two bundles, which are mapped to the lowest and highest frequencies of the carrier bandwidth part respectively, can have sizes smaller than </w:t>
      </w:r>
      <w:r w:rsidRPr="00B45578">
        <w:rPr>
          <w:position w:val="-14"/>
          <w:highlight w:val="green"/>
        </w:rPr>
        <w:object w:dxaOrig="580" w:dyaOrig="380" w14:anchorId="540A702B">
          <v:shape id="_x0000_i1078" type="#_x0000_t75" style="width:28.5pt;height:19pt" o:ole="">
            <v:imagedata r:id="rId68" o:title=""/>
          </v:shape>
          <o:OLEObject Type="Embed" ProgID="Equation.DSMT4" ShapeID="_x0000_i1078" DrawAspect="Content" ObjectID="_1577293127" r:id="rId100"/>
        </w:object>
      </w:r>
      <w:r w:rsidRPr="00B45578">
        <w:rPr>
          <w:highlight w:val="green"/>
        </w:rPr>
        <w:t>.</w:t>
      </w:r>
    </w:p>
    <w:p w14:paraId="29AF1A2E" w14:textId="77777777" w:rsidR="00D87477" w:rsidRPr="00B45578" w:rsidRDefault="00D87477" w:rsidP="00D87477">
      <w:pPr>
        <w:pStyle w:val="B1"/>
        <w:ind w:firstLine="0"/>
        <w:rPr>
          <w:highlight w:val="green"/>
        </w:rPr>
      </w:pPr>
      <w:r w:rsidRPr="00B45578">
        <w:rPr>
          <w:highlight w:val="green"/>
        </w:rPr>
        <w:t>-</w:t>
      </w:r>
      <w:r w:rsidRPr="00B45578">
        <w:rPr>
          <w:highlight w:val="green"/>
        </w:rPr>
        <w:tab/>
        <w:t xml:space="preserve">There are </w:t>
      </w:r>
      <w:r w:rsidRPr="00B45578">
        <w:rPr>
          <w:position w:val="-18"/>
          <w:highlight w:val="green"/>
        </w:rPr>
        <w:object w:dxaOrig="4380" w:dyaOrig="480" w14:anchorId="2F7E0773">
          <v:shape id="_x0000_i1079" type="#_x0000_t75" style="width:219.5pt;height:24pt" o:ole="">
            <v:imagedata r:id="rId101" o:title=""/>
          </v:shape>
          <o:OLEObject Type="Embed" ProgID="Equation.DSMT4" ShapeID="_x0000_i1079" DrawAspect="Content" ObjectID="_1577293128" r:id="rId102"/>
        </w:object>
      </w:r>
      <w:r w:rsidRPr="00B45578">
        <w:rPr>
          <w:highlight w:val="green"/>
        </w:rPr>
        <w:t xml:space="preserve"> resource block bundles within carrier bandwidth part </w:t>
      </w:r>
      <w:r w:rsidRPr="00B45578">
        <w:rPr>
          <w:position w:val="-6"/>
          <w:highlight w:val="green"/>
        </w:rPr>
        <w:object w:dxaOrig="139" w:dyaOrig="260" w14:anchorId="10F09ADA">
          <v:shape id="_x0000_i1080" type="#_x0000_t75" style="width:7pt;height:13pt" o:ole="">
            <v:imagedata r:id="rId66" o:title=""/>
          </v:shape>
          <o:OLEObject Type="Embed" ProgID="Equation.DSMT4" ShapeID="_x0000_i1080" DrawAspect="Content" ObjectID="_1577293129" r:id="rId103"/>
        </w:object>
      </w:r>
      <w:r w:rsidRPr="00B45578">
        <w:rPr>
          <w:highlight w:val="green"/>
        </w:rPr>
        <w:t xml:space="preserve">. The resource block bundles are indexed from 0 to </w:t>
      </w:r>
      <w:r w:rsidRPr="00B45578">
        <w:rPr>
          <w:position w:val="-12"/>
          <w:highlight w:val="green"/>
        </w:rPr>
        <w:object w:dxaOrig="940" w:dyaOrig="360" w14:anchorId="79714906">
          <v:shape id="_x0000_i1081" type="#_x0000_t75" style="width:47pt;height:18pt" o:ole="">
            <v:imagedata r:id="rId73" o:title=""/>
          </v:shape>
          <o:OLEObject Type="Embed" ProgID="Equation.DSMT4" ShapeID="_x0000_i1081" DrawAspect="Content" ObjectID="_1577293130" r:id="rId104"/>
        </w:object>
      </w:r>
      <w:r w:rsidRPr="00B45578">
        <w:rPr>
          <w:highlight w:val="green"/>
        </w:rPr>
        <w:t>. For physical resource block bundles, the index is in the order of increasing frequency.</w:t>
      </w:r>
    </w:p>
    <w:p w14:paraId="3D8C2C94" w14:textId="77777777" w:rsidR="00D87477" w:rsidRPr="00B45578" w:rsidRDefault="00D87477" w:rsidP="00D87477">
      <w:pPr>
        <w:pStyle w:val="B1"/>
        <w:ind w:firstLine="0"/>
        <w:rPr>
          <w:highlight w:val="green"/>
        </w:rPr>
      </w:pPr>
      <w:r w:rsidRPr="00B45578">
        <w:rPr>
          <w:highlight w:val="green"/>
        </w:rPr>
        <w:t>-</w:t>
      </w:r>
      <w:r w:rsidRPr="00B45578">
        <w:rPr>
          <w:highlight w:val="green"/>
        </w:rPr>
        <w:tab/>
        <w:t xml:space="preserve">If </w:t>
      </w:r>
      <w:r w:rsidRPr="00B45578">
        <w:rPr>
          <w:position w:val="-14"/>
          <w:highlight w:val="green"/>
        </w:rPr>
        <w:object w:dxaOrig="2040" w:dyaOrig="400" w14:anchorId="0A0B755A">
          <v:shape id="_x0000_i1082" type="#_x0000_t75" style="width:102pt;height:21pt" o:ole="">
            <v:imagedata r:id="rId105" o:title=""/>
          </v:shape>
          <o:OLEObject Type="Embed" ProgID="Equation.DSMT4" ShapeID="_x0000_i1082" DrawAspect="Content" ObjectID="_1577293131" r:id="rId106"/>
        </w:object>
      </w:r>
      <w:r w:rsidRPr="00B45578">
        <w:rPr>
          <w:highlight w:val="green"/>
        </w:rPr>
        <w:t xml:space="preserve">, virtual resource block bundle 0 has </w:t>
      </w:r>
      <w:r w:rsidRPr="00B45578">
        <w:rPr>
          <w:position w:val="-14"/>
          <w:highlight w:val="green"/>
        </w:rPr>
        <w:object w:dxaOrig="2400" w:dyaOrig="400" w14:anchorId="74A1AF12">
          <v:shape id="_x0000_i1083" type="#_x0000_t75" style="width:120pt;height:21pt" o:ole="">
            <v:imagedata r:id="rId107" o:title=""/>
          </v:shape>
          <o:OLEObject Type="Embed" ProgID="Equation.DSMT4" ShapeID="_x0000_i1083" DrawAspect="Content" ObjectID="_1577293132" r:id="rId108"/>
        </w:object>
      </w:r>
      <w:r w:rsidRPr="00B45578">
        <w:rPr>
          <w:highlight w:val="green"/>
        </w:rPr>
        <w:t xml:space="preserve"> consecutive resource blocks, and is mapped to physical resource block bundle 0.</w:t>
      </w:r>
    </w:p>
    <w:p w14:paraId="459709C0" w14:textId="0AEE24E9" w:rsidR="00D87477" w:rsidRPr="00B45578" w:rsidRDefault="00D87477" w:rsidP="00D87477">
      <w:pPr>
        <w:pStyle w:val="B1"/>
        <w:ind w:firstLine="0"/>
        <w:rPr>
          <w:highlight w:val="green"/>
        </w:rPr>
      </w:pPr>
      <w:r w:rsidRPr="00B45578">
        <w:rPr>
          <w:highlight w:val="green"/>
        </w:rPr>
        <w:lastRenderedPageBreak/>
        <w:t>-</w:t>
      </w:r>
      <w:r w:rsidRPr="00B45578">
        <w:rPr>
          <w:highlight w:val="green"/>
        </w:rPr>
        <w:tab/>
        <w:t xml:space="preserve">If </w:t>
      </w:r>
      <w:r w:rsidRPr="00B45578">
        <w:rPr>
          <w:position w:val="-16"/>
          <w:highlight w:val="green"/>
        </w:rPr>
        <w:object w:dxaOrig="3019" w:dyaOrig="440" w14:anchorId="79C63A46">
          <v:shape id="_x0000_i1084" type="#_x0000_t75" style="width:151pt;height:21.5pt" o:ole="">
            <v:imagedata r:id="rId109" o:title=""/>
          </v:shape>
          <o:OLEObject Type="Embed" ProgID="Equation.DSMT4" ShapeID="_x0000_i1084" DrawAspect="Content" ObjectID="_1577293133" r:id="rId110"/>
        </w:object>
      </w:r>
      <w:r w:rsidRPr="00B45578">
        <w:rPr>
          <w:highlight w:val="green"/>
        </w:rPr>
        <w:t xml:space="preserve">, virtual resource block bundle </w:t>
      </w:r>
      <w:r w:rsidR="00C872A0" w:rsidRPr="00B45578">
        <w:rPr>
          <w:position w:val="-14"/>
          <w:highlight w:val="green"/>
        </w:rPr>
        <w:object w:dxaOrig="1620" w:dyaOrig="400" w14:anchorId="44B68FA2">
          <v:shape id="_x0000_i1085" type="#_x0000_t75" style="width:81pt;height:21pt" o:ole="">
            <v:imagedata r:id="rId111" o:title=""/>
          </v:shape>
          <o:OLEObject Type="Embed" ProgID="Equation.DSMT4" ShapeID="_x0000_i1085" DrawAspect="Content" ObjectID="_1577293134" r:id="rId112"/>
        </w:object>
      </w:r>
      <w:r w:rsidRPr="00B45578">
        <w:rPr>
          <w:highlight w:val="green"/>
        </w:rPr>
        <w:t xml:space="preserve"> has </w:t>
      </w:r>
      <w:r w:rsidRPr="00B45578">
        <w:rPr>
          <w:position w:val="-16"/>
          <w:highlight w:val="green"/>
        </w:rPr>
        <w:object w:dxaOrig="2640" w:dyaOrig="440" w14:anchorId="2AB10B9A">
          <v:shape id="_x0000_i1086" type="#_x0000_t75" style="width:132pt;height:21.5pt" o:ole="">
            <v:imagedata r:id="rId113" o:title=""/>
          </v:shape>
          <o:OLEObject Type="Embed" ProgID="Equation.DSMT4" ShapeID="_x0000_i1086" DrawAspect="Content" ObjectID="_1577293135" r:id="rId114"/>
        </w:object>
      </w:r>
      <w:r w:rsidRPr="00B45578">
        <w:rPr>
          <w:highlight w:val="green"/>
        </w:rPr>
        <w:t xml:space="preserve"> consecutive resource blocks, </w:t>
      </w:r>
      <w:r w:rsidR="00364261">
        <w:rPr>
          <w:highlight w:val="green"/>
        </w:rPr>
        <w:t xml:space="preserve">where </w:t>
      </w:r>
      <w:r w:rsidR="00364261" w:rsidRPr="00364261">
        <w:rPr>
          <w:position w:val="-4"/>
          <w:highlight w:val="green"/>
        </w:rPr>
        <w:object w:dxaOrig="600" w:dyaOrig="260" w14:anchorId="640E071A">
          <v:shape id="_x0000_i1087" type="#_x0000_t75" style="width:30pt;height:13pt" o:ole="">
            <v:imagedata r:id="rId115" o:title=""/>
          </v:shape>
          <o:OLEObject Type="Embed" ProgID="Equation.DSMT4" ShapeID="_x0000_i1087" DrawAspect="Content" ObjectID="_1577293136" r:id="rId116"/>
        </w:object>
      </w:r>
      <w:r w:rsidR="00364261">
        <w:rPr>
          <w:highlight w:val="green"/>
        </w:rPr>
        <w:t xml:space="preserve">, </w:t>
      </w:r>
      <w:r w:rsidRPr="00B45578">
        <w:rPr>
          <w:highlight w:val="green"/>
        </w:rPr>
        <w:t xml:space="preserve">and is mapped to physical resource block bundle </w:t>
      </w:r>
      <w:r w:rsidRPr="00B45578">
        <w:rPr>
          <w:position w:val="-12"/>
          <w:highlight w:val="green"/>
        </w:rPr>
        <w:object w:dxaOrig="940" w:dyaOrig="360" w14:anchorId="6516CCF0">
          <v:shape id="_x0000_i1088" type="#_x0000_t75" style="width:47pt;height:18pt" o:ole="">
            <v:imagedata r:id="rId83" o:title=""/>
          </v:shape>
          <o:OLEObject Type="Embed" ProgID="Equation.DSMT4" ShapeID="_x0000_i1088" DrawAspect="Content" ObjectID="_1577293137" r:id="rId117"/>
        </w:object>
      </w:r>
      <w:r w:rsidRPr="00B45578">
        <w:rPr>
          <w:highlight w:val="green"/>
        </w:rPr>
        <w:t>.</w:t>
      </w:r>
    </w:p>
    <w:p w14:paraId="4E5DD860" w14:textId="77777777" w:rsidR="00D87477" w:rsidRPr="00B45578" w:rsidRDefault="00D87477" w:rsidP="00D87477">
      <w:pPr>
        <w:pStyle w:val="B1"/>
        <w:rPr>
          <w:highlight w:val="green"/>
        </w:rPr>
      </w:pPr>
      <w:r w:rsidRPr="00B45578">
        <w:rPr>
          <w:highlight w:val="green"/>
        </w:rPr>
        <w:t>-</w:t>
      </w:r>
      <w:r w:rsidRPr="00B45578">
        <w:rPr>
          <w:highlight w:val="green"/>
        </w:rPr>
        <w:tab/>
        <w:t xml:space="preserve">Virtual resource block bundle </w:t>
      </w:r>
      <w:r w:rsidRPr="00B45578">
        <w:rPr>
          <w:position w:val="-12"/>
          <w:highlight w:val="green"/>
        </w:rPr>
        <w:object w:dxaOrig="1820" w:dyaOrig="360" w14:anchorId="36C103A8">
          <v:shape id="_x0000_i1089" type="#_x0000_t75" style="width:93pt;height:18pt" o:ole="">
            <v:imagedata r:id="rId85" o:title=""/>
          </v:shape>
          <o:OLEObject Type="Embed" ProgID="Equation.DSMT4" ShapeID="_x0000_i1089" DrawAspect="Content" ObjectID="_1577293138" r:id="rId118"/>
        </w:object>
      </w:r>
      <w:r w:rsidRPr="00B45578">
        <w:rPr>
          <w:highlight w:val="green"/>
        </w:rPr>
        <w:t xml:space="preserve"> is mapped to physical resource block bundle </w:t>
      </w:r>
      <w:r w:rsidRPr="00B45578">
        <w:rPr>
          <w:position w:val="-14"/>
          <w:highlight w:val="green"/>
        </w:rPr>
        <w:object w:dxaOrig="580" w:dyaOrig="400" w14:anchorId="25B61029">
          <v:shape id="_x0000_i1090" type="#_x0000_t75" style="width:29.5pt;height:19.5pt" o:ole="">
            <v:imagedata r:id="rId119" o:title=""/>
          </v:shape>
          <o:OLEObject Type="Embed" ProgID="Equation.DSMT4" ShapeID="_x0000_i1090" DrawAspect="Content" ObjectID="_1577293139" r:id="rId120"/>
        </w:object>
      </w:r>
      <w:r w:rsidRPr="00B45578">
        <w:rPr>
          <w:highlight w:val="green"/>
        </w:rPr>
        <w:t xml:space="preserve"> where</w:t>
      </w:r>
    </w:p>
    <w:p w14:paraId="0142BB9D" w14:textId="6C425F29" w:rsidR="00D87477" w:rsidRDefault="00A60E30" w:rsidP="00D87477">
      <w:pPr>
        <w:pStyle w:val="B1"/>
        <w:jc w:val="center"/>
        <w:rPr>
          <w:highlight w:val="yellow"/>
        </w:rPr>
      </w:pPr>
      <w:r w:rsidRPr="00B45578">
        <w:rPr>
          <w:position w:val="-110"/>
          <w:highlight w:val="green"/>
        </w:rPr>
        <w:object w:dxaOrig="5220" w:dyaOrig="2320" w14:anchorId="5496BD59">
          <v:shape id="_x0000_i1091" type="#_x0000_t75" style="width:260.5pt;height:119.5pt" o:ole="">
            <v:imagedata r:id="rId121" o:title=""/>
          </v:shape>
          <o:OLEObject Type="Embed" ProgID="Equation.DSMT4" ShapeID="_x0000_i1091" DrawAspect="Content" ObjectID="_1577293140" r:id="rId122"/>
        </w:object>
      </w:r>
    </w:p>
    <w:p w14:paraId="78241640" w14:textId="77777777" w:rsidR="00D87477" w:rsidRDefault="00D87477" w:rsidP="00D87477">
      <w:r>
        <w:t xml:space="preserve">The UE may assume that the same precoding in the frequency domain is used across a bundle of common resource blocks numbered </w:t>
      </w:r>
      <w:r w:rsidRPr="000D198E">
        <w:rPr>
          <w:position w:val="-8"/>
        </w:rPr>
        <w:object w:dxaOrig="1480" w:dyaOrig="260" w14:anchorId="35EAF1F9">
          <v:shape id="_x0000_i1092" type="#_x0000_t75" style="width:74pt;height:13pt" o:ole="">
            <v:imagedata r:id="rId123" o:title=""/>
          </v:shape>
          <o:OLEObject Type="Embed" ProgID="Equation.3" ShapeID="_x0000_i1092" DrawAspect="Content" ObjectID="_1577293141" r:id="rId124"/>
        </w:object>
      </w:r>
      <w:r>
        <w:t xml:space="preserve"> where </w:t>
      </w:r>
      <w:r w:rsidRPr="002A4296">
        <w:rPr>
          <w:position w:val="-8"/>
        </w:rPr>
        <w:object w:dxaOrig="1420" w:dyaOrig="260" w14:anchorId="1151B3DA">
          <v:shape id="_x0000_i1093" type="#_x0000_t75" style="width:71.5pt;height:13pt" o:ole="">
            <v:imagedata r:id="rId125" o:title=""/>
          </v:shape>
          <o:OLEObject Type="Embed" ProgID="Equation.3" ShapeID="_x0000_i1093" DrawAspect="Content" ObjectID="_1577293142" r:id="rId126"/>
        </w:object>
      </w:r>
      <w:r>
        <w:t xml:space="preserve"> and the bundle size </w:t>
      </w:r>
      <w:r w:rsidRPr="00C12953">
        <w:rPr>
          <w:position w:val="-6"/>
        </w:rPr>
        <w:object w:dxaOrig="220" w:dyaOrig="200" w14:anchorId="066D763C">
          <v:shape id="_x0000_i1094" type="#_x0000_t75" style="width:10.5pt;height:10pt" o:ole="">
            <v:imagedata r:id="rId127" o:title=""/>
          </v:shape>
          <o:OLEObject Type="Embed" ProgID="Equation.3" ShapeID="_x0000_i1094" DrawAspect="Content" ObjectID="_1577293143" r:id="rId128"/>
        </w:object>
      </w:r>
      <w:r>
        <w:t xml:space="preserve"> is given by the higher-layer parameter </w:t>
      </w:r>
      <w:r w:rsidRPr="00F03A00">
        <w:rPr>
          <w:i/>
        </w:rPr>
        <w:t>PDSCH-bundle-size</w:t>
      </w:r>
      <w:r>
        <w:t xml:space="preserve"> if configured, otherwise by the DCI scheduling the transmission.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0AA0A3F5" w14:textId="77777777" w:rsidR="008A0964" w:rsidRPr="008A0964" w:rsidRDefault="008A0964" w:rsidP="008A0964">
      <w:pPr>
        <w:rPr>
          <w:lang w:val="en-GB"/>
        </w:rPr>
      </w:pPr>
    </w:p>
    <w:sectPr w:rsidR="008A0964" w:rsidRPr="008A0964" w:rsidSect="00013353">
      <w:headerReference w:type="even" r:id="rId129"/>
      <w:footerReference w:type="even" r:id="rId130"/>
      <w:footerReference w:type="default" r:id="rId1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04E35" w14:textId="77777777" w:rsidR="00011AB5" w:rsidRDefault="00011AB5">
      <w:r>
        <w:separator/>
      </w:r>
    </w:p>
  </w:endnote>
  <w:endnote w:type="continuationSeparator" w:id="0">
    <w:p w14:paraId="3A158ED2" w14:textId="77777777" w:rsidR="00011AB5" w:rsidRDefault="00011AB5">
      <w:r>
        <w:continuationSeparator/>
      </w:r>
    </w:p>
  </w:endnote>
  <w:endnote w:type="continuationNotice" w:id="1">
    <w:p w14:paraId="02AD2799" w14:textId="77777777" w:rsidR="00011AB5" w:rsidRDefault="00011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304C6B" w:rsidRDefault="00304C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04C6B" w:rsidRDefault="00304C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28AC3CC9" w:rsidR="00304C6B" w:rsidRDefault="00304C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7725">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7725">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AFC30" w14:textId="77777777" w:rsidR="00011AB5" w:rsidRDefault="00011AB5">
      <w:r>
        <w:separator/>
      </w:r>
    </w:p>
  </w:footnote>
  <w:footnote w:type="continuationSeparator" w:id="0">
    <w:p w14:paraId="07846A64" w14:textId="77777777" w:rsidR="00011AB5" w:rsidRDefault="00011AB5">
      <w:r>
        <w:continuationSeparator/>
      </w:r>
    </w:p>
  </w:footnote>
  <w:footnote w:type="continuationNotice" w:id="1">
    <w:p w14:paraId="4F146184" w14:textId="77777777" w:rsidR="00011AB5" w:rsidRDefault="00011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304C6B" w:rsidRDefault="00304C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3"/>
  </w:num>
  <w:num w:numId="6">
    <w:abstractNumId w:val="12"/>
  </w:num>
  <w:num w:numId="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11"/>
  </w:num>
  <w:num w:numId="11">
    <w:abstractNumId w:val="16"/>
  </w:num>
  <w:num w:numId="12">
    <w:abstractNumId w:val="1"/>
  </w:num>
  <w:num w:numId="13">
    <w:abstractNumId w:val="9"/>
  </w:num>
  <w:num w:numId="14">
    <w:abstractNumId w:val="17"/>
  </w:num>
  <w:num w:numId="15">
    <w:abstractNumId w:val="15"/>
  </w:num>
  <w:num w:numId="16">
    <w:abstractNumId w:val="10"/>
  </w:num>
  <w:num w:numId="17">
    <w:abstractNumId w:val="10"/>
  </w:num>
  <w:num w:numId="18">
    <w:abstractNumId w:val="13"/>
  </w:num>
  <w:num w:numId="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AB5"/>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725"/>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B2"/>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AE4"/>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26C"/>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4.bin"/><Relationship Id="rId84" Type="http://schemas.openxmlformats.org/officeDocument/2006/relationships/oleObject" Target="embeddings/oleObject45.bin"/><Relationship Id="rId16" Type="http://schemas.openxmlformats.org/officeDocument/2006/relationships/image" Target="media/image3.wmf"/><Relationship Id="rId107" Type="http://schemas.openxmlformats.org/officeDocument/2006/relationships/image" Target="media/image38.wmf"/><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8.bin"/><Relationship Id="rId58" Type="http://schemas.openxmlformats.org/officeDocument/2006/relationships/image" Target="media/image16.wmf"/><Relationship Id="rId74" Type="http://schemas.openxmlformats.org/officeDocument/2006/relationships/oleObject" Target="embeddings/oleObject40.bin"/><Relationship Id="rId79" Type="http://schemas.openxmlformats.org/officeDocument/2006/relationships/image" Target="media/image26.wmf"/><Relationship Id="rId102" Type="http://schemas.openxmlformats.org/officeDocument/2006/relationships/oleObject" Target="embeddings/oleObject55.bin"/><Relationship Id="rId123" Type="http://schemas.openxmlformats.org/officeDocument/2006/relationships/image" Target="media/image45.wmf"/><Relationship Id="rId128"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oleObject" Target="embeddings/oleObject48.bin"/><Relationship Id="rId95" Type="http://schemas.openxmlformats.org/officeDocument/2006/relationships/image" Target="media/image34.wmf"/><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3.wmf"/><Relationship Id="rId48" Type="http://schemas.openxmlformats.org/officeDocument/2006/relationships/oleObject" Target="embeddings/oleObject23.bin"/><Relationship Id="rId64" Type="http://schemas.openxmlformats.org/officeDocument/2006/relationships/image" Target="media/image19.wmf"/><Relationship Id="rId69" Type="http://schemas.openxmlformats.org/officeDocument/2006/relationships/oleObject" Target="embeddings/oleObject37.bin"/><Relationship Id="rId113" Type="http://schemas.openxmlformats.org/officeDocument/2006/relationships/image" Target="media/image41.wmf"/><Relationship Id="rId118" Type="http://schemas.openxmlformats.org/officeDocument/2006/relationships/oleObject" Target="embeddings/oleObject65.bin"/><Relationship Id="rId80" Type="http://schemas.openxmlformats.org/officeDocument/2006/relationships/oleObject" Target="embeddings/oleObject43.bin"/><Relationship Id="rId85" Type="http://schemas.openxmlformats.org/officeDocument/2006/relationships/image" Target="media/image29.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emf"/><Relationship Id="rId38" Type="http://schemas.openxmlformats.org/officeDocument/2006/relationships/oleObject" Target="embeddings/oleObject15.bin"/><Relationship Id="rId59" Type="http://schemas.openxmlformats.org/officeDocument/2006/relationships/oleObject" Target="embeddings/oleObject32.bin"/><Relationship Id="rId103" Type="http://schemas.openxmlformats.org/officeDocument/2006/relationships/oleObject" Target="embeddings/oleObject56.bin"/><Relationship Id="rId108" Type="http://schemas.openxmlformats.org/officeDocument/2006/relationships/oleObject" Target="embeddings/oleObject59.bin"/><Relationship Id="rId124" Type="http://schemas.openxmlformats.org/officeDocument/2006/relationships/oleObject" Target="embeddings/oleObject68.bin"/><Relationship Id="rId129" Type="http://schemas.openxmlformats.org/officeDocument/2006/relationships/header" Target="header1.xml"/><Relationship Id="rId54" Type="http://schemas.openxmlformats.org/officeDocument/2006/relationships/oleObject" Target="embeddings/oleObject29.bin"/><Relationship Id="rId70" Type="http://schemas.openxmlformats.org/officeDocument/2006/relationships/image" Target="media/image22.wmf"/><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4.bin"/><Relationship Id="rId114" Type="http://schemas.openxmlformats.org/officeDocument/2006/relationships/oleObject" Target="embeddings/oleObject62.bin"/><Relationship Id="rId119" Type="http://schemas.openxmlformats.org/officeDocument/2006/relationships/image" Target="media/image43.wmf"/><Relationship Id="rId44" Type="http://schemas.openxmlformats.org/officeDocument/2006/relationships/oleObject" Target="embeddings/oleObject20.bin"/><Relationship Id="rId60" Type="http://schemas.openxmlformats.org/officeDocument/2006/relationships/image" Target="media/image17.wmf"/><Relationship Id="rId65" Type="http://schemas.openxmlformats.org/officeDocument/2006/relationships/oleObject" Target="embeddings/oleObject35.bin"/><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39.wmf"/><Relationship Id="rId34" Type="http://schemas.openxmlformats.org/officeDocument/2006/relationships/oleObject" Target="embeddings/oleObject12.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1.bin"/><Relationship Id="rId97" Type="http://schemas.openxmlformats.org/officeDocument/2006/relationships/image" Target="media/image35.wmf"/><Relationship Id="rId104" Type="http://schemas.openxmlformats.org/officeDocument/2006/relationships/oleObject" Target="embeddings/oleObject57.bin"/><Relationship Id="rId120" Type="http://schemas.openxmlformats.org/officeDocument/2006/relationships/oleObject" Target="embeddings/oleObject66.bin"/><Relationship Id="rId125" Type="http://schemas.openxmlformats.org/officeDocument/2006/relationships/image" Target="media/image46.wmf"/><Relationship Id="rId7" Type="http://schemas.openxmlformats.org/officeDocument/2006/relationships/styles" Target="styles.xml"/><Relationship Id="rId71" Type="http://schemas.openxmlformats.org/officeDocument/2006/relationships/oleObject" Target="embeddings/oleObject38.bin"/><Relationship Id="rId92" Type="http://schemas.openxmlformats.org/officeDocument/2006/relationships/oleObject" Target="embeddings/oleObject49.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4.emf"/><Relationship Id="rId66" Type="http://schemas.openxmlformats.org/officeDocument/2006/relationships/image" Target="media/image20.wmf"/><Relationship Id="rId87" Type="http://schemas.openxmlformats.org/officeDocument/2006/relationships/image" Target="media/image30.wmf"/><Relationship Id="rId110" Type="http://schemas.openxmlformats.org/officeDocument/2006/relationships/oleObject" Target="embeddings/oleObject60.bin"/><Relationship Id="rId115" Type="http://schemas.openxmlformats.org/officeDocument/2006/relationships/image" Target="media/image42.wmf"/><Relationship Id="rId131" Type="http://schemas.openxmlformats.org/officeDocument/2006/relationships/footer" Target="footer2.xml"/><Relationship Id="rId61" Type="http://schemas.openxmlformats.org/officeDocument/2006/relationships/oleObject" Target="embeddings/oleObject33.bin"/><Relationship Id="rId82" Type="http://schemas.openxmlformats.org/officeDocument/2006/relationships/oleObject" Target="embeddings/oleObject44.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image" Target="media/image15.emf"/><Relationship Id="rId77" Type="http://schemas.openxmlformats.org/officeDocument/2006/relationships/image" Target="media/image25.wmf"/><Relationship Id="rId100" Type="http://schemas.openxmlformats.org/officeDocument/2006/relationships/oleObject" Target="embeddings/oleObject54.bin"/><Relationship Id="rId105" Type="http://schemas.openxmlformats.org/officeDocument/2006/relationships/image" Target="media/image37.wmf"/><Relationship Id="rId126" Type="http://schemas.openxmlformats.org/officeDocument/2006/relationships/oleObject" Target="embeddings/oleObject69.bin"/><Relationship Id="rId8" Type="http://schemas.openxmlformats.org/officeDocument/2006/relationships/settings" Target="settings.xml"/><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image" Target="media/image33.wmf"/><Relationship Id="rId98" Type="http://schemas.openxmlformats.org/officeDocument/2006/relationships/oleObject" Target="embeddings/oleObject52.bin"/><Relationship Id="rId121" Type="http://schemas.openxmlformats.org/officeDocument/2006/relationships/image" Target="media/image44.wmf"/><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63.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image" Target="media/image18.wmf"/><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image" Target="media/image40.wmf"/><Relationship Id="rId132"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31.bin"/><Relationship Id="rId106" Type="http://schemas.openxmlformats.org/officeDocument/2006/relationships/oleObject" Target="embeddings/oleObject58.bin"/><Relationship Id="rId127" Type="http://schemas.openxmlformats.org/officeDocument/2006/relationships/image" Target="media/image47.wmf"/><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image" Target="media/image23.wmf"/><Relationship Id="rId78"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image" Target="media/image36.wmf"/><Relationship Id="rId122" Type="http://schemas.openxmlformats.org/officeDocument/2006/relationships/oleObject" Target="embeddings/oleObject67.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8.bin"/><Relationship Id="rId47" Type="http://schemas.openxmlformats.org/officeDocument/2006/relationships/oleObject" Target="embeddings/oleObject22.bin"/><Relationship Id="rId68" Type="http://schemas.openxmlformats.org/officeDocument/2006/relationships/image" Target="media/image21.wmf"/><Relationship Id="rId89" Type="http://schemas.openxmlformats.org/officeDocument/2006/relationships/image" Target="media/image31.wmf"/><Relationship Id="rId112" Type="http://schemas.openxmlformats.org/officeDocument/2006/relationships/oleObject" Target="embeddings/oleObject61.bin"/><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HR33RHYHUWRF-4-6319</_dlc_DocId>
    <_dlc_DocIdUrl xmlns="c06861ca-3f08-4d07-bff7-bb15bac121f4">
      <Url>https://projects.qualcomm.com/sites/pentari/_layouts/15/DocIdRedir.aspx?ID=HR33RHYHUWRF-4-6319</Url>
      <Description>HR33RHYHUWRF-4-6319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9F154604-C0AC-4315-971F-661AA82B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3090</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61</cp:revision>
  <cp:lastPrinted>2017-03-25T00:57:00Z</cp:lastPrinted>
  <dcterms:created xsi:type="dcterms:W3CDTF">2018-01-11T21:55:00Z</dcterms:created>
  <dcterms:modified xsi:type="dcterms:W3CDTF">2018-01-13T04:08:00Z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3502e78b-9d88-47e0-a08a-db83c7d3a38f</vt:lpwstr>
  </property>
  <property fmtid="{D5CDD505-2E9C-101B-9397-08002B2CF9AE}" pid="4" name="ContentTypeId">
    <vt:lpwstr>0x010100BC29BFD66497B943AA3B102F0C7B1355</vt:lpwstr>
  </property>
</Properties>
</file>