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FC347" w14:textId="3A5E8A5A" w:rsidR="0051221F" w:rsidRPr="00E106C5" w:rsidRDefault="0051221F" w:rsidP="05FE66B3">
      <w:pPr>
        <w:tabs>
          <w:tab w:val="center" w:pos="4536"/>
          <w:tab w:val="right" w:pos="9356"/>
          <w:tab w:val="right" w:pos="9639"/>
        </w:tabs>
        <w:spacing w:after="0"/>
        <w:rPr>
          <w:rFonts w:ascii="Arial" w:hAnsi="Arial" w:cs="Arial"/>
          <w:b/>
          <w:bCs/>
          <w:sz w:val="24"/>
          <w:szCs w:val="24"/>
        </w:rPr>
      </w:pPr>
      <w:r w:rsidRPr="05FE66B3">
        <w:rPr>
          <w:rFonts w:ascii="Arial" w:hAnsi="Arial" w:cs="Arial"/>
          <w:b/>
          <w:bCs/>
          <w:sz w:val="24"/>
          <w:szCs w:val="24"/>
        </w:rPr>
        <w:t xml:space="preserve">3GPP TSG RAN WG1 </w:t>
      </w:r>
      <w:r w:rsidR="00CA4779" w:rsidRPr="05FE66B3">
        <w:rPr>
          <w:rFonts w:ascii="Arial" w:hAnsi="Arial" w:cs="Arial"/>
          <w:b/>
          <w:bCs/>
          <w:sz w:val="24"/>
          <w:szCs w:val="24"/>
        </w:rPr>
        <w:t xml:space="preserve">Ad Hoc </w:t>
      </w:r>
      <w:r w:rsidR="00E215CE" w:rsidRPr="05FE66B3">
        <w:rPr>
          <w:rFonts w:ascii="Arial" w:hAnsi="Arial" w:cs="Arial"/>
          <w:b/>
          <w:bCs/>
          <w:sz w:val="24"/>
          <w:szCs w:val="24"/>
        </w:rPr>
        <w:t>1801</w:t>
      </w:r>
      <w:r w:rsidRPr="00E106C5">
        <w:rPr>
          <w:rFonts w:ascii="Arial" w:eastAsia="MS Mincho" w:hAnsi="Arial" w:cs="Arial"/>
          <w:b/>
          <w:bCs/>
          <w:sz w:val="24"/>
          <w:lang w:eastAsia="ja-JP"/>
        </w:rPr>
        <w:tab/>
      </w:r>
      <w:r w:rsidRPr="05FE66B3">
        <w:rPr>
          <w:rFonts w:ascii="Arial" w:hAnsi="Arial" w:cs="Arial"/>
          <w:b/>
          <w:bCs/>
          <w:sz w:val="24"/>
          <w:szCs w:val="24"/>
        </w:rPr>
        <w:t xml:space="preserve">           </w:t>
      </w:r>
      <w:r>
        <w:rPr>
          <w:rFonts w:ascii="Arial" w:hAnsi="Arial" w:cs="Arial"/>
          <w:b/>
          <w:bCs/>
          <w:sz w:val="24"/>
        </w:rPr>
        <w:tab/>
      </w:r>
      <w:r w:rsidR="00084886" w:rsidRPr="00084886">
        <w:rPr>
          <w:rFonts w:ascii="Arial" w:hAnsi="Arial" w:cs="Arial"/>
          <w:b/>
          <w:bCs/>
          <w:sz w:val="24"/>
          <w:szCs w:val="24"/>
        </w:rPr>
        <w:t>R1-1800550</w:t>
      </w:r>
    </w:p>
    <w:p w14:paraId="73932A85" w14:textId="0B5A3EC0" w:rsidR="0051221F" w:rsidRDefault="05FE66B3" w:rsidP="05FE66B3">
      <w:pPr>
        <w:pStyle w:val="Header"/>
        <w:rPr>
          <w:rFonts w:eastAsia="MS Mincho" w:cs="Arial"/>
          <w:noProof w:val="0"/>
          <w:sz w:val="24"/>
          <w:szCs w:val="24"/>
          <w:lang w:val="en-GB" w:eastAsia="ja-JP"/>
        </w:rPr>
      </w:pPr>
      <w:r w:rsidRPr="05FE66B3">
        <w:rPr>
          <w:rFonts w:eastAsia="MS Mincho" w:cs="Arial"/>
          <w:noProof w:val="0"/>
          <w:sz w:val="24"/>
          <w:szCs w:val="24"/>
          <w:lang w:val="en-GB" w:eastAsia="ja-JP"/>
        </w:rPr>
        <w:t>Vancouver, Canada, January 22</w:t>
      </w:r>
      <w:r w:rsidRPr="05FE66B3">
        <w:rPr>
          <w:rFonts w:eastAsia="MS Mincho" w:cs="Arial"/>
          <w:noProof w:val="0"/>
          <w:sz w:val="24"/>
          <w:szCs w:val="24"/>
          <w:vertAlign w:val="superscript"/>
          <w:lang w:val="en-GB" w:eastAsia="ja-JP"/>
        </w:rPr>
        <w:t>nd</w:t>
      </w:r>
      <w:r w:rsidRPr="05FE66B3">
        <w:rPr>
          <w:rFonts w:eastAsia="MS Mincho" w:cs="Arial"/>
          <w:noProof w:val="0"/>
          <w:sz w:val="24"/>
          <w:szCs w:val="24"/>
          <w:lang w:val="en-GB" w:eastAsia="ja-JP"/>
        </w:rPr>
        <w:t xml:space="preserve"> - 26</w:t>
      </w:r>
      <w:r w:rsidRPr="05FE66B3">
        <w:rPr>
          <w:rFonts w:eastAsia="MS Mincho" w:cs="Arial"/>
          <w:noProof w:val="0"/>
          <w:sz w:val="24"/>
          <w:szCs w:val="24"/>
          <w:vertAlign w:val="superscript"/>
          <w:lang w:val="en-GB" w:eastAsia="ja-JP"/>
        </w:rPr>
        <w:t>th</w:t>
      </w:r>
      <w:r w:rsidRPr="05FE66B3">
        <w:rPr>
          <w:rFonts w:eastAsia="MS Mincho" w:cs="Arial"/>
          <w:noProof w:val="0"/>
          <w:sz w:val="24"/>
          <w:szCs w:val="24"/>
          <w:lang w:val="en-GB" w:eastAsia="ja-JP"/>
        </w:rPr>
        <w:t>, 2018</w:t>
      </w:r>
    </w:p>
    <w:p w14:paraId="56A8114B" w14:textId="77777777" w:rsidR="00CA26CE" w:rsidRPr="0016316A" w:rsidRDefault="00CA26CE" w:rsidP="00CA26CE">
      <w:pPr>
        <w:pStyle w:val="Header"/>
        <w:rPr>
          <w:bCs/>
          <w:noProof w:val="0"/>
          <w:sz w:val="24"/>
          <w:lang w:val="en-GB" w:eastAsia="ja-JP"/>
        </w:rPr>
      </w:pPr>
    </w:p>
    <w:p w14:paraId="08AC4AD5" w14:textId="68974477" w:rsidR="0034111C" w:rsidRPr="001E5981" w:rsidRDefault="0034111C" w:rsidP="05FE66B3">
      <w:pPr>
        <w:pStyle w:val="CRCoverPage"/>
        <w:rPr>
          <w:rFonts w:cs="Arial"/>
          <w:b/>
          <w:bCs/>
          <w:sz w:val="24"/>
          <w:szCs w:val="24"/>
          <w:lang w:val="en-US" w:eastAsia="ja-JP"/>
        </w:rPr>
      </w:pPr>
      <w:r w:rsidRPr="05FE66B3">
        <w:rPr>
          <w:rFonts w:cs="Arial"/>
          <w:b/>
          <w:bCs/>
          <w:sz w:val="24"/>
          <w:szCs w:val="24"/>
        </w:rPr>
        <w:t>Agenda item:</w:t>
      </w:r>
      <w:r w:rsidRPr="00195EC5">
        <w:rPr>
          <w:rFonts w:cs="Arial"/>
          <w:b/>
          <w:bCs/>
          <w:sz w:val="24"/>
        </w:rPr>
        <w:tab/>
      </w:r>
      <w:r w:rsidRPr="00195EC5">
        <w:rPr>
          <w:rFonts w:cs="Arial"/>
          <w:b/>
          <w:bCs/>
          <w:sz w:val="24"/>
        </w:rPr>
        <w:tab/>
      </w:r>
      <w:r w:rsidR="00E215CE" w:rsidRPr="05FE66B3">
        <w:rPr>
          <w:rFonts w:cs="Arial"/>
          <w:b/>
          <w:bCs/>
          <w:sz w:val="24"/>
          <w:szCs w:val="24"/>
        </w:rPr>
        <w:t>7.3.1.2</w:t>
      </w:r>
    </w:p>
    <w:p w14:paraId="54BF8606" w14:textId="6C255ADC" w:rsidR="00E128F2" w:rsidRPr="001E5981" w:rsidRDefault="0034111C" w:rsidP="05FE66B3">
      <w:pPr>
        <w:tabs>
          <w:tab w:val="left" w:pos="1985"/>
        </w:tabs>
        <w:spacing w:after="120"/>
        <w:ind w:left="1985" w:hanging="1985"/>
        <w:rPr>
          <w:rFonts w:ascii="Arial" w:hAnsi="Arial" w:cs="Arial"/>
          <w:b/>
          <w:bCs/>
          <w:sz w:val="24"/>
          <w:szCs w:val="24"/>
          <w:lang w:val="en-US"/>
        </w:rPr>
      </w:pPr>
      <w:r w:rsidRPr="05FE66B3">
        <w:rPr>
          <w:rFonts w:ascii="Arial" w:hAnsi="Arial" w:cs="Arial"/>
          <w:b/>
          <w:bCs/>
          <w:sz w:val="24"/>
          <w:szCs w:val="24"/>
        </w:rPr>
        <w:t>Source:</w:t>
      </w:r>
      <w:r w:rsidRPr="0016316A">
        <w:rPr>
          <w:rFonts w:ascii="Arial" w:hAnsi="Arial" w:cs="Arial"/>
          <w:b/>
          <w:bCs/>
          <w:sz w:val="24"/>
        </w:rPr>
        <w:tab/>
      </w:r>
      <w:r w:rsidR="00013455" w:rsidRPr="05FE66B3">
        <w:rPr>
          <w:rFonts w:ascii="Arial" w:hAnsi="Arial" w:cs="Arial"/>
          <w:b/>
          <w:bCs/>
          <w:sz w:val="24"/>
          <w:szCs w:val="24"/>
        </w:rPr>
        <w:t xml:space="preserve">Nokia, </w:t>
      </w:r>
      <w:r w:rsidR="00B22CD3" w:rsidRPr="05FE66B3">
        <w:rPr>
          <w:rFonts w:ascii="Arial" w:hAnsi="Arial" w:cs="Arial"/>
          <w:b/>
          <w:bCs/>
          <w:sz w:val="24"/>
          <w:szCs w:val="24"/>
        </w:rPr>
        <w:t xml:space="preserve">Nokia </w:t>
      </w:r>
      <w:r w:rsidR="00013455" w:rsidRPr="05FE66B3">
        <w:rPr>
          <w:rFonts w:ascii="Arial" w:hAnsi="Arial" w:cs="Arial"/>
          <w:b/>
          <w:bCs/>
          <w:sz w:val="24"/>
          <w:szCs w:val="24"/>
        </w:rPr>
        <w:t>Shanghai Bell</w:t>
      </w:r>
    </w:p>
    <w:p w14:paraId="52857A4E" w14:textId="6901956C" w:rsidR="0034111C" w:rsidRPr="0016316A" w:rsidRDefault="0034111C" w:rsidP="05FE66B3">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F26C83" w:rsidRPr="05FE66B3">
        <w:rPr>
          <w:rFonts w:ascii="Arial" w:hAnsi="Arial" w:cs="Arial"/>
          <w:b/>
          <w:bCs/>
          <w:sz w:val="24"/>
          <w:szCs w:val="24"/>
        </w:rPr>
        <w:t>On reducing the PDCCH channel estimation and BD complexity in NR</w:t>
      </w:r>
    </w:p>
    <w:p w14:paraId="65B1F247" w14:textId="78A3BD90" w:rsidR="0034111C" w:rsidRPr="0016316A" w:rsidRDefault="0034111C" w:rsidP="05FE66B3">
      <w:pPr>
        <w:rPr>
          <w:rFonts w:ascii="Arial" w:hAnsi="Arial" w:cs="Arial"/>
          <w:b/>
          <w:bCs/>
          <w:sz w:val="24"/>
          <w:szCs w:val="24"/>
        </w:rPr>
      </w:pPr>
      <w:r w:rsidRPr="05FE66B3">
        <w:rPr>
          <w:rFonts w:ascii="Arial" w:hAnsi="Arial" w:cs="Arial"/>
          <w:b/>
          <w:bCs/>
          <w:sz w:val="24"/>
          <w:szCs w:val="24"/>
        </w:rPr>
        <w:t>Document</w:t>
      </w:r>
      <w:r w:rsidR="00084886">
        <w:rPr>
          <w:rFonts w:ascii="Arial" w:hAnsi="Arial" w:cs="Arial"/>
          <w:b/>
          <w:bCs/>
          <w:sz w:val="24"/>
          <w:szCs w:val="24"/>
        </w:rPr>
        <w:t xml:space="preserve"> for:</w:t>
      </w:r>
      <w:r w:rsidRPr="05FE66B3">
        <w:rPr>
          <w:rFonts w:ascii="Arial" w:hAnsi="Arial" w:cs="Arial"/>
          <w:b/>
          <w:bCs/>
          <w:sz w:val="24"/>
          <w:szCs w:val="24"/>
        </w:rPr>
        <w:t xml:space="preserve"> </w:t>
      </w:r>
      <w:r w:rsidR="00084886">
        <w:rPr>
          <w:rFonts w:ascii="Arial" w:hAnsi="Arial" w:cs="Arial"/>
          <w:b/>
          <w:bCs/>
          <w:sz w:val="24"/>
        </w:rPr>
        <w:tab/>
      </w:r>
      <w:r w:rsidRPr="0016316A">
        <w:rPr>
          <w:rFonts w:ascii="Arial" w:hAnsi="Arial" w:cs="Arial"/>
          <w:b/>
          <w:bCs/>
          <w:sz w:val="24"/>
        </w:rPr>
        <w:t>Discussion and Decision</w:t>
      </w:r>
      <w:r w:rsidR="05FE66B3" w:rsidRPr="05FE66B3">
        <w:rPr>
          <w:rFonts w:ascii="Arial" w:hAnsi="Arial" w:cs="Arial"/>
          <w:b/>
          <w:bCs/>
          <w:sz w:val="24"/>
          <w:szCs w:val="24"/>
        </w:rPr>
        <w:t xml:space="preserve"> </w:t>
      </w:r>
    </w:p>
    <w:p w14:paraId="76A875DE" w14:textId="73781E01" w:rsidR="0034111C" w:rsidRPr="0016316A" w:rsidRDefault="05FE66B3" w:rsidP="00F26C83">
      <w:pPr>
        <w:pStyle w:val="Heading1"/>
      </w:pPr>
      <w:r>
        <w:t>Introduction</w:t>
      </w:r>
    </w:p>
    <w:p w14:paraId="5CC405A6" w14:textId="77777777" w:rsidR="0080315D" w:rsidRDefault="05FE66B3" w:rsidP="05FE66B3">
      <w:pPr>
        <w:overflowPunct/>
        <w:autoSpaceDE/>
        <w:autoSpaceDN/>
        <w:adjustRightInd/>
        <w:spacing w:before="100" w:beforeAutospacing="1" w:after="100" w:afterAutospacing="1"/>
        <w:textAlignment w:val="auto"/>
        <w:rPr>
          <w:rFonts w:eastAsia="Times New Roman"/>
          <w:lang w:val="en-US"/>
        </w:rPr>
      </w:pPr>
      <w:r w:rsidRPr="05FE66B3">
        <w:rPr>
          <w:rFonts w:eastAsia="Times New Roman"/>
        </w:rPr>
        <w:t xml:space="preserve">During RAN plenary #78, the release 15 NR specifications were approved. Furthermore, it was agreed that during the first quarter of 2018, RAN1 will continue to focus on the stabilizing of the basic and essential functionalities within the scope of the December drop. </w:t>
      </w:r>
    </w:p>
    <w:p w14:paraId="28B11C4C" w14:textId="1B52CAD4" w:rsidR="00CC300C" w:rsidRDefault="00BE4EC9" w:rsidP="002E758C">
      <w:pPr>
        <w:spacing w:after="120"/>
        <w:jc w:val="both"/>
        <w:rPr>
          <w:bCs/>
        </w:rPr>
      </w:pPr>
      <w:r w:rsidRPr="05FE66B3">
        <w:t xml:space="preserve">This contribution </w:t>
      </w:r>
      <w:r w:rsidR="00564957" w:rsidRPr="05FE66B3">
        <w:t>deals with the</w:t>
      </w:r>
      <w:r w:rsidR="00F26C83" w:rsidRPr="05FE66B3">
        <w:t xml:space="preserve"> following</w:t>
      </w:r>
      <w:r w:rsidR="00371EF8" w:rsidRPr="05FE66B3">
        <w:t xml:space="preserve"> </w:t>
      </w:r>
      <w:r w:rsidR="00F26C83" w:rsidRPr="05FE66B3">
        <w:t xml:space="preserve">conclusion </w:t>
      </w:r>
      <w:r w:rsidR="00F26C83">
        <w:rPr>
          <w:rFonts w:eastAsia="Malgun Gothic"/>
        </w:rPr>
        <w:t>reached</w:t>
      </w:r>
      <w:r w:rsidR="00CA192A">
        <w:rPr>
          <w:rFonts w:eastAsia="Malgun Gothic"/>
        </w:rPr>
        <w:t xml:space="preserve"> in </w:t>
      </w:r>
      <w:r w:rsidR="00824F51">
        <w:rPr>
          <w:rFonts w:eastAsia="Malgun Gothic"/>
        </w:rPr>
        <w:t>RAN1 #9</w:t>
      </w:r>
      <w:r w:rsidR="00E215CE">
        <w:rPr>
          <w:rFonts w:eastAsia="Malgun Gothic"/>
        </w:rPr>
        <w:t>1</w:t>
      </w:r>
      <w:r w:rsidR="00A720B2">
        <w:rPr>
          <w:rFonts w:eastAsia="Malgun Gothic"/>
        </w:rPr>
        <w:t xml:space="preserve"> </w:t>
      </w:r>
      <w:r w:rsidR="00A720B2" w:rsidRPr="05FE66B3">
        <w:fldChar w:fldCharType="begin"/>
      </w:r>
      <w:r w:rsidR="00A720B2">
        <w:rPr>
          <w:rFonts w:eastAsia="Malgun Gothic"/>
        </w:rPr>
        <w:instrText xml:space="preserve"> REF _Ref494639617 \r \h </w:instrText>
      </w:r>
      <w:r w:rsidR="00A720B2" w:rsidRPr="05FE66B3">
        <w:rPr>
          <w:rFonts w:eastAsia="Malgun Gothic"/>
        </w:rPr>
        <w:fldChar w:fldCharType="separate"/>
      </w:r>
      <w:r w:rsidR="00A720B2">
        <w:rPr>
          <w:rFonts w:eastAsia="Malgun Gothic"/>
        </w:rPr>
        <w:t>[1]</w:t>
      </w:r>
      <w:r w:rsidR="00A720B2" w:rsidRPr="05FE66B3">
        <w:fldChar w:fldCharType="end"/>
      </w:r>
      <w:r w:rsidR="0051221F" w:rsidRPr="05FE66B3">
        <w:t>:</w:t>
      </w:r>
    </w:p>
    <w:p w14:paraId="0606A9DA" w14:textId="77777777" w:rsidR="0082058C" w:rsidRPr="0082058C" w:rsidRDefault="05FE66B3" w:rsidP="05FE66B3">
      <w:pPr>
        <w:spacing w:after="0"/>
        <w:rPr>
          <w:i/>
          <w:iCs/>
          <w:sz w:val="16"/>
          <w:szCs w:val="16"/>
          <w:u w:val="single"/>
          <w:lang w:val="en-US"/>
        </w:rPr>
      </w:pPr>
      <w:r w:rsidRPr="05FE66B3">
        <w:rPr>
          <w:i/>
          <w:iCs/>
          <w:sz w:val="16"/>
          <w:szCs w:val="16"/>
          <w:u w:val="single"/>
          <w:lang w:val="en-US"/>
        </w:rPr>
        <w:t>Conclusion:</w:t>
      </w:r>
    </w:p>
    <w:p w14:paraId="48AEC099" w14:textId="77777777" w:rsidR="0082058C" w:rsidRPr="0082058C" w:rsidRDefault="05FE66B3" w:rsidP="05FE66B3">
      <w:pPr>
        <w:numPr>
          <w:ilvl w:val="0"/>
          <w:numId w:val="5"/>
        </w:numPr>
        <w:overflowPunct/>
        <w:autoSpaceDE/>
        <w:autoSpaceDN/>
        <w:adjustRightInd/>
        <w:spacing w:after="0"/>
        <w:textAlignment w:val="auto"/>
        <w:rPr>
          <w:i/>
          <w:iCs/>
          <w:sz w:val="16"/>
          <w:szCs w:val="16"/>
          <w:lang w:val="en-US"/>
        </w:rPr>
      </w:pPr>
      <w:r w:rsidRPr="05FE66B3">
        <w:rPr>
          <w:i/>
          <w:iCs/>
          <w:sz w:val="16"/>
          <w:szCs w:val="16"/>
          <w:lang w:val="en-US"/>
        </w:rPr>
        <w:t>RAN1 common understanding is that the PDCCH channel estimation complexity is not negligible at least in some cases.</w:t>
      </w:r>
    </w:p>
    <w:p w14:paraId="731F9475" w14:textId="77777777" w:rsidR="0082058C" w:rsidRPr="0082058C" w:rsidRDefault="05FE66B3" w:rsidP="05FE66B3">
      <w:pPr>
        <w:numPr>
          <w:ilvl w:val="1"/>
          <w:numId w:val="5"/>
        </w:numPr>
        <w:overflowPunct/>
        <w:autoSpaceDE/>
        <w:autoSpaceDN/>
        <w:adjustRightInd/>
        <w:spacing w:after="0"/>
        <w:textAlignment w:val="auto"/>
        <w:rPr>
          <w:i/>
          <w:iCs/>
          <w:sz w:val="16"/>
          <w:szCs w:val="16"/>
          <w:lang w:val="en-US"/>
        </w:rPr>
      </w:pPr>
      <w:r w:rsidRPr="05FE66B3">
        <w:rPr>
          <w:i/>
          <w:iCs/>
          <w:sz w:val="16"/>
          <w:szCs w:val="16"/>
          <w:lang w:val="en-US"/>
        </w:rPr>
        <w:t>FFS: Possible solutions to resolve the channel estimation complexity issue together with the impact on PDCCH blocking probability</w:t>
      </w:r>
    </w:p>
    <w:p w14:paraId="1D8F3568" w14:textId="77777777" w:rsidR="0082058C" w:rsidRPr="0082058C" w:rsidRDefault="05FE66B3" w:rsidP="05FE66B3">
      <w:pPr>
        <w:numPr>
          <w:ilvl w:val="1"/>
          <w:numId w:val="5"/>
        </w:numPr>
        <w:overflowPunct/>
        <w:autoSpaceDE/>
        <w:autoSpaceDN/>
        <w:adjustRightInd/>
        <w:spacing w:after="0"/>
        <w:textAlignment w:val="auto"/>
        <w:rPr>
          <w:i/>
          <w:iCs/>
          <w:sz w:val="16"/>
          <w:szCs w:val="16"/>
          <w:lang w:val="en-US"/>
        </w:rPr>
      </w:pPr>
      <w:r w:rsidRPr="05FE66B3">
        <w:rPr>
          <w:i/>
          <w:iCs/>
          <w:sz w:val="16"/>
          <w:szCs w:val="16"/>
          <w:lang w:val="en-US"/>
        </w:rPr>
        <w:t>Opt.1: Define the limits of “the number of CCEs for PDCCH channel estimation which refers to the union of the sets of CCEs for PDCCH candidates”</w:t>
      </w:r>
    </w:p>
    <w:p w14:paraId="1A0095A6" w14:textId="77777777" w:rsidR="0082058C" w:rsidRPr="0082058C" w:rsidRDefault="05FE66B3" w:rsidP="05FE66B3">
      <w:pPr>
        <w:numPr>
          <w:ilvl w:val="2"/>
          <w:numId w:val="5"/>
        </w:numPr>
        <w:overflowPunct/>
        <w:autoSpaceDE/>
        <w:autoSpaceDN/>
        <w:adjustRightInd/>
        <w:spacing w:after="0"/>
        <w:textAlignment w:val="auto"/>
        <w:rPr>
          <w:i/>
          <w:iCs/>
          <w:sz w:val="16"/>
          <w:szCs w:val="16"/>
          <w:lang w:val="en-US"/>
        </w:rPr>
      </w:pPr>
      <w:r w:rsidRPr="05FE66B3">
        <w:rPr>
          <w:i/>
          <w:iCs/>
          <w:sz w:val="16"/>
          <w:szCs w:val="16"/>
          <w:lang w:val="en-US"/>
        </w:rPr>
        <w:t>Note: the overlapped CCEs associated with different CORESETs are counted separately.</w:t>
      </w:r>
    </w:p>
    <w:p w14:paraId="2379C3FE" w14:textId="77777777" w:rsidR="0082058C" w:rsidRPr="0082058C" w:rsidRDefault="05FE66B3" w:rsidP="05FE66B3">
      <w:pPr>
        <w:numPr>
          <w:ilvl w:val="2"/>
          <w:numId w:val="5"/>
        </w:numPr>
        <w:overflowPunct/>
        <w:autoSpaceDE/>
        <w:autoSpaceDN/>
        <w:adjustRightInd/>
        <w:spacing w:after="0"/>
        <w:textAlignment w:val="auto"/>
        <w:rPr>
          <w:i/>
          <w:iCs/>
          <w:sz w:val="16"/>
          <w:szCs w:val="16"/>
          <w:lang w:val="en-US"/>
        </w:rPr>
      </w:pPr>
      <w:r w:rsidRPr="05FE66B3">
        <w:rPr>
          <w:i/>
          <w:iCs/>
          <w:sz w:val="16"/>
          <w:szCs w:val="16"/>
          <w:lang w:val="en-US"/>
        </w:rPr>
        <w:t>FFS: CCEs for the same precoder-granularity are counted as one channel estimation</w:t>
      </w:r>
    </w:p>
    <w:p w14:paraId="1160B414" w14:textId="77777777" w:rsidR="0082058C" w:rsidRPr="0082058C" w:rsidRDefault="05FE66B3" w:rsidP="05FE66B3">
      <w:pPr>
        <w:numPr>
          <w:ilvl w:val="2"/>
          <w:numId w:val="5"/>
        </w:numPr>
        <w:overflowPunct/>
        <w:autoSpaceDE/>
        <w:autoSpaceDN/>
        <w:adjustRightInd/>
        <w:spacing w:after="0"/>
        <w:textAlignment w:val="auto"/>
        <w:rPr>
          <w:i/>
          <w:iCs/>
          <w:sz w:val="16"/>
          <w:szCs w:val="16"/>
          <w:lang w:val="en-US"/>
        </w:rPr>
      </w:pPr>
      <w:r w:rsidRPr="05FE66B3">
        <w:rPr>
          <w:i/>
          <w:iCs/>
          <w:sz w:val="16"/>
          <w:szCs w:val="16"/>
          <w:lang w:val="en-US"/>
        </w:rPr>
        <w:t>FFS: whether/how to handle the variation on the actual number of CCEs for PDCCH channel estimation and BDs over time</w:t>
      </w:r>
    </w:p>
    <w:p w14:paraId="45E91DB6" w14:textId="77777777" w:rsidR="0082058C" w:rsidRPr="0082058C" w:rsidRDefault="05FE66B3" w:rsidP="05FE66B3">
      <w:pPr>
        <w:numPr>
          <w:ilvl w:val="2"/>
          <w:numId w:val="5"/>
        </w:numPr>
        <w:overflowPunct/>
        <w:autoSpaceDE/>
        <w:autoSpaceDN/>
        <w:adjustRightInd/>
        <w:spacing w:after="0"/>
        <w:textAlignment w:val="auto"/>
        <w:rPr>
          <w:i/>
          <w:iCs/>
          <w:sz w:val="16"/>
          <w:szCs w:val="16"/>
          <w:lang w:val="en-US"/>
        </w:rPr>
      </w:pPr>
      <w:r w:rsidRPr="05FE66B3">
        <w:rPr>
          <w:i/>
          <w:iCs/>
          <w:sz w:val="16"/>
          <w:szCs w:val="16"/>
          <w:lang w:val="en-US"/>
        </w:rPr>
        <w:t>Application of overbooking is considered</w:t>
      </w:r>
    </w:p>
    <w:p w14:paraId="1B259CAC" w14:textId="77777777" w:rsidR="0082058C" w:rsidRPr="0082058C" w:rsidRDefault="05FE66B3" w:rsidP="05FE66B3">
      <w:pPr>
        <w:numPr>
          <w:ilvl w:val="2"/>
          <w:numId w:val="5"/>
        </w:numPr>
        <w:overflowPunct/>
        <w:autoSpaceDE/>
        <w:autoSpaceDN/>
        <w:adjustRightInd/>
        <w:spacing w:after="0"/>
        <w:textAlignment w:val="auto"/>
        <w:rPr>
          <w:i/>
          <w:iCs/>
          <w:sz w:val="16"/>
          <w:szCs w:val="16"/>
          <w:lang w:val="en-US"/>
        </w:rPr>
      </w:pPr>
      <w:r w:rsidRPr="05FE66B3">
        <w:rPr>
          <w:i/>
          <w:iCs/>
          <w:sz w:val="16"/>
          <w:szCs w:val="16"/>
          <w:lang w:val="en-US"/>
        </w:rPr>
        <w:t>Strive for not having specific UE capability to report the maximum number of CCEs for PDCCH channel estimation.</w:t>
      </w:r>
    </w:p>
    <w:p w14:paraId="0CF825E3" w14:textId="77777777" w:rsidR="0082058C" w:rsidRPr="0082058C" w:rsidRDefault="05FE66B3" w:rsidP="05FE66B3">
      <w:pPr>
        <w:numPr>
          <w:ilvl w:val="2"/>
          <w:numId w:val="5"/>
        </w:numPr>
        <w:overflowPunct/>
        <w:autoSpaceDE/>
        <w:autoSpaceDN/>
        <w:adjustRightInd/>
        <w:spacing w:after="0"/>
        <w:textAlignment w:val="auto"/>
        <w:rPr>
          <w:i/>
          <w:iCs/>
          <w:sz w:val="16"/>
          <w:szCs w:val="16"/>
          <w:lang w:val="en-US"/>
        </w:rPr>
      </w:pPr>
      <w:r w:rsidRPr="05FE66B3">
        <w:rPr>
          <w:i/>
          <w:iCs/>
          <w:sz w:val="16"/>
          <w:szCs w:val="16"/>
          <w:lang w:val="en-US"/>
        </w:rPr>
        <w:t>Study the solutions considering the cases 1-1, 1-2, 2, and 2’.</w:t>
      </w:r>
    </w:p>
    <w:p w14:paraId="26D2402C" w14:textId="77777777" w:rsidR="0082058C" w:rsidRPr="0082058C" w:rsidRDefault="05FE66B3" w:rsidP="05FE66B3">
      <w:pPr>
        <w:numPr>
          <w:ilvl w:val="1"/>
          <w:numId w:val="5"/>
        </w:numPr>
        <w:overflowPunct/>
        <w:autoSpaceDE/>
        <w:autoSpaceDN/>
        <w:adjustRightInd/>
        <w:spacing w:after="0"/>
        <w:textAlignment w:val="auto"/>
        <w:rPr>
          <w:i/>
          <w:iCs/>
          <w:sz w:val="16"/>
          <w:szCs w:val="16"/>
          <w:lang w:val="en-US"/>
        </w:rPr>
      </w:pPr>
      <w:r w:rsidRPr="05FE66B3">
        <w:rPr>
          <w:i/>
          <w:iCs/>
          <w:sz w:val="16"/>
          <w:szCs w:val="16"/>
          <w:lang w:val="en-US"/>
        </w:rPr>
        <w:t>Opt.2: Modify the hashing function</w:t>
      </w:r>
    </w:p>
    <w:p w14:paraId="6AF48F21" w14:textId="77777777" w:rsidR="0082058C" w:rsidRPr="0082058C" w:rsidRDefault="05FE66B3" w:rsidP="05FE66B3">
      <w:pPr>
        <w:numPr>
          <w:ilvl w:val="1"/>
          <w:numId w:val="5"/>
        </w:numPr>
        <w:overflowPunct/>
        <w:autoSpaceDE/>
        <w:autoSpaceDN/>
        <w:adjustRightInd/>
        <w:spacing w:after="0"/>
        <w:textAlignment w:val="auto"/>
        <w:rPr>
          <w:i/>
          <w:iCs/>
          <w:sz w:val="16"/>
          <w:szCs w:val="16"/>
          <w:lang w:val="en-US"/>
        </w:rPr>
      </w:pPr>
      <w:r w:rsidRPr="05FE66B3">
        <w:rPr>
          <w:i/>
          <w:iCs/>
          <w:sz w:val="16"/>
          <w:szCs w:val="16"/>
          <w:lang w:val="en-US"/>
        </w:rPr>
        <w:t>Opt.3: Increase the size of the precoder granularity</w:t>
      </w:r>
    </w:p>
    <w:p w14:paraId="55464957" w14:textId="77777777" w:rsidR="00E215CE" w:rsidRDefault="00E215CE" w:rsidP="00371EF8">
      <w:pPr>
        <w:pStyle w:val="ListParagraph"/>
        <w:ind w:left="928"/>
        <w:rPr>
          <w:rFonts w:eastAsia="MS Mincho"/>
          <w:i/>
          <w:sz w:val="17"/>
          <w:szCs w:val="17"/>
          <w:lang w:val="en-US" w:eastAsia="ja-JP"/>
        </w:rPr>
      </w:pPr>
    </w:p>
    <w:p w14:paraId="4A1C1EF5" w14:textId="278A734E" w:rsidR="008F5D03" w:rsidRDefault="05FE66B3" w:rsidP="000D47F3">
      <w:pPr>
        <w:spacing w:after="0"/>
        <w:jc w:val="both"/>
      </w:pPr>
      <w:r>
        <w:t xml:space="preserve">In the subsections of Section 2, we demonstrate how CCE channel estimation limitation impacts the network, and we propose two possible solutions aligned with Opt.1 and Opt.2 of the Conclusion.  </w:t>
      </w:r>
    </w:p>
    <w:p w14:paraId="7176DECF" w14:textId="1981E531" w:rsidR="008F5D03" w:rsidRPr="001F28AA" w:rsidRDefault="05FE66B3" w:rsidP="008F5D03">
      <w:pPr>
        <w:pStyle w:val="Heading1"/>
      </w:pPr>
      <w:r w:rsidRPr="05FE66B3">
        <w:rPr>
          <w:color w:val="000000" w:themeColor="text1"/>
        </w:rPr>
        <w:t xml:space="preserve">On NR operation under BD and channel-estimation limitations </w:t>
      </w:r>
    </w:p>
    <w:p w14:paraId="53649DDB" w14:textId="5C381DC1" w:rsidR="00B1274E" w:rsidRPr="00B1274E" w:rsidRDefault="05FE66B3" w:rsidP="00B1274E">
      <w:pPr>
        <w:spacing w:after="0"/>
        <w:jc w:val="both"/>
      </w:pPr>
      <w:r>
        <w:t>NR specifics are the following:</w:t>
      </w:r>
    </w:p>
    <w:p w14:paraId="5608CF4C" w14:textId="09733A0B" w:rsidR="00B1274E" w:rsidRDefault="05FE66B3" w:rsidP="05FE66B3">
      <w:pPr>
        <w:pStyle w:val="ListParagraph"/>
        <w:numPr>
          <w:ilvl w:val="0"/>
          <w:numId w:val="2"/>
        </w:numPr>
        <w:jc w:val="both"/>
        <w:rPr>
          <w:sz w:val="20"/>
          <w:szCs w:val="20"/>
          <w:lang w:val="en-GB" w:eastAsia="en-US"/>
        </w:rPr>
      </w:pPr>
      <w:r w:rsidRPr="05FE66B3">
        <w:rPr>
          <w:sz w:val="20"/>
          <w:szCs w:val="20"/>
          <w:lang w:val="en-GB" w:eastAsia="en-US"/>
        </w:rPr>
        <w:t>UE can be configured with up to [3] CORESETs and up to [10] search space sets within a BWP per cell.</w:t>
      </w:r>
    </w:p>
    <w:p w14:paraId="2B05704D" w14:textId="515EC584" w:rsidR="00B1274E" w:rsidRPr="00B1274E" w:rsidRDefault="05FE66B3" w:rsidP="05FE66B3">
      <w:pPr>
        <w:pStyle w:val="ListParagraph"/>
        <w:numPr>
          <w:ilvl w:val="0"/>
          <w:numId w:val="2"/>
        </w:numPr>
        <w:jc w:val="both"/>
        <w:rPr>
          <w:sz w:val="20"/>
          <w:szCs w:val="20"/>
          <w:lang w:val="en-US"/>
        </w:rPr>
      </w:pPr>
      <w:r w:rsidRPr="05FE66B3">
        <w:rPr>
          <w:sz w:val="20"/>
          <w:szCs w:val="20"/>
          <w:lang w:val="en-GB" w:eastAsia="en-US"/>
        </w:rPr>
        <w:t xml:space="preserve">Wide range of configurability of user-specific search spaces, </w:t>
      </w:r>
      <w:proofErr w:type="gramStart"/>
      <w:r w:rsidRPr="05FE66B3">
        <w:rPr>
          <w:sz w:val="20"/>
          <w:szCs w:val="20"/>
          <w:lang w:val="en-GB" w:eastAsia="en-US"/>
        </w:rPr>
        <w:t>in particular the</w:t>
      </w:r>
      <w:proofErr w:type="gramEnd"/>
      <w:r w:rsidRPr="05FE66B3">
        <w:rPr>
          <w:sz w:val="20"/>
          <w:szCs w:val="20"/>
          <w:lang w:val="en-GB" w:eastAsia="en-US"/>
        </w:rPr>
        <w:t xml:space="preserve"> number of PDCCH candidates per aggregation level can be configured among {0, 1, 2, 3, 4, 5, 6, 8}, monitoring periodicities of different search-space sets can be different</w:t>
      </w:r>
    </w:p>
    <w:p w14:paraId="0AB1FDB6" w14:textId="3CAC3F2A" w:rsidR="00B1274E" w:rsidRPr="002C4A24" w:rsidRDefault="05FE66B3" w:rsidP="05FE66B3">
      <w:pPr>
        <w:pStyle w:val="ListParagraph"/>
        <w:numPr>
          <w:ilvl w:val="0"/>
          <w:numId w:val="2"/>
        </w:numPr>
        <w:jc w:val="both"/>
        <w:rPr>
          <w:sz w:val="20"/>
          <w:szCs w:val="20"/>
          <w:lang w:val="en-US"/>
        </w:rPr>
      </w:pPr>
      <w:r w:rsidRPr="05FE66B3">
        <w:rPr>
          <w:sz w:val="20"/>
          <w:szCs w:val="20"/>
          <w:lang w:val="en-GB" w:eastAsia="en-US"/>
        </w:rPr>
        <w:t>The hashing function per each AL is slot dependent</w:t>
      </w:r>
      <w:r w:rsidR="00084886">
        <w:rPr>
          <w:sz w:val="20"/>
          <w:szCs w:val="20"/>
          <w:lang w:val="en-GB" w:eastAsia="en-US"/>
        </w:rPr>
        <w:t>.</w:t>
      </w:r>
    </w:p>
    <w:p w14:paraId="2AD69901" w14:textId="05B895A8" w:rsidR="008F5D03" w:rsidRPr="008F5D03" w:rsidRDefault="008F5D03" w:rsidP="000D47F3">
      <w:pPr>
        <w:spacing w:after="0"/>
        <w:jc w:val="both"/>
        <w:rPr>
          <w:lang w:val="en-US"/>
        </w:rPr>
      </w:pPr>
    </w:p>
    <w:p w14:paraId="60FAD9A5" w14:textId="656C02FA" w:rsidR="008D5934" w:rsidRDefault="05FE66B3" w:rsidP="008D5934">
      <w:pPr>
        <w:jc w:val="both"/>
      </w:pPr>
      <w:r>
        <w:t xml:space="preserve">Different services and corresponding search space sets may use different PDCCH monitoring periodicities. To manage different services in an optimal manner, it would be preferable to configure PDCCH monitoring in different search space sets independently from each other. The consequence of this is that the number of BDs configured may vary from slot to slot, e.g. according to the number of search space sets monitored in the slot. We think that NR should allow over-booking of the BDs for some time instances, as for majority of time instances the BDs would be below the maximum. </w:t>
      </w:r>
    </w:p>
    <w:p w14:paraId="18B5E691" w14:textId="56D60A8A" w:rsidR="008D5934" w:rsidRDefault="05FE66B3" w:rsidP="008D5934">
      <w:pPr>
        <w:jc w:val="both"/>
      </w:pPr>
      <w:r w:rsidRPr="05FE66B3">
        <w:rPr>
          <w:b/>
          <w:bCs/>
        </w:rPr>
        <w:t>Observation #1:</w:t>
      </w:r>
      <w:r>
        <w:t xml:space="preserve"> </w:t>
      </w:r>
      <w:r w:rsidRPr="05FE66B3">
        <w:rPr>
          <w:i/>
          <w:iCs/>
        </w:rPr>
        <w:t xml:space="preserve">When a </w:t>
      </w:r>
      <w:proofErr w:type="spellStart"/>
      <w:r w:rsidRPr="05FE66B3">
        <w:rPr>
          <w:i/>
          <w:iCs/>
        </w:rPr>
        <w:t>gNB</w:t>
      </w:r>
      <w:proofErr w:type="spellEnd"/>
      <w:r w:rsidRPr="05FE66B3">
        <w:rPr>
          <w:i/>
          <w:iCs/>
        </w:rPr>
        <w:t xml:space="preserve"> serves multiple services with different PDCCH monitoring periodicity, the infrequent monitoring peaks may occur. The </w:t>
      </w:r>
      <w:proofErr w:type="spellStart"/>
      <w:r w:rsidRPr="05FE66B3">
        <w:rPr>
          <w:i/>
          <w:iCs/>
        </w:rPr>
        <w:t>gNB</w:t>
      </w:r>
      <w:proofErr w:type="spellEnd"/>
      <w:r w:rsidRPr="05FE66B3">
        <w:rPr>
          <w:i/>
          <w:iCs/>
        </w:rPr>
        <w:t xml:space="preserve"> should be allowed to over-book BDs during these infrequent peaks, to avoid BD restrictions in other monitoring occasions</w:t>
      </w:r>
      <w:r>
        <w:t xml:space="preserve">.   </w:t>
      </w:r>
    </w:p>
    <w:p w14:paraId="7AB437B5" w14:textId="11D6601A" w:rsidR="00B1274E" w:rsidRDefault="002C4A24" w:rsidP="008D5934">
      <w:pPr>
        <w:jc w:val="both"/>
      </w:pPr>
      <w:r>
        <w:t xml:space="preserve">In addition, the hashing function is slot dependent, resulting in </w:t>
      </w:r>
      <w:r w:rsidR="008D5934">
        <w:t>slot dependent overlap of candidates and therefore variable number of CCE to be channel estimated in the slot. We studied the variation of</w:t>
      </w:r>
      <w:r w:rsidR="00C70FD6">
        <w:t xml:space="preserve"> the</w:t>
      </w:r>
      <w:r w:rsidR="008D5934">
        <w:t xml:space="preserve"> number of CCEs in a search-space on </w:t>
      </w:r>
      <w:r w:rsidR="008D5934">
        <w:lastRenderedPageBreak/>
        <w:t>an</w:t>
      </w:r>
      <w:r w:rsidR="00B1274E">
        <w:t xml:space="preserve"> example</w:t>
      </w:r>
      <w:r w:rsidR="008D5934">
        <w:t xml:space="preserve"> in</w:t>
      </w:r>
      <w:r w:rsidR="00B1274E">
        <w:t xml:space="preserve"> </w:t>
      </w:r>
      <w:r w:rsidR="00203CB3">
        <w:t>Figure 1</w:t>
      </w:r>
      <w:r w:rsidR="00B1274E">
        <w:fldChar w:fldCharType="begin"/>
      </w:r>
      <w:r w:rsidR="00B1274E">
        <w:instrText xml:space="preserve"> REF _Ref501625440 \h </w:instrText>
      </w:r>
      <w:r w:rsidR="00B1274E">
        <w:fldChar w:fldCharType="end"/>
      </w:r>
      <w:r w:rsidR="00B1274E">
        <w:t xml:space="preserve"> </w:t>
      </w:r>
      <w:r w:rsidR="008D5934">
        <w:t xml:space="preserve">that </w:t>
      </w:r>
      <w:r w:rsidR="00B1274E">
        <w:t xml:space="preserve">depicts the average (solid) and maximum (dashed) number of CCEs assigned by the hashing function for different CORESET sizes, when both CSS and USS are assigned with candidate numbers per aggregation level (1, 2, 4, 8), </w:t>
      </w:r>
      <w:r w:rsidR="00FF04F9">
        <w:t xml:space="preserve">agreed as </w:t>
      </w:r>
      <w:r w:rsidR="00203CB3">
        <w:t>a working assumption</w:t>
      </w:r>
      <w:r w:rsidR="00B1274E">
        <w:t xml:space="preserve"> (0, 0, 4, 2) for CSS and </w:t>
      </w:r>
      <w:r w:rsidR="00203CB3">
        <w:t>a default set of values</w:t>
      </w:r>
      <w:r w:rsidR="00FF04F9">
        <w:t xml:space="preserve"> </w:t>
      </w:r>
      <w:r w:rsidR="00B1274E">
        <w:t>(6, 6, 2, 2) for USS</w:t>
      </w:r>
      <w:r w:rsidR="00203CB3">
        <w:t>, respectively</w:t>
      </w:r>
      <w:r w:rsidR="00B1274E">
        <w:t>. It can be seen</w:t>
      </w:r>
      <w:r w:rsidR="00203CB3">
        <w:t xml:space="preserve">, </w:t>
      </w:r>
      <w:r w:rsidR="00B1274E">
        <w:t xml:space="preserve">that with </w:t>
      </w:r>
      <w:r w:rsidR="00FF04F9">
        <w:t>this</w:t>
      </w:r>
      <w:r w:rsidR="00B1274E">
        <w:t xml:space="preserve"> configuration for </w:t>
      </w:r>
      <w:r w:rsidR="008D5934">
        <w:t xml:space="preserve">a single </w:t>
      </w:r>
      <w:r w:rsidR="00B1274E">
        <w:t xml:space="preserve">CSS and </w:t>
      </w:r>
      <w:r w:rsidR="008D5934">
        <w:t xml:space="preserve">single </w:t>
      </w:r>
      <w:r w:rsidR="00B1274E">
        <w:t xml:space="preserve">USS, the </w:t>
      </w:r>
      <w:r w:rsidR="008D5934" w:rsidRPr="00845927">
        <w:rPr>
          <w:u w:val="single"/>
        </w:rPr>
        <w:t xml:space="preserve">maximum </w:t>
      </w:r>
      <w:r w:rsidR="00B1274E" w:rsidRPr="00845927">
        <w:rPr>
          <w:u w:val="single"/>
        </w:rPr>
        <w:t>number of assigned CCEs</w:t>
      </w:r>
      <w:r w:rsidR="00B1274E">
        <w:t xml:space="preserve"> can </w:t>
      </w:r>
      <w:r w:rsidR="008D5934">
        <w:t>easily exceed 4</w:t>
      </w:r>
      <w:r w:rsidR="003670F8">
        <w:t>8</w:t>
      </w:r>
      <w:r w:rsidR="00203CB3">
        <w:t xml:space="preserve"> </w:t>
      </w:r>
      <w:r w:rsidR="008D5934">
        <w:t xml:space="preserve">CCEs </w:t>
      </w:r>
      <w:r w:rsidR="003670F8">
        <w:t>for all</w:t>
      </w:r>
      <w:r w:rsidR="008D5934">
        <w:t xml:space="preserve"> </w:t>
      </w:r>
      <w:r w:rsidR="00845927">
        <w:t>CORESETs carrying 4</w:t>
      </w:r>
      <w:r w:rsidR="003670F8">
        <w:t>8</w:t>
      </w:r>
      <w:r w:rsidR="009E4511">
        <w:t xml:space="preserve"> or more </w:t>
      </w:r>
      <w:r w:rsidR="00845927">
        <w:t xml:space="preserve">CCEs, while average number of CCEs (over RNTIs and slot numbers) to be channel estimated is clearly smaller. Note that the largest supported CORESET in NR </w:t>
      </w:r>
      <w:r w:rsidR="00FF04F9">
        <w:t>contains</w:t>
      </w:r>
      <w:r w:rsidR="00845927">
        <w:t xml:space="preserve"> </w:t>
      </w:r>
      <w:r w:rsidR="00FF04F9">
        <w:t>270*</w:t>
      </w:r>
      <w:r w:rsidR="00845927">
        <w:t>3/6=13</w:t>
      </w:r>
      <w:r w:rsidR="00FF04F9">
        <w:t>5</w:t>
      </w:r>
      <w:r w:rsidR="00845927">
        <w:t xml:space="preserve"> </w:t>
      </w:r>
      <w:r w:rsidR="00FF04F9">
        <w:t>CCEs.</w:t>
      </w:r>
      <w:r w:rsidR="00845927">
        <w:t xml:space="preserve"> </w:t>
      </w:r>
      <w:r w:rsidR="00B1274E">
        <w:t xml:space="preserve">For the CSS, </w:t>
      </w:r>
      <w:r w:rsidR="00194DA6">
        <w:t>24</w:t>
      </w:r>
      <w:r w:rsidR="00B1274E">
        <w:t xml:space="preserve"> CCEs are allocated with the </w:t>
      </w:r>
      <w:r w:rsidR="00194DA6">
        <w:t xml:space="preserve">NR </w:t>
      </w:r>
      <w:r w:rsidR="00B1274E">
        <w:t>hashing function</w:t>
      </w:r>
      <w:r w:rsidR="00194DA6">
        <w:t>,</w:t>
      </w:r>
      <w:r w:rsidR="00B1274E">
        <w:t xml:space="preserve"> i.e. 16-24 CCEs are available for assignment of USS if CSS and USS have no overlap and if the number of assigned CCEs is limited to 40-50, respectively.</w:t>
      </w:r>
    </w:p>
    <w:p w14:paraId="1828C06C" w14:textId="13336B16" w:rsidR="00194DA6" w:rsidRDefault="00194DA6" w:rsidP="008D5934">
      <w:pPr>
        <w:jc w:val="center"/>
      </w:pPr>
      <w:r w:rsidRPr="00194DA6">
        <w:rPr>
          <w:noProof/>
          <w:lang w:val="de-DE" w:eastAsia="de-DE"/>
        </w:rPr>
        <w:drawing>
          <wp:inline distT="0" distB="0" distL="0" distR="0" wp14:anchorId="62E68B44" wp14:editId="499D2906">
            <wp:extent cx="3935578" cy="294992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42689" cy="2955252"/>
                    </a:xfrm>
                    <a:prstGeom prst="rect">
                      <a:avLst/>
                    </a:prstGeom>
                    <a:noFill/>
                    <a:ln>
                      <a:noFill/>
                    </a:ln>
                  </pic:spPr>
                </pic:pic>
              </a:graphicData>
            </a:graphic>
          </wp:inline>
        </w:drawing>
      </w:r>
    </w:p>
    <w:p w14:paraId="6049CA54" w14:textId="02330DA2" w:rsidR="00B1274E" w:rsidRDefault="00B1274E" w:rsidP="00C70FD6">
      <w:pPr>
        <w:pStyle w:val="Caption"/>
        <w:jc w:val="both"/>
      </w:pPr>
      <w:bookmarkStart w:id="0" w:name="_Ref501625440"/>
      <w:r>
        <w:t xml:space="preserve">Figure </w:t>
      </w:r>
      <w:bookmarkEnd w:id="0"/>
      <w:r w:rsidR="00203CB3">
        <w:t>1</w:t>
      </w:r>
      <w:r>
        <w:t xml:space="preserve">: Average (solid) and maximum (dashed) number of CCEs assigned by the </w:t>
      </w:r>
      <w:r w:rsidR="00194DA6">
        <w:t xml:space="preserve">NR </w:t>
      </w:r>
      <w:r>
        <w:t>hashing function depending on the CORESET size for both CSS and USS.</w:t>
      </w:r>
    </w:p>
    <w:p w14:paraId="09E3E910" w14:textId="77777777" w:rsidR="00B1274E" w:rsidRPr="00591379" w:rsidRDefault="00B1274E" w:rsidP="008D5934"/>
    <w:p w14:paraId="0770B78C" w14:textId="631C4F0D" w:rsidR="00B1274E" w:rsidRPr="001206E5" w:rsidRDefault="05FE66B3" w:rsidP="05FE66B3">
      <w:pPr>
        <w:spacing w:after="0"/>
        <w:jc w:val="both"/>
        <w:rPr>
          <w:i/>
          <w:iCs/>
        </w:rPr>
      </w:pPr>
      <w:r w:rsidRPr="05FE66B3">
        <w:rPr>
          <w:b/>
          <w:bCs/>
          <w:i/>
          <w:iCs/>
        </w:rPr>
        <w:t xml:space="preserve">Observation #2: </w:t>
      </w:r>
      <w:r w:rsidRPr="05FE66B3">
        <w:rPr>
          <w:i/>
          <w:iCs/>
        </w:rPr>
        <w:t xml:space="preserve">If CCE overbooking would not be allowed and CCE limitation would be set to 48 CCE, </w:t>
      </w:r>
      <w:proofErr w:type="spellStart"/>
      <w:r w:rsidRPr="05FE66B3">
        <w:rPr>
          <w:i/>
          <w:iCs/>
        </w:rPr>
        <w:t>gNB</w:t>
      </w:r>
      <w:proofErr w:type="spellEnd"/>
      <w:r w:rsidRPr="05FE66B3">
        <w:rPr>
          <w:i/>
          <w:iCs/>
        </w:rPr>
        <w:t xml:space="preserve"> would not be able to configure single CSS (0, 0, 4, 2, 0) and single USS (6, 6, 2, 2, 0) in a CORESETs larger than 48CCE. </w:t>
      </w:r>
    </w:p>
    <w:p w14:paraId="1551FCCA" w14:textId="77777777" w:rsidR="008F5D03" w:rsidRDefault="008F5D03" w:rsidP="000D47F3">
      <w:pPr>
        <w:spacing w:after="0"/>
        <w:jc w:val="both"/>
      </w:pPr>
    </w:p>
    <w:p w14:paraId="38C5559E" w14:textId="05724F37" w:rsidR="00133579" w:rsidRDefault="00133579" w:rsidP="000D47F3">
      <w:pPr>
        <w:spacing w:after="0"/>
        <w:jc w:val="both"/>
      </w:pPr>
    </w:p>
    <w:p w14:paraId="0FF1D3D6" w14:textId="7FC22A04" w:rsidR="00547495" w:rsidRPr="00547495" w:rsidRDefault="05FE66B3" w:rsidP="7193A0B0">
      <w:pPr>
        <w:spacing w:after="0"/>
        <w:jc w:val="both"/>
      </w:pPr>
      <w:r w:rsidRPr="05FE66B3">
        <w:rPr>
          <w:b/>
          <w:bCs/>
          <w:i/>
          <w:iCs/>
        </w:rPr>
        <w:t xml:space="preserve">Proposal #1: </w:t>
      </w:r>
      <w:r w:rsidRPr="05FE66B3">
        <w:rPr>
          <w:i/>
          <w:iCs/>
        </w:rPr>
        <w:t>NR supports search-space-set configurations that may result in over-booking BDs and CCEs in a slot.</w:t>
      </w:r>
    </w:p>
    <w:p w14:paraId="6BD479A4" w14:textId="7D4C1E46" w:rsidR="00E20CCC" w:rsidRPr="00EC440C" w:rsidRDefault="05FE66B3" w:rsidP="05FE66B3">
      <w:pPr>
        <w:pStyle w:val="ListParagraph"/>
        <w:numPr>
          <w:ilvl w:val="0"/>
          <w:numId w:val="4"/>
        </w:numPr>
        <w:jc w:val="both"/>
        <w:rPr>
          <w:i/>
          <w:iCs/>
          <w:lang w:val="en-US"/>
        </w:rPr>
      </w:pPr>
      <w:r w:rsidRPr="05FE66B3">
        <w:rPr>
          <w:i/>
          <w:iCs/>
          <w:sz w:val="20"/>
          <w:szCs w:val="20"/>
          <w:lang w:val="en-US"/>
        </w:rPr>
        <w:t>FFS: How to</w:t>
      </w:r>
      <w:r w:rsidRPr="05FE66B3">
        <w:rPr>
          <w:sz w:val="20"/>
          <w:szCs w:val="20"/>
          <w:lang w:val="en-US"/>
        </w:rPr>
        <w:t xml:space="preserve"> </w:t>
      </w:r>
      <w:r w:rsidRPr="05FE66B3">
        <w:rPr>
          <w:i/>
          <w:iCs/>
          <w:sz w:val="20"/>
          <w:szCs w:val="20"/>
          <w:lang w:val="en-US"/>
        </w:rPr>
        <w:t xml:space="preserve">reduce the PDCCH BDs down to the allowed level for over-booked monitoring occasions.  </w:t>
      </w:r>
    </w:p>
    <w:p w14:paraId="072C1321" w14:textId="77777777" w:rsidR="0028443D" w:rsidRDefault="0028443D" w:rsidP="00456C0F">
      <w:pPr>
        <w:spacing w:after="0"/>
        <w:jc w:val="both"/>
        <w:rPr>
          <w:i/>
        </w:rPr>
      </w:pPr>
    </w:p>
    <w:p w14:paraId="7E03FC9E" w14:textId="77777777" w:rsidR="005D7710" w:rsidRDefault="05FE66B3" w:rsidP="005D7710">
      <w:pPr>
        <w:pStyle w:val="Heading2"/>
      </w:pPr>
      <w:r>
        <w:t>Dropping of BDs/candidates due to channel estimation and BD limitations</w:t>
      </w:r>
    </w:p>
    <w:p w14:paraId="79FF3075" w14:textId="744F962F" w:rsidR="005D7710" w:rsidRDefault="05FE66B3" w:rsidP="005D7710">
      <w:pPr>
        <w:spacing w:after="0"/>
        <w:jc w:val="both"/>
      </w:pPr>
      <w:r>
        <w:t>To support over-booking of the BDs and CCEs, there is a need to reduce the number of BDs down to the allowed level in some slots. This requires definition of some rules to reduce the number of BDs and/or CCEs in those slots. There are two separate cases, which require attention:</w:t>
      </w:r>
    </w:p>
    <w:p w14:paraId="4DF2EA78" w14:textId="77777777" w:rsidR="005D7710" w:rsidRPr="001D2764" w:rsidRDefault="05FE66B3" w:rsidP="05FE66B3">
      <w:pPr>
        <w:pStyle w:val="ListParagraph"/>
        <w:numPr>
          <w:ilvl w:val="0"/>
          <w:numId w:val="8"/>
        </w:numPr>
        <w:jc w:val="both"/>
        <w:rPr>
          <w:sz w:val="20"/>
          <w:szCs w:val="20"/>
          <w:lang w:val="en-US"/>
        </w:rPr>
      </w:pPr>
      <w:r w:rsidRPr="05FE66B3">
        <w:rPr>
          <w:b/>
          <w:bCs/>
          <w:sz w:val="20"/>
          <w:szCs w:val="20"/>
          <w:u w:val="single"/>
          <w:lang w:val="en-US"/>
        </w:rPr>
        <w:t>Case 1:</w:t>
      </w:r>
      <w:r w:rsidRPr="05FE66B3">
        <w:rPr>
          <w:sz w:val="20"/>
          <w:szCs w:val="20"/>
          <w:lang w:val="en-US"/>
        </w:rPr>
        <w:t xml:space="preserve"> Maximum number of PDCCH BDs per slot exceeded  </w:t>
      </w:r>
    </w:p>
    <w:p w14:paraId="7B19E212" w14:textId="2A9B0A54" w:rsidR="005D7710" w:rsidRPr="001D2764" w:rsidRDefault="05FE66B3" w:rsidP="05FE66B3">
      <w:pPr>
        <w:pStyle w:val="ListParagraph"/>
        <w:numPr>
          <w:ilvl w:val="0"/>
          <w:numId w:val="8"/>
        </w:numPr>
        <w:jc w:val="both"/>
        <w:rPr>
          <w:sz w:val="20"/>
          <w:szCs w:val="20"/>
          <w:lang w:val="en-US"/>
        </w:rPr>
      </w:pPr>
      <w:r w:rsidRPr="05FE66B3">
        <w:rPr>
          <w:b/>
          <w:bCs/>
          <w:sz w:val="20"/>
          <w:szCs w:val="20"/>
          <w:u w:val="single"/>
          <w:lang w:val="en-US"/>
        </w:rPr>
        <w:t>Case 2:</w:t>
      </w:r>
      <w:r w:rsidRPr="05FE66B3">
        <w:rPr>
          <w:sz w:val="20"/>
          <w:szCs w:val="20"/>
          <w:lang w:val="en-US"/>
        </w:rPr>
        <w:t xml:space="preserve"> Channel estimation complexity in terms of number of CCEs per slot is not negligible</w:t>
      </w:r>
      <w:r w:rsidR="009F1F6C">
        <w:rPr>
          <w:sz w:val="20"/>
          <w:szCs w:val="20"/>
          <w:lang w:val="en-US"/>
        </w:rPr>
        <w:t>.</w:t>
      </w:r>
      <w:r w:rsidRPr="05FE66B3">
        <w:rPr>
          <w:sz w:val="20"/>
          <w:szCs w:val="20"/>
          <w:lang w:val="en-US"/>
        </w:rPr>
        <w:t xml:space="preserve">   </w:t>
      </w:r>
    </w:p>
    <w:p w14:paraId="2B02BCA2" w14:textId="77777777" w:rsidR="005D7710" w:rsidRDefault="005D7710" w:rsidP="009F1F6C">
      <w:pPr>
        <w:spacing w:after="0"/>
        <w:jc w:val="both"/>
        <w:rPr>
          <w:lang w:val="en-US"/>
        </w:rPr>
      </w:pPr>
    </w:p>
    <w:p w14:paraId="230B6281" w14:textId="33A762A3" w:rsidR="005D7710" w:rsidRDefault="05FE66B3" w:rsidP="05FE66B3">
      <w:pPr>
        <w:jc w:val="both"/>
        <w:rPr>
          <w:lang w:val="en-US"/>
        </w:rPr>
      </w:pPr>
      <w:r w:rsidRPr="05FE66B3">
        <w:rPr>
          <w:lang w:val="en-US"/>
        </w:rPr>
        <w:t xml:space="preserve">It is noted that explicit upper limits </w:t>
      </w:r>
      <w:r w:rsidR="009F1F6C">
        <w:rPr>
          <w:lang w:val="en-US"/>
        </w:rPr>
        <w:t xml:space="preserve">for the number of PDCCH BDs </w:t>
      </w:r>
      <w:r w:rsidRPr="05FE66B3">
        <w:rPr>
          <w:lang w:val="en-US"/>
        </w:rPr>
        <w:t>covering different scenarios of Case 1 have already been agreed in RAN1#91. There are three candidate solutions identified in RAN1#91 to manage the channel estimation complexity issue (Case 2) and variation of BDs (Case 1). It can be noted that, that Case 1 and Case</w:t>
      </w:r>
      <w:r w:rsidR="009F1F6C">
        <w:rPr>
          <w:lang w:val="en-US"/>
        </w:rPr>
        <w:t xml:space="preserve"> </w:t>
      </w:r>
      <w:r w:rsidRPr="05FE66B3">
        <w:rPr>
          <w:lang w:val="en-US"/>
        </w:rPr>
        <w:t>2 are dependent, because reducing the number of PDCCH BDs will also reduce the channel estimation burden at the UE side.</w:t>
      </w:r>
    </w:p>
    <w:p w14:paraId="06CEA591" w14:textId="77777777" w:rsidR="005D7710" w:rsidRDefault="005D7710" w:rsidP="005D7710">
      <w:pPr>
        <w:jc w:val="both"/>
        <w:rPr>
          <w:u w:val="single"/>
        </w:rPr>
      </w:pPr>
    </w:p>
    <w:p w14:paraId="40B24FB7" w14:textId="029A2421" w:rsidR="005D7710" w:rsidRPr="001D2764" w:rsidRDefault="05FE66B3" w:rsidP="005D7710">
      <w:pPr>
        <w:pStyle w:val="Heading3"/>
      </w:pPr>
      <w:r>
        <w:lastRenderedPageBreak/>
        <w:t xml:space="preserve">BD reduction due to limited number of BDs per </w:t>
      </w:r>
    </w:p>
    <w:p w14:paraId="13A9077C" w14:textId="6E68A7A1" w:rsidR="005D7710" w:rsidRDefault="05FE66B3" w:rsidP="005D7710">
      <w:pPr>
        <w:jc w:val="both"/>
      </w:pPr>
      <w:r>
        <w:t xml:space="preserve">To support over-booking of the BDs, we propose to define explicit rules how to reduce the PDCCH candidates down to the allowed level. To avoid RAN2 impact, the rule should be such that it does not introduce additional RRC signalling. </w:t>
      </w:r>
    </w:p>
    <w:p w14:paraId="5690D804" w14:textId="45C94DC2" w:rsidR="005D7710" w:rsidRDefault="05FE66B3" w:rsidP="005D7710">
      <w:pPr>
        <w:jc w:val="both"/>
      </w:pPr>
      <w:r>
        <w:t xml:space="preserve">We think that BD reduction should operate within the predefined search space sets. </w:t>
      </w:r>
      <w:proofErr w:type="gramStart"/>
      <w:r>
        <w:t>Generally speaking, it</w:t>
      </w:r>
      <w:proofErr w:type="gramEnd"/>
      <w:r>
        <w:t xml:space="preserve"> makes sense to apply BD reduction only for UE-specific search space sets. In other words, PDCCH candidates in common search space sets should never be dropped.</w:t>
      </w:r>
    </w:p>
    <w:p w14:paraId="0DBC0598" w14:textId="7FDD875A" w:rsidR="005D7710" w:rsidRPr="001D2764" w:rsidRDefault="05FE66B3" w:rsidP="005D7710">
      <w:pPr>
        <w:spacing w:after="0"/>
        <w:jc w:val="both"/>
      </w:pPr>
      <w:r>
        <w:t>We propose that BD dropping rule is based on predefined BD priority numbers. The priority number is counted separately for each PDCCH candidate subject to BD dropping. The priority number depends on:</w:t>
      </w:r>
    </w:p>
    <w:p w14:paraId="012F6087" w14:textId="314AEC83" w:rsidR="005D7710" w:rsidRPr="001D2764" w:rsidRDefault="05FE66B3" w:rsidP="05FE66B3">
      <w:pPr>
        <w:pStyle w:val="ListParagraph"/>
        <w:numPr>
          <w:ilvl w:val="0"/>
          <w:numId w:val="9"/>
        </w:numPr>
        <w:jc w:val="both"/>
        <w:rPr>
          <w:sz w:val="20"/>
          <w:szCs w:val="20"/>
          <w:lang w:val="en-US"/>
        </w:rPr>
      </w:pPr>
      <w:r w:rsidRPr="05FE66B3">
        <w:rPr>
          <w:sz w:val="20"/>
          <w:szCs w:val="20"/>
          <w:lang w:val="en-US"/>
        </w:rPr>
        <w:t xml:space="preserve">the PDCCH candidate index within the search space set </w:t>
      </w:r>
      <w:r w:rsidRPr="05FE66B3">
        <w:rPr>
          <w:i/>
          <w:iCs/>
          <w:sz w:val="20"/>
          <w:szCs w:val="20"/>
          <w:lang w:val="en-US"/>
        </w:rPr>
        <w:t>s</w:t>
      </w:r>
      <w:r w:rsidRPr="05FE66B3">
        <w:rPr>
          <w:sz w:val="20"/>
          <w:szCs w:val="20"/>
          <w:lang w:val="en-US"/>
        </w:rPr>
        <w:t xml:space="preserve"> and aggregation level </w:t>
      </w:r>
      <w:r w:rsidRPr="05FE66B3">
        <w:rPr>
          <w:i/>
          <w:iCs/>
          <w:sz w:val="20"/>
          <w:szCs w:val="20"/>
          <w:lang w:val="en-US"/>
        </w:rPr>
        <w:t>L</w:t>
      </w:r>
      <w:r w:rsidRPr="05FE66B3">
        <w:rPr>
          <w:sz w:val="20"/>
          <w:szCs w:val="20"/>
          <w:lang w:val="en-US"/>
        </w:rPr>
        <w:t xml:space="preserve">. PDCCH candidates can be indexed according to the index </w:t>
      </w:r>
      <w:r w:rsidRPr="05FE66B3">
        <w:rPr>
          <w:i/>
          <w:iCs/>
          <w:sz w:val="20"/>
          <w:szCs w:val="20"/>
          <w:lang w:val="en-US"/>
        </w:rPr>
        <w:t>m</w:t>
      </w:r>
      <w:r w:rsidRPr="05FE66B3">
        <w:rPr>
          <w:sz w:val="20"/>
          <w:szCs w:val="20"/>
          <w:lang w:val="en-US"/>
        </w:rPr>
        <w:t xml:space="preserve"> defined by the hashing function.</w:t>
      </w:r>
    </w:p>
    <w:p w14:paraId="1196D963" w14:textId="2179716D" w:rsidR="005D7710" w:rsidRDefault="05FE66B3" w:rsidP="05FE66B3">
      <w:pPr>
        <w:pStyle w:val="ListParagraph"/>
        <w:numPr>
          <w:ilvl w:val="0"/>
          <w:numId w:val="9"/>
        </w:numPr>
        <w:jc w:val="both"/>
        <w:rPr>
          <w:sz w:val="20"/>
          <w:szCs w:val="20"/>
          <w:lang w:val="en-US"/>
        </w:rPr>
      </w:pPr>
      <w:r w:rsidRPr="05FE66B3">
        <w:rPr>
          <w:sz w:val="20"/>
          <w:szCs w:val="20"/>
          <w:lang w:val="en-US"/>
        </w:rPr>
        <w:t>the total number PDCCH candidates within the search space set and aggregation level.</w:t>
      </w:r>
    </w:p>
    <w:p w14:paraId="631E633C" w14:textId="77777777" w:rsidR="005D7710" w:rsidRDefault="005D7710" w:rsidP="005D7710">
      <w:pPr>
        <w:spacing w:after="0"/>
        <w:jc w:val="both"/>
        <w:rPr>
          <w:lang w:val="en-US"/>
        </w:rPr>
      </w:pPr>
    </w:p>
    <w:p w14:paraId="1FD1E9F3" w14:textId="77777777" w:rsidR="005D7710" w:rsidRDefault="005D7710" w:rsidP="05FE66B3">
      <w:pPr>
        <w:jc w:val="both"/>
        <w:rPr>
          <w:rFonts w:cs="Arial"/>
          <w:i/>
          <w:iCs/>
          <w:lang w:val="en-US"/>
        </w:rPr>
      </w:pPr>
      <w:r>
        <w:rPr>
          <w:lang w:val="en-US"/>
        </w:rPr>
        <w:t>We propose that the priority number</w:t>
      </w:r>
      <w:r>
        <w:t xml:space="preserve">, denoted </w:t>
      </w:r>
      <w:r w:rsidRPr="001D2764">
        <w:t xml:space="preserve">as </w:t>
      </w:r>
      <m:oMath>
        <m:sSub>
          <m:sSubPr>
            <m:ctrlPr>
              <w:rPr>
                <w:rFonts w:ascii="Cambria Math" w:hAnsi="Cambria Math" w:cs="Arial"/>
                <w:b/>
                <w:i/>
                <w:vertAlign w:val="subscript"/>
                <w:lang w:val="en-US"/>
              </w:rPr>
            </m:ctrlPr>
          </m:sSubPr>
          <m:e>
            <m:r>
              <m:rPr>
                <m:sty m:val="bi"/>
              </m:rPr>
              <w:rPr>
                <w:rFonts w:ascii="Cambria Math" w:hAnsi="Cambria Math" w:cs="Arial"/>
                <w:vertAlign w:val="subscript"/>
                <w:lang w:val="en-US"/>
              </w:rPr>
              <m:t>ρ</m:t>
            </m:r>
          </m:e>
          <m:sub>
            <m:r>
              <m:rPr>
                <m:sty m:val="bi"/>
              </m:rPr>
              <w:rPr>
                <w:rFonts w:ascii="Cambria Math" w:hAnsi="Cambria Math" w:cs="Arial"/>
                <w:vertAlign w:val="subscript"/>
                <w:lang w:val="en-US"/>
              </w:rPr>
              <m:t>BD</m:t>
            </m:r>
          </m:sub>
        </m:sSub>
      </m:oMath>
      <w:r w:rsidRPr="05FE66B3">
        <w:rPr>
          <w:rFonts w:cs="Arial"/>
          <w:i/>
          <w:iCs/>
          <w:lang w:val="en-US"/>
        </w:rPr>
        <w:t xml:space="preserve">, </w:t>
      </w:r>
      <w:r w:rsidRPr="001D2764">
        <w:rPr>
          <w:rFonts w:cs="Arial"/>
          <w:lang w:val="en-US"/>
        </w:rPr>
        <w:t>is</w:t>
      </w:r>
      <w:r>
        <w:rPr>
          <w:rFonts w:cs="Arial"/>
          <w:lang w:val="en-US"/>
        </w:rPr>
        <w:t xml:space="preserve"> defined as</w:t>
      </w:r>
      <w:r w:rsidRPr="05FE66B3">
        <w:rPr>
          <w:rFonts w:cs="Arial"/>
          <w:i/>
          <w:iCs/>
          <w:lang w:val="en-US"/>
        </w:rPr>
        <w:t xml:space="preserve"> </w:t>
      </w:r>
    </w:p>
    <w:p w14:paraId="5308D5B6" w14:textId="77777777" w:rsidR="005D7710" w:rsidRPr="00464B56" w:rsidRDefault="0037594D" w:rsidP="05FE66B3">
      <w:pPr>
        <w:jc w:val="center"/>
        <w:rPr>
          <w:sz w:val="32"/>
          <w:szCs w:val="32"/>
          <w:lang w:val="en-US"/>
        </w:rPr>
      </w:pPr>
      <m:oMath>
        <m:sSub>
          <m:sSubPr>
            <m:ctrlPr>
              <w:rPr>
                <w:rFonts w:ascii="Cambria Math" w:hAnsi="Cambria Math" w:cs="Arial"/>
                <w:i/>
                <w:sz w:val="32"/>
                <w:szCs w:val="32"/>
                <w:lang w:val="en-US"/>
              </w:rPr>
            </m:ctrlPr>
          </m:sSubPr>
          <m:e>
            <m:r>
              <w:rPr>
                <w:rFonts w:ascii="Cambria Math" w:hAnsi="Cambria Math" w:cs="Arial"/>
                <w:sz w:val="32"/>
                <w:szCs w:val="32"/>
                <w:lang w:val="en-US"/>
              </w:rPr>
              <m:t>ρ</m:t>
            </m:r>
          </m:e>
          <m:sub>
            <m:r>
              <w:rPr>
                <w:rFonts w:ascii="Cambria Math" w:hAnsi="Cambria Math" w:cs="Arial"/>
                <w:sz w:val="32"/>
                <w:szCs w:val="32"/>
                <w:vertAlign w:val="subscript"/>
                <w:lang w:val="en-US"/>
              </w:rPr>
              <m:t>BD</m:t>
            </m:r>
          </m:sub>
        </m:sSub>
        <m:r>
          <m:rPr>
            <m:sty m:val="p"/>
          </m:rPr>
          <w:rPr>
            <w:rFonts w:ascii="Cambria Math" w:hAnsi="Cambria Math" w:cs="Arial"/>
            <w:sz w:val="32"/>
            <w:szCs w:val="32"/>
            <w:lang w:val="en-US"/>
          </w:rPr>
          <m:t xml:space="preserve"> </m:t>
        </m:r>
        <m:r>
          <w:rPr>
            <w:rFonts w:ascii="Cambria Math" w:hAnsi="Cambria Math" w:cs="Arial"/>
            <w:sz w:val="32"/>
            <w:szCs w:val="32"/>
            <w:lang w:val="en-US"/>
          </w:rPr>
          <m:t xml:space="preserve">(s,L,m)= </m:t>
        </m:r>
        <m:f>
          <m:fPr>
            <m:ctrlPr>
              <w:rPr>
                <w:rFonts w:ascii="Cambria Math" w:hAnsi="Cambria Math" w:cs="Arial"/>
                <w:i/>
                <w:sz w:val="32"/>
                <w:szCs w:val="32"/>
              </w:rPr>
            </m:ctrlPr>
          </m:fPr>
          <m:num>
            <m:r>
              <w:rPr>
                <w:rFonts w:ascii="Cambria Math" w:hAnsi="Cambria Math" w:cs="Cambria Math"/>
                <w:sz w:val="32"/>
                <w:szCs w:val="32"/>
                <w:lang w:val="en-US"/>
              </w:rPr>
              <m:t>m</m:t>
            </m:r>
          </m:num>
          <m:den>
            <m:sSubSup>
              <m:sSubSupPr>
                <m:ctrlPr>
                  <w:rPr>
                    <w:rFonts w:ascii="Cambria Math" w:hAnsi="Cambria Math" w:cs="Cambria Math"/>
                    <w:i/>
                    <w:sz w:val="32"/>
                    <w:szCs w:val="32"/>
                    <w:lang w:val="en-US"/>
                  </w:rPr>
                </m:ctrlPr>
              </m:sSubSupPr>
              <m:e>
                <m:r>
                  <m:rPr>
                    <m:sty m:val="p"/>
                  </m:rPr>
                  <w:rPr>
                    <w:rFonts w:ascii="Cambria Math" w:hAnsi="Cambria Math"/>
                    <w:sz w:val="32"/>
                    <w:szCs w:val="32"/>
                  </w:rPr>
                  <m:t>M</m:t>
                </m:r>
                <m:ctrlPr>
                  <w:rPr>
                    <w:rFonts w:ascii="Cambria Math" w:hAnsi="Cambria Math"/>
                    <w:sz w:val="32"/>
                    <w:szCs w:val="32"/>
                  </w:rPr>
                </m:ctrlPr>
              </m:e>
              <m:sub>
                <m:r>
                  <w:rPr>
                    <w:rFonts w:ascii="Cambria Math" w:hAnsi="Cambria Math"/>
                    <w:sz w:val="32"/>
                    <w:szCs w:val="32"/>
                  </w:rPr>
                  <m:t>s</m:t>
                </m:r>
                <m:ctrlPr>
                  <w:rPr>
                    <w:rFonts w:ascii="Cambria Math" w:hAnsi="Cambria Math"/>
                    <w:sz w:val="32"/>
                    <w:szCs w:val="32"/>
                  </w:rPr>
                </m:ctrlPr>
              </m:sub>
              <m:sup>
                <m:r>
                  <w:rPr>
                    <w:rFonts w:ascii="Cambria Math" w:hAnsi="Cambria Math"/>
                    <w:sz w:val="32"/>
                    <w:szCs w:val="32"/>
                  </w:rPr>
                  <m:t>(L)</m:t>
                </m:r>
              </m:sup>
            </m:sSubSup>
          </m:den>
        </m:f>
        <m:r>
          <w:rPr>
            <w:rFonts w:ascii="Cambria Math" w:hAnsi="Cambria Math" w:cs="Arial"/>
            <w:sz w:val="32"/>
            <w:szCs w:val="32"/>
            <w:lang w:val="en-US"/>
          </w:rPr>
          <m:t xml:space="preserve"> </m:t>
        </m:r>
      </m:oMath>
      <w:r w:rsidR="005D7710" w:rsidRPr="00464B56">
        <w:rPr>
          <w:rFonts w:cs="Arial"/>
          <w:sz w:val="32"/>
          <w:szCs w:val="32"/>
          <w:lang w:val="en-US"/>
        </w:rPr>
        <w:t>.</w:t>
      </w:r>
    </w:p>
    <w:p w14:paraId="14FB7712" w14:textId="77777777" w:rsidR="005D7710" w:rsidRPr="00797CE1" w:rsidRDefault="005D7710" w:rsidP="05FE66B3">
      <w:pPr>
        <w:pStyle w:val="NormalWeb"/>
        <w:numPr>
          <w:ilvl w:val="0"/>
          <w:numId w:val="11"/>
        </w:numPr>
        <w:spacing w:before="0" w:beforeAutospacing="0" w:after="0" w:afterAutospacing="0"/>
        <w:rPr>
          <w:i/>
          <w:iCs/>
          <w:sz w:val="20"/>
          <w:szCs w:val="20"/>
        </w:rPr>
      </w:pPr>
      <m:oMath>
        <m:r>
          <w:rPr>
            <w:rFonts w:ascii="Cambria Math" w:hAnsi="Cambria Math"/>
            <w:sz w:val="22"/>
          </w:rPr>
          <m:t>s</m:t>
        </m:r>
      </m:oMath>
      <w:r w:rsidRPr="05FE66B3">
        <w:rPr>
          <w:i/>
          <w:iCs/>
          <w:sz w:val="22"/>
          <w:szCs w:val="22"/>
        </w:rPr>
        <w:t xml:space="preserve"> </w:t>
      </w:r>
      <w:r>
        <w:rPr>
          <w:sz w:val="20"/>
          <w:szCs w:val="20"/>
        </w:rPr>
        <w:t>is the</w:t>
      </w:r>
      <w:r w:rsidRPr="001D2764">
        <w:rPr>
          <w:sz w:val="20"/>
          <w:szCs w:val="20"/>
        </w:rPr>
        <w:t xml:space="preserve"> search space set</w:t>
      </w:r>
      <w:r>
        <w:rPr>
          <w:sz w:val="20"/>
          <w:szCs w:val="20"/>
        </w:rPr>
        <w:t xml:space="preserve"> </w:t>
      </w:r>
      <w:proofErr w:type="gramStart"/>
      <w:r>
        <w:rPr>
          <w:sz w:val="20"/>
          <w:szCs w:val="20"/>
        </w:rPr>
        <w:t>index</w:t>
      </w:r>
      <w:proofErr w:type="gramEnd"/>
    </w:p>
    <w:p w14:paraId="0E1399C0" w14:textId="77777777" w:rsidR="005D7710" w:rsidRPr="00464B56" w:rsidRDefault="05FE66B3" w:rsidP="05FE66B3">
      <w:pPr>
        <w:pStyle w:val="NormalWeb"/>
        <w:numPr>
          <w:ilvl w:val="0"/>
          <w:numId w:val="11"/>
        </w:numPr>
        <w:spacing w:before="0" w:beforeAutospacing="0" w:after="0" w:afterAutospacing="0"/>
        <w:rPr>
          <w:i/>
          <w:iCs/>
          <w:sz w:val="20"/>
          <w:szCs w:val="20"/>
        </w:rPr>
      </w:pPr>
      <w:r w:rsidRPr="05FE66B3">
        <w:rPr>
          <w:i/>
          <w:iCs/>
          <w:sz w:val="20"/>
          <w:szCs w:val="20"/>
        </w:rPr>
        <w:t>L</w:t>
      </w:r>
      <w:r w:rsidRPr="05FE66B3">
        <w:rPr>
          <w:sz w:val="20"/>
          <w:szCs w:val="20"/>
        </w:rPr>
        <w:t xml:space="preserve"> is the aggregation level index, </w:t>
      </w:r>
    </w:p>
    <w:p w14:paraId="20FE14AC" w14:textId="77777777" w:rsidR="005D7710" w:rsidRPr="00797CE1" w:rsidRDefault="005D7710" w:rsidP="05FE66B3">
      <w:pPr>
        <w:pStyle w:val="NormalWeb"/>
        <w:numPr>
          <w:ilvl w:val="0"/>
          <w:numId w:val="11"/>
        </w:numPr>
        <w:spacing w:before="0" w:beforeAutospacing="0" w:after="0" w:afterAutospacing="0"/>
        <w:rPr>
          <w:i/>
          <w:iCs/>
          <w:sz w:val="20"/>
          <w:szCs w:val="20"/>
        </w:rPr>
      </w:pPr>
      <w:r w:rsidRPr="00637DAE">
        <w:rPr>
          <w:position w:val="-12"/>
          <w:sz w:val="20"/>
          <w:szCs w:val="20"/>
        </w:rPr>
        <w:object w:dxaOrig="540" w:dyaOrig="380" w14:anchorId="3031B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9.2pt" o:ole="">
            <v:imagedata r:id="rId13" o:title=""/>
          </v:shape>
          <o:OLEObject Type="Embed" ProgID="Equation.3" ShapeID="_x0000_i1025" DrawAspect="Content" ObjectID="_1577286814" r:id="rId14"/>
        </w:object>
      </w:r>
      <w:r w:rsidRPr="00464B56">
        <w:rPr>
          <w:sz w:val="20"/>
          <w:szCs w:val="20"/>
        </w:rPr>
        <w:t>number of PDCCH candidates</w:t>
      </w:r>
    </w:p>
    <w:p w14:paraId="4E6BCD9F" w14:textId="43F72A46" w:rsidR="005D7710" w:rsidRPr="00DD7AC6" w:rsidRDefault="05FE66B3" w:rsidP="05FE66B3">
      <w:pPr>
        <w:pStyle w:val="ListParagraph"/>
        <w:numPr>
          <w:ilvl w:val="0"/>
          <w:numId w:val="11"/>
        </w:numPr>
        <w:jc w:val="both"/>
        <w:rPr>
          <w:sz w:val="20"/>
          <w:szCs w:val="20"/>
          <w:lang w:val="en-US"/>
        </w:rPr>
      </w:pPr>
      <w:r w:rsidRPr="05FE66B3">
        <w:rPr>
          <w:i/>
          <w:iCs/>
          <w:sz w:val="20"/>
          <w:szCs w:val="20"/>
          <w:lang w:val="en-US"/>
        </w:rPr>
        <w:t xml:space="preserve">m </w:t>
      </w:r>
      <w:r w:rsidRPr="05FE66B3">
        <w:rPr>
          <w:sz w:val="20"/>
          <w:szCs w:val="20"/>
          <w:lang w:val="en-US"/>
        </w:rPr>
        <w:t>is the index of the PDCCH candidate</w:t>
      </w:r>
      <w:r w:rsidR="00D145A6">
        <w:rPr>
          <w:sz w:val="20"/>
          <w:szCs w:val="20"/>
          <w:lang w:val="en-US"/>
        </w:rPr>
        <w:t>.</w:t>
      </w:r>
    </w:p>
    <w:p w14:paraId="18BC1D03" w14:textId="77777777" w:rsidR="005D7710" w:rsidRDefault="005D7710" w:rsidP="005D7710">
      <w:pPr>
        <w:spacing w:after="0"/>
        <w:jc w:val="both"/>
      </w:pPr>
    </w:p>
    <w:p w14:paraId="03B1C42D" w14:textId="72B5FD91" w:rsidR="005D7710" w:rsidRPr="001D2764" w:rsidRDefault="05FE66B3" w:rsidP="005D7710">
      <w:pPr>
        <w:spacing w:after="0"/>
        <w:jc w:val="both"/>
      </w:pPr>
      <w:r>
        <w:t>To define the rules for BD reduction, we denote:</w:t>
      </w:r>
    </w:p>
    <w:p w14:paraId="55BF9BC8" w14:textId="77777777" w:rsidR="005D7710" w:rsidRPr="002D420B" w:rsidRDefault="05FE66B3" w:rsidP="05FE66B3">
      <w:pPr>
        <w:pStyle w:val="ListParagraph"/>
        <w:numPr>
          <w:ilvl w:val="0"/>
          <w:numId w:val="9"/>
        </w:numPr>
        <w:jc w:val="both"/>
        <w:rPr>
          <w:sz w:val="20"/>
          <w:szCs w:val="20"/>
          <w:lang w:val="en-US"/>
        </w:rPr>
      </w:pPr>
      <w:r w:rsidRPr="05FE66B3">
        <w:rPr>
          <w:i/>
          <w:iCs/>
          <w:sz w:val="20"/>
          <w:szCs w:val="20"/>
          <w:lang w:val="en-US"/>
        </w:rPr>
        <w:t>R</w:t>
      </w:r>
      <w:r w:rsidRPr="05FE66B3">
        <w:rPr>
          <w:sz w:val="20"/>
          <w:szCs w:val="20"/>
          <w:lang w:val="en-US"/>
        </w:rPr>
        <w:t xml:space="preserve"> is the required number of PDCCH BDs per slot</w:t>
      </w:r>
    </w:p>
    <w:p w14:paraId="32C832A8" w14:textId="77777777" w:rsidR="005D7710" w:rsidRPr="002D420B" w:rsidRDefault="05FE66B3" w:rsidP="05FE66B3">
      <w:pPr>
        <w:pStyle w:val="ListParagraph"/>
        <w:numPr>
          <w:ilvl w:val="0"/>
          <w:numId w:val="9"/>
        </w:numPr>
        <w:jc w:val="both"/>
        <w:rPr>
          <w:sz w:val="20"/>
          <w:szCs w:val="20"/>
          <w:lang w:val="en-US"/>
        </w:rPr>
      </w:pPr>
      <w:r w:rsidRPr="05FE66B3">
        <w:rPr>
          <w:i/>
          <w:iCs/>
          <w:sz w:val="20"/>
          <w:szCs w:val="20"/>
          <w:lang w:val="en-US"/>
        </w:rPr>
        <w:t>N</w:t>
      </w:r>
      <w:r w:rsidRPr="05FE66B3">
        <w:rPr>
          <w:sz w:val="20"/>
          <w:szCs w:val="20"/>
          <w:lang w:val="en-US"/>
        </w:rPr>
        <w:t xml:space="preserve"> is the maximum number of PDCCH BDs per slot supported by UE.</w:t>
      </w:r>
    </w:p>
    <w:p w14:paraId="454C1931" w14:textId="77777777" w:rsidR="005D7710" w:rsidRPr="001D2764" w:rsidRDefault="05FE66B3" w:rsidP="005D7710">
      <w:pPr>
        <w:spacing w:after="0"/>
        <w:jc w:val="both"/>
      </w:pPr>
      <w:r>
        <w:t xml:space="preserve">There is a need for BD reduction (dropping) when R&gt;N for a certain slot </w:t>
      </w:r>
    </w:p>
    <w:p w14:paraId="136F558E" w14:textId="0AFFF628" w:rsidR="005D7710" w:rsidRPr="002D420B" w:rsidRDefault="05FE66B3" w:rsidP="05FE66B3">
      <w:pPr>
        <w:pStyle w:val="ListParagraph"/>
        <w:numPr>
          <w:ilvl w:val="0"/>
          <w:numId w:val="9"/>
        </w:numPr>
        <w:rPr>
          <w:sz w:val="20"/>
          <w:szCs w:val="20"/>
          <w:lang w:val="en-US"/>
        </w:rPr>
      </w:pPr>
      <w:r w:rsidRPr="05FE66B3">
        <w:rPr>
          <w:i/>
          <w:iCs/>
          <w:sz w:val="20"/>
          <w:szCs w:val="20"/>
          <w:lang w:val="en-US"/>
        </w:rPr>
        <w:t>K’</w:t>
      </w:r>
      <w:r w:rsidRPr="05FE66B3">
        <w:rPr>
          <w:sz w:val="20"/>
          <w:szCs w:val="20"/>
          <w:lang w:val="en-US"/>
        </w:rPr>
        <w:t xml:space="preserve"> PDCCH candidates corresponding to K BD from one or more search space sets are dropped, </w:t>
      </w:r>
      <w:r w:rsidRPr="05FE66B3">
        <w:rPr>
          <w:i/>
          <w:iCs/>
          <w:sz w:val="20"/>
          <w:szCs w:val="20"/>
          <w:lang w:val="en-US"/>
        </w:rPr>
        <w:t>K=R-N</w:t>
      </w:r>
    </w:p>
    <w:p w14:paraId="3131D984" w14:textId="687705CA" w:rsidR="005D7710" w:rsidRPr="002D420B" w:rsidRDefault="005D7710" w:rsidP="05FE66B3">
      <w:pPr>
        <w:pStyle w:val="ListParagraph"/>
        <w:numPr>
          <w:ilvl w:val="0"/>
          <w:numId w:val="9"/>
        </w:numPr>
        <w:jc w:val="both"/>
        <w:rPr>
          <w:sz w:val="20"/>
          <w:szCs w:val="20"/>
          <w:lang w:val="en-US"/>
        </w:rPr>
      </w:pPr>
      <w:r w:rsidRPr="05FE66B3">
        <w:rPr>
          <w:i/>
          <w:iCs/>
          <w:sz w:val="20"/>
          <w:szCs w:val="20"/>
          <w:lang w:val="en-US"/>
        </w:rPr>
        <w:t>K</w:t>
      </w:r>
      <w:r w:rsidR="0039201F" w:rsidRPr="05FE66B3">
        <w:rPr>
          <w:i/>
          <w:iCs/>
          <w:sz w:val="20"/>
          <w:szCs w:val="20"/>
          <w:lang w:val="en-US"/>
        </w:rPr>
        <w:t>’</w:t>
      </w:r>
      <w:r w:rsidRPr="002D420B">
        <w:rPr>
          <w:sz w:val="20"/>
          <w:szCs w:val="20"/>
          <w:lang w:val="en-US"/>
        </w:rPr>
        <w:t xml:space="preserve"> </w:t>
      </w:r>
      <w:r w:rsidR="0039201F">
        <w:rPr>
          <w:sz w:val="20"/>
          <w:szCs w:val="20"/>
          <w:lang w:val="en-US"/>
        </w:rPr>
        <w:t>PDCCH</w:t>
      </w:r>
      <w:r w:rsidRPr="002D420B">
        <w:rPr>
          <w:sz w:val="20"/>
          <w:szCs w:val="20"/>
          <w:lang w:val="en-US"/>
        </w:rPr>
        <w:t xml:space="preserve"> candidates to be dropped are defined according to the smallest </w:t>
      </w:r>
      <m:oMath>
        <m:sSub>
          <m:sSubPr>
            <m:ctrlPr>
              <w:rPr>
                <w:rFonts w:ascii="Cambria Math" w:hAnsi="Cambria Math" w:cs="Arial"/>
                <w:i/>
                <w:sz w:val="20"/>
                <w:szCs w:val="20"/>
              </w:rPr>
            </m:ctrlPr>
          </m:sSubPr>
          <m:e>
            <m:r>
              <w:rPr>
                <w:rFonts w:ascii="Cambria Math" w:hAnsi="Cambria Math" w:cs="Arial"/>
                <w:sz w:val="20"/>
                <w:szCs w:val="20"/>
              </w:rPr>
              <m:t>ρ</m:t>
            </m:r>
          </m:e>
          <m:sub>
            <m:r>
              <w:rPr>
                <w:rFonts w:ascii="Cambria Math" w:hAnsi="Cambria Math" w:cs="Arial"/>
                <w:sz w:val="20"/>
                <w:szCs w:val="20"/>
                <w:vertAlign w:val="subscript"/>
              </w:rPr>
              <m:t>BD</m:t>
            </m:r>
          </m:sub>
        </m:sSub>
        <m:r>
          <m:rPr>
            <m:sty m:val="p"/>
          </m:rPr>
          <w:rPr>
            <w:rFonts w:ascii="Cambria Math" w:hAnsi="Cambria Math" w:cs="Arial"/>
            <w:sz w:val="20"/>
            <w:szCs w:val="20"/>
            <w:lang w:val="en-US"/>
          </w:rPr>
          <m:t xml:space="preserve"> </m:t>
        </m:r>
        <m:r>
          <w:rPr>
            <w:rFonts w:ascii="Cambria Math" w:hAnsi="Cambria Math" w:cs="Arial"/>
            <w:sz w:val="20"/>
            <w:szCs w:val="20"/>
            <w:lang w:val="en-US"/>
          </w:rPr>
          <m:t>(</m:t>
        </m:r>
        <m:r>
          <w:rPr>
            <w:rFonts w:ascii="Cambria Math" w:hAnsi="Cambria Math" w:cs="Arial"/>
            <w:sz w:val="20"/>
            <w:szCs w:val="20"/>
          </w:rPr>
          <m:t>s</m:t>
        </m:r>
        <m:r>
          <w:rPr>
            <w:rFonts w:ascii="Cambria Math" w:hAnsi="Cambria Math" w:cs="Arial"/>
            <w:sz w:val="20"/>
            <w:szCs w:val="20"/>
            <w:lang w:val="en-US"/>
          </w:rPr>
          <m:t>,</m:t>
        </m:r>
        <m:r>
          <w:rPr>
            <w:rFonts w:ascii="Cambria Math" w:hAnsi="Cambria Math" w:cs="Arial"/>
            <w:sz w:val="20"/>
            <w:szCs w:val="20"/>
          </w:rPr>
          <m:t>L</m:t>
        </m:r>
        <m:r>
          <w:rPr>
            <w:rFonts w:ascii="Cambria Math" w:hAnsi="Cambria Math" w:cs="Arial"/>
            <w:sz w:val="20"/>
            <w:szCs w:val="20"/>
            <w:lang w:val="en-US"/>
          </w:rPr>
          <m:t>,</m:t>
        </m:r>
        <m:r>
          <w:rPr>
            <w:rFonts w:ascii="Cambria Math" w:hAnsi="Cambria Math" w:cs="Arial"/>
            <w:sz w:val="20"/>
            <w:szCs w:val="20"/>
          </w:rPr>
          <m:t>m</m:t>
        </m:r>
        <m:r>
          <w:rPr>
            <w:rFonts w:ascii="Cambria Math" w:hAnsi="Cambria Math" w:cs="Arial"/>
            <w:sz w:val="20"/>
            <w:szCs w:val="20"/>
            <w:lang w:val="en-US"/>
          </w:rPr>
          <m:t>)</m:t>
        </m:r>
      </m:oMath>
      <w:r w:rsidRPr="05FE66B3">
        <w:rPr>
          <w:rFonts w:cs="Arial"/>
          <w:sz w:val="20"/>
          <w:szCs w:val="20"/>
          <w:lang w:val="en-US"/>
        </w:rPr>
        <w:t xml:space="preserve"> </w:t>
      </w:r>
      <w:r w:rsidRPr="002D420B">
        <w:rPr>
          <w:sz w:val="20"/>
          <w:szCs w:val="20"/>
          <w:lang w:val="en-US"/>
        </w:rPr>
        <w:t>within all the involved search space sets subject to BD dropping.</w:t>
      </w:r>
    </w:p>
    <w:p w14:paraId="607267E1" w14:textId="075BCE98" w:rsidR="005D7710" w:rsidRDefault="05FE66B3" w:rsidP="05FE66B3">
      <w:pPr>
        <w:pStyle w:val="ListParagraph"/>
        <w:numPr>
          <w:ilvl w:val="0"/>
          <w:numId w:val="9"/>
        </w:numPr>
        <w:jc w:val="both"/>
        <w:rPr>
          <w:sz w:val="20"/>
          <w:szCs w:val="20"/>
          <w:lang w:val="en-US"/>
        </w:rPr>
      </w:pPr>
      <w:r w:rsidRPr="05FE66B3">
        <w:rPr>
          <w:sz w:val="20"/>
          <w:szCs w:val="20"/>
          <w:lang w:val="en-US"/>
        </w:rPr>
        <w:t>If multiple PDCCH candidates have the same priority, dropping order is defined according to the predefined priorities, for example:</w:t>
      </w:r>
    </w:p>
    <w:p w14:paraId="20081528" w14:textId="1FB160EA" w:rsidR="005D7710" w:rsidRDefault="05FE66B3" w:rsidP="05FE66B3">
      <w:pPr>
        <w:pStyle w:val="ListParagraph"/>
        <w:numPr>
          <w:ilvl w:val="1"/>
          <w:numId w:val="9"/>
        </w:numPr>
        <w:jc w:val="both"/>
        <w:rPr>
          <w:sz w:val="20"/>
          <w:szCs w:val="20"/>
          <w:lang w:val="en-US"/>
        </w:rPr>
      </w:pPr>
      <w:r w:rsidRPr="05FE66B3">
        <w:rPr>
          <w:sz w:val="20"/>
          <w:szCs w:val="20"/>
          <w:lang w:val="en-US"/>
        </w:rPr>
        <w:t xml:space="preserve">PDCCH candidate with a lower AL </w:t>
      </w:r>
      <w:r w:rsidRPr="05FE66B3">
        <w:rPr>
          <w:i/>
          <w:iCs/>
          <w:sz w:val="20"/>
          <w:szCs w:val="20"/>
          <w:lang w:val="en-US"/>
        </w:rPr>
        <w:t>L</w:t>
      </w:r>
      <w:r w:rsidRPr="05FE66B3">
        <w:rPr>
          <w:sz w:val="20"/>
          <w:szCs w:val="20"/>
          <w:lang w:val="en-US"/>
        </w:rPr>
        <w:t xml:space="preserve"> is dropped first</w:t>
      </w:r>
    </w:p>
    <w:p w14:paraId="71206104" w14:textId="3E261DCE" w:rsidR="005D7710" w:rsidRDefault="05FE66B3" w:rsidP="05FE66B3">
      <w:pPr>
        <w:pStyle w:val="ListParagraph"/>
        <w:numPr>
          <w:ilvl w:val="1"/>
          <w:numId w:val="9"/>
        </w:numPr>
        <w:jc w:val="both"/>
        <w:rPr>
          <w:sz w:val="20"/>
          <w:szCs w:val="20"/>
          <w:lang w:val="en-US"/>
        </w:rPr>
      </w:pPr>
      <w:r w:rsidRPr="05FE66B3">
        <w:rPr>
          <w:sz w:val="20"/>
          <w:szCs w:val="20"/>
          <w:lang w:val="en-US"/>
        </w:rPr>
        <w:t xml:space="preserve">PDCCH candidate with a lower search space set priority is dropped first. Search space set priority can be derived implicitly e.g. from search space set ID </w:t>
      </w:r>
      <w:r w:rsidRPr="05FE66B3">
        <w:rPr>
          <w:i/>
          <w:iCs/>
          <w:sz w:val="20"/>
          <w:szCs w:val="20"/>
          <w:lang w:val="en-US"/>
        </w:rPr>
        <w:t>s</w:t>
      </w:r>
      <w:r w:rsidRPr="05FE66B3">
        <w:rPr>
          <w:sz w:val="20"/>
          <w:szCs w:val="20"/>
          <w:lang w:val="en-US"/>
        </w:rPr>
        <w:t>.</w:t>
      </w:r>
    </w:p>
    <w:p w14:paraId="0236CD38" w14:textId="77777777" w:rsidR="005D7710" w:rsidRDefault="005D7710" w:rsidP="005D7710">
      <w:pPr>
        <w:jc w:val="both"/>
        <w:rPr>
          <w:lang w:val="en-US"/>
        </w:rPr>
      </w:pPr>
    </w:p>
    <w:p w14:paraId="0B6B8D14" w14:textId="58328017" w:rsidR="005D7710" w:rsidRPr="00381FB0" w:rsidRDefault="05FE66B3" w:rsidP="05FE66B3">
      <w:pPr>
        <w:jc w:val="both"/>
        <w:rPr>
          <w:lang w:val="en-US"/>
        </w:rPr>
      </w:pPr>
      <w:r w:rsidRPr="05FE66B3">
        <w:rPr>
          <w:lang w:val="en-US"/>
        </w:rPr>
        <w:t>It can be noted that the proposed BD reduction operates in such</w:t>
      </w:r>
      <w:r w:rsidR="003670F8">
        <w:rPr>
          <w:lang w:val="en-US"/>
        </w:rPr>
        <w:t xml:space="preserve"> a manner</w:t>
      </w:r>
      <w:r w:rsidRPr="05FE66B3">
        <w:rPr>
          <w:lang w:val="en-US"/>
        </w:rPr>
        <w:t xml:space="preserve"> that it reduces PDCCH candidates from different aggregation levels and search space sets quite evenly. Furthermore, it allows pre-calculation of the number of PDCCH candidates to be dropped in advance. Finally, it does not require any additional RRC signaling (on top of the existing one).</w:t>
      </w:r>
    </w:p>
    <w:p w14:paraId="380FE06E" w14:textId="0BD845F9" w:rsidR="005D7710" w:rsidRDefault="05FE66B3" w:rsidP="05FE66B3">
      <w:pPr>
        <w:pStyle w:val="NormalWeb"/>
        <w:spacing w:before="0" w:beforeAutospacing="0" w:after="0" w:afterAutospacing="0"/>
        <w:rPr>
          <w:i/>
          <w:iCs/>
          <w:sz w:val="22"/>
          <w:szCs w:val="22"/>
        </w:rPr>
      </w:pPr>
      <w:r w:rsidRPr="05FE66B3">
        <w:rPr>
          <w:b/>
          <w:bCs/>
          <w:i/>
          <w:iCs/>
          <w:sz w:val="22"/>
          <w:szCs w:val="22"/>
        </w:rPr>
        <w:t>Proposal #2:</w:t>
      </w:r>
      <w:r w:rsidRPr="05FE66B3">
        <w:rPr>
          <w:i/>
          <w:iCs/>
          <w:sz w:val="22"/>
          <w:szCs w:val="22"/>
        </w:rPr>
        <w:t xml:space="preserve"> BD dropping in a serving cell is based on the predefined rules and it should not introduce additional RRC signaling.</w:t>
      </w:r>
    </w:p>
    <w:p w14:paraId="5421B437" w14:textId="77777777" w:rsidR="005D7710" w:rsidRDefault="005D7710" w:rsidP="005D7710">
      <w:pPr>
        <w:pStyle w:val="NormalWeb"/>
        <w:spacing w:before="0" w:beforeAutospacing="0" w:after="0" w:afterAutospacing="0"/>
        <w:rPr>
          <w:i/>
          <w:sz w:val="22"/>
        </w:rPr>
      </w:pPr>
    </w:p>
    <w:p w14:paraId="2C0B91DA" w14:textId="5D1C7485" w:rsidR="005D7710" w:rsidRDefault="05FE66B3" w:rsidP="05FE66B3">
      <w:pPr>
        <w:pStyle w:val="NormalWeb"/>
        <w:spacing w:before="0" w:beforeAutospacing="0" w:after="0" w:afterAutospacing="0"/>
        <w:rPr>
          <w:i/>
          <w:iCs/>
          <w:sz w:val="22"/>
          <w:szCs w:val="22"/>
        </w:rPr>
      </w:pPr>
      <w:r w:rsidRPr="05FE66B3">
        <w:rPr>
          <w:b/>
          <w:bCs/>
          <w:i/>
          <w:iCs/>
          <w:sz w:val="22"/>
          <w:szCs w:val="22"/>
        </w:rPr>
        <w:t>Proposal #3:</w:t>
      </w:r>
      <w:r w:rsidRPr="05FE66B3">
        <w:rPr>
          <w:i/>
          <w:iCs/>
          <w:sz w:val="22"/>
          <w:szCs w:val="22"/>
        </w:rPr>
        <w:t xml:space="preserve"> BD dropping in a serving cell is applied only for UE-specific search space sets</w:t>
      </w:r>
    </w:p>
    <w:p w14:paraId="52E712F0" w14:textId="77777777" w:rsidR="005D7710" w:rsidRDefault="005D7710" w:rsidP="005D7710">
      <w:pPr>
        <w:pStyle w:val="NormalWeb"/>
        <w:spacing w:before="0" w:beforeAutospacing="0" w:after="0" w:afterAutospacing="0"/>
        <w:rPr>
          <w:i/>
          <w:sz w:val="22"/>
        </w:rPr>
      </w:pPr>
    </w:p>
    <w:p w14:paraId="05CE6A9E" w14:textId="7CF9FF74" w:rsidR="005D7710" w:rsidRPr="00464B56" w:rsidRDefault="005D7710" w:rsidP="05FE66B3">
      <w:pPr>
        <w:rPr>
          <w:sz w:val="32"/>
          <w:szCs w:val="32"/>
          <w:lang w:val="en-US"/>
        </w:rPr>
      </w:pPr>
      <w:r w:rsidRPr="05FE66B3">
        <w:rPr>
          <w:b/>
          <w:bCs/>
          <w:i/>
          <w:iCs/>
          <w:sz w:val="22"/>
          <w:szCs w:val="22"/>
        </w:rPr>
        <w:t>Proposal #</w:t>
      </w:r>
      <w:r w:rsidR="007236F8" w:rsidRPr="05FE66B3">
        <w:rPr>
          <w:b/>
          <w:bCs/>
          <w:i/>
          <w:iCs/>
          <w:sz w:val="22"/>
          <w:szCs w:val="22"/>
        </w:rPr>
        <w:t>4</w:t>
      </w:r>
      <w:r w:rsidRPr="05FE66B3">
        <w:rPr>
          <w:b/>
          <w:bCs/>
          <w:i/>
          <w:iCs/>
          <w:sz w:val="22"/>
          <w:szCs w:val="22"/>
        </w:rPr>
        <w:t>:</w:t>
      </w:r>
      <w:r w:rsidRPr="05FE66B3">
        <w:rPr>
          <w:i/>
          <w:iCs/>
          <w:sz w:val="22"/>
          <w:szCs w:val="22"/>
        </w:rPr>
        <w:t xml:space="preserve"> BD dropping</w:t>
      </w:r>
      <w:r w:rsidR="007236F8" w:rsidRPr="05FE66B3">
        <w:rPr>
          <w:i/>
          <w:iCs/>
          <w:sz w:val="22"/>
          <w:szCs w:val="22"/>
        </w:rPr>
        <w:t xml:space="preserve"> in a serving cell</w:t>
      </w:r>
      <w:r w:rsidRPr="05FE66B3">
        <w:rPr>
          <w:i/>
          <w:iCs/>
          <w:sz w:val="22"/>
          <w:szCs w:val="22"/>
        </w:rPr>
        <w:t xml:space="preserve"> is based on predef</w:t>
      </w:r>
      <w:r w:rsidR="00303FA9" w:rsidRPr="05FE66B3">
        <w:rPr>
          <w:i/>
          <w:iCs/>
          <w:sz w:val="22"/>
          <w:szCs w:val="22"/>
        </w:rPr>
        <w:t xml:space="preserve">ined BD priority number </w:t>
      </w:r>
      <w:bookmarkStart w:id="1" w:name="_Hlk503280436"/>
      <m:oMath>
        <m:sSub>
          <m:sSubPr>
            <m:ctrlPr>
              <w:rPr>
                <w:rFonts w:ascii="Cambria Math" w:hAnsi="Cambria Math" w:cs="Arial"/>
                <w:i/>
                <w:lang w:val="en-US"/>
              </w:rPr>
            </m:ctrlPr>
          </m:sSubPr>
          <m:e>
            <m:r>
              <w:rPr>
                <w:rFonts w:ascii="Cambria Math" w:hAnsi="Cambria Math" w:cs="Arial"/>
                <w:lang w:val="en-US"/>
              </w:rPr>
              <m:t>ρ</m:t>
            </m:r>
          </m:e>
          <m:sub>
            <m:r>
              <w:rPr>
                <w:rFonts w:ascii="Cambria Math" w:hAnsi="Cambria Math" w:cs="Arial"/>
                <w:vertAlign w:val="subscript"/>
                <w:lang w:val="en-US"/>
              </w:rPr>
              <m:t>BD</m:t>
            </m:r>
          </m:sub>
        </m:sSub>
        <m:r>
          <m:rPr>
            <m:sty m:val="p"/>
          </m:rPr>
          <w:rPr>
            <w:rFonts w:ascii="Cambria Math" w:hAnsi="Cambria Math" w:cs="Arial"/>
            <w:lang w:val="en-US"/>
          </w:rPr>
          <m:t xml:space="preserve"> </m:t>
        </m:r>
        <m:r>
          <w:rPr>
            <w:rFonts w:ascii="Cambria Math" w:hAnsi="Cambria Math" w:cs="Arial"/>
            <w:lang w:val="en-US"/>
          </w:rPr>
          <m:t>(s,L,m)=</m:t>
        </m:r>
        <m:r>
          <w:rPr>
            <w:rFonts w:ascii="Cambria Math" w:hAnsi="Cambria Math" w:cs="Cambria Math"/>
            <w:lang w:val="en-US"/>
          </w:rPr>
          <m:t>m/</m:t>
        </m:r>
        <m:sSubSup>
          <m:sSubSupPr>
            <m:ctrlPr>
              <w:rPr>
                <w:rFonts w:ascii="Cambria Math" w:hAnsi="Cambria Math" w:cs="Cambria Math"/>
                <w:i/>
                <w:lang w:val="en-US"/>
              </w:rPr>
            </m:ctrlPr>
          </m:sSubSupPr>
          <m:e>
            <m:r>
              <m:rPr>
                <m:sty m:val="p"/>
              </m:rPr>
              <w:rPr>
                <w:rFonts w:ascii="Cambria Math" w:hAnsi="Cambria Math"/>
              </w:rPr>
              <m:t>M</m:t>
            </m:r>
            <m:ctrlPr>
              <w:rPr>
                <w:rFonts w:ascii="Cambria Math" w:hAnsi="Cambria Math"/>
              </w:rPr>
            </m:ctrlPr>
          </m:e>
          <m:sub>
            <m:r>
              <w:rPr>
                <w:rFonts w:ascii="Cambria Math" w:hAnsi="Cambria Math"/>
              </w:rPr>
              <m:t>s</m:t>
            </m:r>
            <m:ctrlPr>
              <w:rPr>
                <w:rFonts w:ascii="Cambria Math" w:hAnsi="Cambria Math"/>
              </w:rPr>
            </m:ctrlPr>
          </m:sub>
          <m:sup>
            <m:r>
              <w:rPr>
                <w:rFonts w:ascii="Cambria Math" w:hAnsi="Cambria Math"/>
              </w:rPr>
              <m:t>(L)</m:t>
            </m:r>
          </m:sup>
        </m:sSubSup>
      </m:oMath>
      <w:bookmarkEnd w:id="1"/>
      <w:r w:rsidR="004711DE" w:rsidRPr="05FE66B3">
        <w:rPr>
          <w:i/>
          <w:iCs/>
          <w:lang w:val="en-US"/>
        </w:rPr>
        <w:t>.</w:t>
      </w:r>
    </w:p>
    <w:p w14:paraId="5ADCD250" w14:textId="77777777" w:rsidR="005D7710" w:rsidRDefault="005D7710" w:rsidP="005D7710">
      <w:pPr>
        <w:pStyle w:val="ListParagraph"/>
        <w:ind w:left="1440"/>
        <w:jc w:val="both"/>
        <w:rPr>
          <w:sz w:val="20"/>
          <w:szCs w:val="20"/>
          <w:lang w:val="en-US"/>
        </w:rPr>
      </w:pPr>
    </w:p>
    <w:p w14:paraId="647D39A0" w14:textId="07EF8772" w:rsidR="005D7710" w:rsidRPr="003670F8" w:rsidRDefault="005D7710" w:rsidP="05FE66B3">
      <w:pPr>
        <w:pStyle w:val="NormalWeb"/>
        <w:spacing w:before="0" w:beforeAutospacing="0" w:after="0" w:afterAutospacing="0"/>
        <w:rPr>
          <w:sz w:val="22"/>
          <w:szCs w:val="22"/>
        </w:rPr>
      </w:pPr>
      <w:r w:rsidRPr="003670F8">
        <w:rPr>
          <w:b/>
          <w:bCs/>
          <w:i/>
          <w:iCs/>
          <w:sz w:val="22"/>
          <w:szCs w:val="22"/>
        </w:rPr>
        <w:t>Proposal #</w:t>
      </w:r>
      <w:r w:rsidR="007236F8" w:rsidRPr="003670F8">
        <w:rPr>
          <w:b/>
          <w:bCs/>
          <w:i/>
          <w:iCs/>
          <w:sz w:val="22"/>
          <w:szCs w:val="22"/>
        </w:rPr>
        <w:t>5</w:t>
      </w:r>
      <w:r w:rsidRPr="003670F8">
        <w:rPr>
          <w:b/>
          <w:bCs/>
          <w:i/>
          <w:iCs/>
          <w:sz w:val="22"/>
          <w:szCs w:val="22"/>
        </w:rPr>
        <w:t>:</w:t>
      </w:r>
      <w:r w:rsidRPr="003670F8">
        <w:rPr>
          <w:i/>
          <w:iCs/>
          <w:sz w:val="22"/>
          <w:szCs w:val="22"/>
        </w:rPr>
        <w:t xml:space="preserve"> When there is a need for BD dropping in </w:t>
      </w:r>
      <w:r w:rsidR="007236F8" w:rsidRPr="003670F8">
        <w:rPr>
          <w:i/>
          <w:iCs/>
          <w:sz w:val="22"/>
          <w:szCs w:val="22"/>
        </w:rPr>
        <w:t>a</w:t>
      </w:r>
      <w:r w:rsidRPr="003670F8">
        <w:rPr>
          <w:i/>
          <w:iCs/>
          <w:sz w:val="22"/>
          <w:szCs w:val="22"/>
        </w:rPr>
        <w:t xml:space="preserve"> slot, </w:t>
      </w:r>
      <w:r w:rsidR="00303FA9" w:rsidRPr="003670F8">
        <w:rPr>
          <w:i/>
          <w:iCs/>
          <w:sz w:val="22"/>
          <w:szCs w:val="22"/>
        </w:rPr>
        <w:t>PDCCH</w:t>
      </w:r>
      <w:r w:rsidRPr="003670F8">
        <w:rPr>
          <w:i/>
          <w:iCs/>
          <w:sz w:val="22"/>
          <w:szCs w:val="22"/>
        </w:rPr>
        <w:t xml:space="preserve"> candidates to be dropped are defined according to the </w:t>
      </w:r>
      <w:bookmarkStart w:id="2" w:name="_Hlk503280241"/>
      <w:r w:rsidRPr="003670F8">
        <w:rPr>
          <w:i/>
          <w:iCs/>
          <w:sz w:val="22"/>
          <w:szCs w:val="22"/>
        </w:rPr>
        <w:t xml:space="preserve">smallest </w:t>
      </w:r>
      <m:oMath>
        <m:sSub>
          <m:sSubPr>
            <m:ctrlPr>
              <w:rPr>
                <w:rFonts w:ascii="Cambria Math" w:hAnsi="Cambria Math"/>
                <w:i/>
                <w:sz w:val="22"/>
                <w:szCs w:val="22"/>
              </w:rPr>
            </m:ctrlPr>
          </m:sSubPr>
          <m:e>
            <m:r>
              <w:rPr>
                <w:rFonts w:ascii="Cambria Math" w:hAnsi="Cambria Math"/>
                <w:sz w:val="22"/>
                <w:szCs w:val="22"/>
              </w:rPr>
              <m:t>ρ</m:t>
            </m:r>
          </m:e>
          <m:sub>
            <m:r>
              <w:rPr>
                <w:rFonts w:ascii="Cambria Math" w:hAnsi="Cambria Math"/>
                <w:sz w:val="22"/>
                <w:szCs w:val="22"/>
                <w:vertAlign w:val="subscript"/>
              </w:rPr>
              <m:t>BD</m:t>
            </m:r>
          </m:sub>
        </m:sSub>
        <m:r>
          <m:rPr>
            <m:sty m:val="p"/>
          </m:rPr>
          <w:rPr>
            <w:rFonts w:ascii="Cambria Math" w:hAnsi="Cambria Math"/>
            <w:sz w:val="22"/>
            <w:szCs w:val="22"/>
          </w:rPr>
          <m:t xml:space="preserve"> </m:t>
        </m:r>
        <m:r>
          <w:rPr>
            <w:rFonts w:ascii="Cambria Math" w:hAnsi="Cambria Math"/>
            <w:sz w:val="22"/>
            <w:szCs w:val="22"/>
          </w:rPr>
          <m:t>(s,L,m)</m:t>
        </m:r>
      </m:oMath>
      <w:bookmarkEnd w:id="2"/>
      <w:r w:rsidRPr="003670F8">
        <w:rPr>
          <w:i/>
          <w:iCs/>
          <w:sz w:val="22"/>
          <w:szCs w:val="22"/>
        </w:rPr>
        <w:t xml:space="preserve"> within all the involved search space sets subject to BD dropping. If multiple </w:t>
      </w:r>
      <w:r w:rsidR="007373DA" w:rsidRPr="003670F8">
        <w:rPr>
          <w:i/>
          <w:iCs/>
          <w:sz w:val="22"/>
          <w:szCs w:val="22"/>
        </w:rPr>
        <w:t>PDCCH</w:t>
      </w:r>
      <w:r w:rsidRPr="003670F8">
        <w:rPr>
          <w:i/>
          <w:iCs/>
          <w:sz w:val="22"/>
          <w:szCs w:val="22"/>
        </w:rPr>
        <w:t xml:space="preserve"> candidates have the same priority, dropping order is defined according to the predefined priorities:</w:t>
      </w:r>
    </w:p>
    <w:p w14:paraId="3318A4EA" w14:textId="0ECBA0C6" w:rsidR="005D7710" w:rsidRPr="003670F8" w:rsidRDefault="05FE66B3" w:rsidP="05FE66B3">
      <w:pPr>
        <w:pStyle w:val="ListParagraph"/>
        <w:numPr>
          <w:ilvl w:val="0"/>
          <w:numId w:val="9"/>
        </w:numPr>
        <w:jc w:val="both"/>
        <w:rPr>
          <w:i/>
          <w:iCs/>
          <w:sz w:val="22"/>
          <w:szCs w:val="22"/>
          <w:lang w:val="en-US"/>
        </w:rPr>
      </w:pPr>
      <w:r w:rsidRPr="003670F8">
        <w:rPr>
          <w:i/>
          <w:iCs/>
          <w:sz w:val="22"/>
          <w:szCs w:val="22"/>
          <w:lang w:val="en-US"/>
        </w:rPr>
        <w:t>PDCCH candidate with a lowest AL L is dropped first</w:t>
      </w:r>
    </w:p>
    <w:p w14:paraId="537B6D2A" w14:textId="655107C2" w:rsidR="005D7710" w:rsidRPr="003670F8" w:rsidRDefault="05FE66B3" w:rsidP="05FE66B3">
      <w:pPr>
        <w:pStyle w:val="ListParagraph"/>
        <w:numPr>
          <w:ilvl w:val="0"/>
          <w:numId w:val="9"/>
        </w:numPr>
        <w:jc w:val="both"/>
        <w:rPr>
          <w:i/>
          <w:iCs/>
          <w:sz w:val="22"/>
          <w:szCs w:val="22"/>
          <w:lang w:val="en-US"/>
        </w:rPr>
      </w:pPr>
      <w:r w:rsidRPr="003670F8">
        <w:rPr>
          <w:i/>
          <w:iCs/>
          <w:sz w:val="22"/>
          <w:szCs w:val="22"/>
          <w:lang w:val="en-US"/>
        </w:rPr>
        <w:lastRenderedPageBreak/>
        <w:t>PDCCH candidate with a lowest search space set priority is dropped first. Search space set priority is derived implicitly from the search space set ID s.</w:t>
      </w:r>
    </w:p>
    <w:p w14:paraId="4117BB06" w14:textId="77777777" w:rsidR="005D7710" w:rsidRPr="00797CE1" w:rsidRDefault="005D7710" w:rsidP="005D7710">
      <w:pPr>
        <w:spacing w:after="0"/>
        <w:jc w:val="both"/>
        <w:rPr>
          <w:lang w:val="en-US"/>
        </w:rPr>
      </w:pPr>
    </w:p>
    <w:p w14:paraId="466EBC0E" w14:textId="77777777" w:rsidR="005D7710" w:rsidRDefault="005D7710" w:rsidP="005D7710"/>
    <w:p w14:paraId="21314DFD" w14:textId="77777777" w:rsidR="005D7710" w:rsidRDefault="005D7710" w:rsidP="005D7710">
      <w:pPr>
        <w:jc w:val="both"/>
        <w:rPr>
          <w:u w:val="single"/>
        </w:rPr>
      </w:pPr>
    </w:p>
    <w:p w14:paraId="7B89A1C6" w14:textId="77777777" w:rsidR="005D7710" w:rsidRPr="001D2764" w:rsidRDefault="05FE66B3" w:rsidP="005D7710">
      <w:pPr>
        <w:pStyle w:val="Heading3"/>
      </w:pPr>
      <w:r>
        <w:t xml:space="preserve">CCE reduction due to limited channel estimation capability </w:t>
      </w:r>
    </w:p>
    <w:p w14:paraId="6A1011FA" w14:textId="77777777" w:rsidR="005D7710" w:rsidRPr="00267A2F" w:rsidRDefault="05FE66B3" w:rsidP="05FE66B3">
      <w:pPr>
        <w:spacing w:after="0"/>
        <w:rPr>
          <w:lang w:val="en-US"/>
        </w:rPr>
      </w:pPr>
      <w:r w:rsidRPr="05FE66B3">
        <w:rPr>
          <w:lang w:val="en-US"/>
        </w:rPr>
        <w:t>There are three candidate solutions identified in RAN1#91 to manage the UE channel estimation complexity issue:</w:t>
      </w:r>
      <w:r>
        <w:t xml:space="preserve"> </w:t>
      </w:r>
    </w:p>
    <w:p w14:paraId="058E9724" w14:textId="77777777" w:rsidR="005D7710" w:rsidRPr="0091773A" w:rsidRDefault="05FE66B3" w:rsidP="05FE66B3">
      <w:pPr>
        <w:pStyle w:val="ListParagraph"/>
        <w:numPr>
          <w:ilvl w:val="0"/>
          <w:numId w:val="5"/>
        </w:numPr>
        <w:rPr>
          <w:i/>
          <w:iCs/>
          <w:sz w:val="20"/>
          <w:szCs w:val="20"/>
          <w:lang w:val="en-US"/>
        </w:rPr>
      </w:pPr>
      <w:r w:rsidRPr="05FE66B3">
        <w:rPr>
          <w:i/>
          <w:iCs/>
          <w:sz w:val="20"/>
          <w:szCs w:val="20"/>
          <w:lang w:val="en-US"/>
        </w:rPr>
        <w:t>Opt.1: Define the limits of “the number of CCEs for PDCCH channel estimation which refers to the union of the sets of CCEs for PDCCH candidates</w:t>
      </w:r>
    </w:p>
    <w:p w14:paraId="4A48E218" w14:textId="77777777" w:rsidR="005D7710" w:rsidRPr="0091773A" w:rsidRDefault="05FE66B3" w:rsidP="05FE66B3">
      <w:pPr>
        <w:numPr>
          <w:ilvl w:val="0"/>
          <w:numId w:val="5"/>
        </w:numPr>
        <w:overflowPunct/>
        <w:autoSpaceDE/>
        <w:autoSpaceDN/>
        <w:adjustRightInd/>
        <w:spacing w:after="0"/>
        <w:textAlignment w:val="auto"/>
        <w:rPr>
          <w:i/>
          <w:iCs/>
          <w:lang w:val="en-US"/>
        </w:rPr>
      </w:pPr>
      <w:r w:rsidRPr="05FE66B3">
        <w:rPr>
          <w:i/>
          <w:iCs/>
          <w:lang w:val="en-US"/>
        </w:rPr>
        <w:t>Opt.2: Modify the hashing function</w:t>
      </w:r>
    </w:p>
    <w:p w14:paraId="69169E63" w14:textId="77777777" w:rsidR="005D7710" w:rsidRDefault="05FE66B3" w:rsidP="05FE66B3">
      <w:pPr>
        <w:numPr>
          <w:ilvl w:val="0"/>
          <w:numId w:val="5"/>
        </w:numPr>
        <w:overflowPunct/>
        <w:autoSpaceDE/>
        <w:autoSpaceDN/>
        <w:adjustRightInd/>
        <w:spacing w:after="0"/>
        <w:textAlignment w:val="auto"/>
        <w:rPr>
          <w:i/>
          <w:iCs/>
          <w:lang w:val="en-US"/>
        </w:rPr>
      </w:pPr>
      <w:r w:rsidRPr="05FE66B3">
        <w:rPr>
          <w:i/>
          <w:iCs/>
          <w:lang w:val="en-US"/>
        </w:rPr>
        <w:t>Opt.3: Increase the size of the precoder granularity</w:t>
      </w:r>
    </w:p>
    <w:p w14:paraId="23C73CD8" w14:textId="77777777" w:rsidR="005D7710" w:rsidRPr="0091773A" w:rsidRDefault="005D7710" w:rsidP="005D7710">
      <w:pPr>
        <w:overflowPunct/>
        <w:autoSpaceDE/>
        <w:autoSpaceDN/>
        <w:adjustRightInd/>
        <w:spacing w:after="0"/>
        <w:ind w:left="720"/>
        <w:textAlignment w:val="auto"/>
        <w:rPr>
          <w:i/>
          <w:szCs w:val="16"/>
          <w:lang w:val="en-US" w:eastAsia="x-none"/>
        </w:rPr>
      </w:pPr>
    </w:p>
    <w:p w14:paraId="203D42A7" w14:textId="09F4A2E0" w:rsidR="005D7710" w:rsidRDefault="05FE66B3" w:rsidP="005D7710">
      <w:r>
        <w:t>In the following we consider CCE reduction based on Opt.1. The simplest approach for limiting the number of CCEs for PDCCH channel estimation might be to have a common solution for both BD reduction and CCE reduction. We also think that CCE reduction should operate with full PDCCH candidates. In other words, if at least one CCE of a PDCCH candidate is dropped then all the CCEs of the same PDCCH candidate become dropped.</w:t>
      </w:r>
    </w:p>
    <w:p w14:paraId="6932D243" w14:textId="5AE517CF" w:rsidR="005D7710" w:rsidRDefault="05FE66B3" w:rsidP="05FE66B3">
      <w:pPr>
        <w:rPr>
          <w:i/>
          <w:iCs/>
          <w:sz w:val="22"/>
          <w:szCs w:val="22"/>
          <w:lang w:val="en-US"/>
        </w:rPr>
      </w:pPr>
      <w:r w:rsidRPr="05FE66B3">
        <w:rPr>
          <w:b/>
          <w:bCs/>
          <w:i/>
          <w:iCs/>
          <w:sz w:val="22"/>
          <w:szCs w:val="22"/>
          <w:lang w:val="en-US"/>
        </w:rPr>
        <w:t>Proposal #</w:t>
      </w:r>
      <w:r w:rsidR="0078091F">
        <w:rPr>
          <w:b/>
          <w:bCs/>
          <w:i/>
          <w:iCs/>
          <w:sz w:val="22"/>
          <w:szCs w:val="22"/>
          <w:lang w:val="en-US"/>
        </w:rPr>
        <w:t>6</w:t>
      </w:r>
      <w:r w:rsidRPr="05FE66B3">
        <w:rPr>
          <w:b/>
          <w:bCs/>
          <w:i/>
          <w:iCs/>
          <w:sz w:val="22"/>
          <w:szCs w:val="22"/>
          <w:lang w:val="en-US"/>
        </w:rPr>
        <w:t>:</w:t>
      </w:r>
      <w:r w:rsidRPr="05FE66B3">
        <w:rPr>
          <w:i/>
          <w:iCs/>
          <w:sz w:val="22"/>
          <w:szCs w:val="22"/>
          <w:lang w:val="en-US"/>
        </w:rPr>
        <w:t xml:space="preserve"> If CCE reduction scheme is defined according to Opt1, strive for a common solution for BD reduction and CCE reduction.</w:t>
      </w:r>
    </w:p>
    <w:p w14:paraId="5DB94D1F" w14:textId="77777777" w:rsidR="005D7710" w:rsidRDefault="005D7710" w:rsidP="005D7710">
      <w:pPr>
        <w:spacing w:after="0"/>
      </w:pPr>
    </w:p>
    <w:p w14:paraId="28D096F9" w14:textId="15258F79" w:rsidR="005D7710" w:rsidRPr="001D2764" w:rsidRDefault="005D7710" w:rsidP="005D7710">
      <w:pPr>
        <w:spacing w:after="0"/>
      </w:pPr>
      <w:r>
        <w:t xml:space="preserve">If there is a need for CCE reduction scheme according to Opt. 1, we propose to make it </w:t>
      </w:r>
      <w:r w:rsidRPr="00AB7CAC">
        <w:t xml:space="preserve">based on </w:t>
      </w:r>
      <w:r>
        <w:t xml:space="preserve">the </w:t>
      </w:r>
      <w:r w:rsidRPr="00AB7CAC">
        <w:t>predefine</w:t>
      </w:r>
      <w:r>
        <w:t>d BD priority number</w:t>
      </w:r>
      <w:r w:rsidRPr="00AB7CAC">
        <w:t xml:space="preserve"> </w:t>
      </w:r>
      <m:oMath>
        <m:sSub>
          <m:sSubPr>
            <m:ctrlPr>
              <w:rPr>
                <w:rFonts w:ascii="Cambria Math" w:hAnsi="Cambria Math" w:cs="Arial"/>
                <w:i/>
                <w:lang w:val="en-US"/>
              </w:rPr>
            </m:ctrlPr>
          </m:sSubPr>
          <m:e>
            <m:r>
              <w:rPr>
                <w:rFonts w:ascii="Cambria Math" w:hAnsi="Cambria Math" w:cs="Arial"/>
                <w:lang w:val="en-US"/>
              </w:rPr>
              <m:t>ρ</m:t>
            </m:r>
          </m:e>
          <m:sub>
            <m:r>
              <w:rPr>
                <w:rFonts w:ascii="Cambria Math" w:hAnsi="Cambria Math" w:cs="Arial"/>
                <w:vertAlign w:val="subscript"/>
                <w:lang w:val="en-US"/>
              </w:rPr>
              <m:t>BD</m:t>
            </m:r>
          </m:sub>
        </m:sSub>
        <m:r>
          <m:rPr>
            <m:sty m:val="p"/>
          </m:rPr>
          <w:rPr>
            <w:rFonts w:ascii="Cambria Math" w:hAnsi="Cambria Math" w:cs="Arial"/>
            <w:lang w:val="en-US"/>
          </w:rPr>
          <m:t xml:space="preserve"> </m:t>
        </m:r>
        <m:r>
          <w:rPr>
            <w:rFonts w:ascii="Cambria Math" w:hAnsi="Cambria Math" w:cs="Arial"/>
            <w:lang w:val="en-US"/>
          </w:rPr>
          <m:t>(s,L,m)</m:t>
        </m:r>
      </m:oMath>
      <w:r w:rsidRPr="05FE66B3">
        <w:rPr>
          <w:i/>
          <w:iCs/>
        </w:rPr>
        <w:t xml:space="preserve"> </w:t>
      </w:r>
      <w:r>
        <w:t xml:space="preserve">defined for </w:t>
      </w:r>
      <w:r w:rsidR="007236F8">
        <w:t xml:space="preserve">PDCCH </w:t>
      </w:r>
      <w:r>
        <w:t>candidate reduction. The main difference between the BD reduction and the CCE reduction is the following:</w:t>
      </w:r>
    </w:p>
    <w:p w14:paraId="653C99D5" w14:textId="77777777" w:rsidR="005D7710" w:rsidRPr="0007716C" w:rsidRDefault="05FE66B3" w:rsidP="05FE66B3">
      <w:pPr>
        <w:pStyle w:val="ListParagraph"/>
        <w:numPr>
          <w:ilvl w:val="0"/>
          <w:numId w:val="9"/>
        </w:numPr>
        <w:jc w:val="both"/>
        <w:rPr>
          <w:sz w:val="20"/>
          <w:szCs w:val="20"/>
          <w:lang w:val="en-US"/>
        </w:rPr>
      </w:pPr>
      <w:r w:rsidRPr="05FE66B3">
        <w:rPr>
          <w:sz w:val="20"/>
          <w:szCs w:val="20"/>
          <w:u w:val="single"/>
          <w:lang w:val="en-US"/>
        </w:rPr>
        <w:t>BD reduction</w:t>
      </w:r>
      <w:r w:rsidRPr="05FE66B3">
        <w:rPr>
          <w:sz w:val="20"/>
          <w:szCs w:val="20"/>
          <w:lang w:val="en-US"/>
        </w:rPr>
        <w:t>: dropping can be done in the search space -specific manner</w:t>
      </w:r>
    </w:p>
    <w:p w14:paraId="60E6763D" w14:textId="77777777" w:rsidR="005D7710" w:rsidRDefault="05FE66B3" w:rsidP="05FE66B3">
      <w:pPr>
        <w:pStyle w:val="ListParagraph"/>
        <w:numPr>
          <w:ilvl w:val="0"/>
          <w:numId w:val="9"/>
        </w:numPr>
        <w:jc w:val="both"/>
        <w:rPr>
          <w:sz w:val="20"/>
          <w:szCs w:val="20"/>
          <w:lang w:val="en-US"/>
        </w:rPr>
      </w:pPr>
      <w:r w:rsidRPr="05FE66B3">
        <w:rPr>
          <w:sz w:val="20"/>
          <w:szCs w:val="20"/>
          <w:u w:val="single"/>
          <w:lang w:val="en-US"/>
        </w:rPr>
        <w:t>CCE reduction:</w:t>
      </w:r>
      <w:r w:rsidRPr="05FE66B3">
        <w:rPr>
          <w:sz w:val="20"/>
          <w:szCs w:val="20"/>
          <w:lang w:val="en-US"/>
        </w:rPr>
        <w:t xml:space="preserve"> dropping is done in the CORESET space -specific manner.</w:t>
      </w:r>
    </w:p>
    <w:p w14:paraId="0452F7A7" w14:textId="77777777" w:rsidR="005D7710" w:rsidRPr="0007716C" w:rsidRDefault="005D7710" w:rsidP="005D7710">
      <w:pPr>
        <w:pStyle w:val="ListParagraph"/>
        <w:jc w:val="both"/>
        <w:rPr>
          <w:sz w:val="20"/>
          <w:szCs w:val="20"/>
          <w:lang w:val="en-US"/>
        </w:rPr>
      </w:pPr>
    </w:p>
    <w:p w14:paraId="7DF36DF2" w14:textId="5CFDC85B" w:rsidR="005D7710" w:rsidRDefault="05FE66B3" w:rsidP="005D7710">
      <w:r>
        <w:t xml:space="preserve">With CCE reduction, if a certain CCE of a CORESET is dropped, this will impact all PDCCH candidates of search space sets of the same CORESET. In other words, if CCE(s) of a selected PDCCH candidate(s) are dropped, all valid candidates which overlap with the PDCCH candidate in at least one CCE are also dropped. This implies that depending on the CCE overlap between different PDCCH candidates within a CORESET, CCE reduction may result different amount of reduction of PDCCH candidates.  </w:t>
      </w:r>
    </w:p>
    <w:p w14:paraId="7ECDEA86" w14:textId="0EFC3C21" w:rsidR="005D7710" w:rsidRDefault="005D7710" w:rsidP="005D7710">
      <w:r>
        <w:t xml:space="preserve">When there is a need to drop one or more CCEs due to the CCE cap, it makes sense to drop </w:t>
      </w:r>
      <w:r w:rsidR="007236F8">
        <w:t xml:space="preserve">PDCCH </w:t>
      </w:r>
      <w:r>
        <w:t xml:space="preserve">candidates sequentially according to the priority number </w:t>
      </w:r>
      <m:oMath>
        <m:sSub>
          <m:sSubPr>
            <m:ctrlPr>
              <w:rPr>
                <w:rFonts w:ascii="Cambria Math" w:hAnsi="Cambria Math" w:cs="Arial"/>
                <w:i/>
                <w:lang w:val="en-US"/>
              </w:rPr>
            </m:ctrlPr>
          </m:sSubPr>
          <m:e>
            <m:r>
              <w:rPr>
                <w:rFonts w:ascii="Cambria Math" w:hAnsi="Cambria Math" w:cs="Arial"/>
                <w:lang w:val="en-US"/>
              </w:rPr>
              <m:t>ρ</m:t>
            </m:r>
          </m:e>
          <m:sub>
            <m:r>
              <w:rPr>
                <w:rFonts w:ascii="Cambria Math" w:hAnsi="Cambria Math" w:cs="Arial"/>
                <w:vertAlign w:val="subscript"/>
                <w:lang w:val="en-US"/>
              </w:rPr>
              <m:t>BD</m:t>
            </m:r>
          </m:sub>
        </m:sSub>
        <m:r>
          <m:rPr>
            <m:sty m:val="p"/>
          </m:rPr>
          <w:rPr>
            <w:rFonts w:ascii="Cambria Math" w:hAnsi="Cambria Math" w:cs="Arial"/>
            <w:lang w:val="en-US"/>
          </w:rPr>
          <m:t xml:space="preserve"> </m:t>
        </m:r>
        <m:r>
          <w:rPr>
            <w:rFonts w:ascii="Cambria Math" w:hAnsi="Cambria Math" w:cs="Arial"/>
            <w:lang w:val="en-US"/>
          </w:rPr>
          <m:t>(s,L,m)</m:t>
        </m:r>
      </m:oMath>
      <w:r w:rsidRPr="05FE66B3">
        <w:rPr>
          <w:i/>
          <w:iCs/>
        </w:rPr>
        <w:t>),</w:t>
      </w:r>
      <w:r w:rsidR="001A3E60" w:rsidRPr="05FE66B3">
        <w:rPr>
          <w:i/>
          <w:iCs/>
        </w:rPr>
        <w:t xml:space="preserve"> </w:t>
      </w:r>
      <w:r>
        <w:t>where dropping is continued until the number of CCEs/slot is within the predefined CCE cap. It is also possible to have a rule where predefined CCEs (such as CCEs belonging to TYPE0</w:t>
      </w:r>
      <w:r w:rsidR="00303FA9">
        <w:t>,</w:t>
      </w:r>
      <w:r>
        <w:t xml:space="preserve"> TYPE0A</w:t>
      </w:r>
      <w:r w:rsidR="00303FA9">
        <w:t>, TYPE1, TYPE2 and/or TYPE3</w:t>
      </w:r>
      <w:r>
        <w:t xml:space="preserve">) are never dropped.  </w:t>
      </w:r>
    </w:p>
    <w:p w14:paraId="3CAB2292" w14:textId="77777777" w:rsidR="005D7710" w:rsidRPr="007236F8" w:rsidRDefault="005D7710" w:rsidP="005D7710">
      <w:pPr>
        <w:spacing w:after="0"/>
        <w:rPr>
          <w:b/>
          <w:i/>
          <w:sz w:val="22"/>
        </w:rPr>
      </w:pPr>
    </w:p>
    <w:p w14:paraId="0C5A19AD" w14:textId="65FD4FE5" w:rsidR="005D7710" w:rsidRPr="00525E27" w:rsidRDefault="05FE66B3" w:rsidP="05FE66B3">
      <w:pPr>
        <w:spacing w:after="0"/>
        <w:rPr>
          <w:i/>
          <w:iCs/>
          <w:lang w:val="en-US"/>
        </w:rPr>
      </w:pPr>
      <w:r w:rsidRPr="05FE66B3">
        <w:rPr>
          <w:b/>
          <w:bCs/>
          <w:i/>
          <w:iCs/>
          <w:sz w:val="22"/>
          <w:szCs w:val="22"/>
          <w:lang w:val="en-US"/>
        </w:rPr>
        <w:t>Proposal #</w:t>
      </w:r>
      <w:r w:rsidR="0078091F">
        <w:rPr>
          <w:b/>
          <w:bCs/>
          <w:i/>
          <w:iCs/>
          <w:sz w:val="22"/>
          <w:szCs w:val="22"/>
          <w:lang w:val="en-US"/>
        </w:rPr>
        <w:t>7</w:t>
      </w:r>
      <w:r w:rsidRPr="05FE66B3">
        <w:rPr>
          <w:b/>
          <w:bCs/>
          <w:i/>
          <w:iCs/>
          <w:sz w:val="22"/>
          <w:szCs w:val="22"/>
          <w:lang w:val="en-US"/>
        </w:rPr>
        <w:t>:</w:t>
      </w:r>
      <w:r w:rsidRPr="05FE66B3">
        <w:rPr>
          <w:i/>
          <w:iCs/>
          <w:sz w:val="22"/>
          <w:szCs w:val="22"/>
          <w:lang w:val="en-US"/>
        </w:rPr>
        <w:t xml:space="preserve"> In the proposed CCE reduction scheme, UE drops one PDCCH candidate after another according to the BD priority number, until the CCE cap is reached. </w:t>
      </w:r>
      <w:r w:rsidRPr="05FE66B3">
        <w:rPr>
          <w:i/>
          <w:iCs/>
          <w:lang w:val="en-US"/>
        </w:rPr>
        <w:t>If CCEs of selected candidate is dropped, also other candidates fully or partially overlapping with the CCE(s) are dropped.  </w:t>
      </w:r>
    </w:p>
    <w:p w14:paraId="7797C521" w14:textId="77777777" w:rsidR="005D7710" w:rsidRDefault="005D7710" w:rsidP="005D7710">
      <w:pPr>
        <w:overflowPunct/>
        <w:autoSpaceDE/>
        <w:autoSpaceDN/>
        <w:adjustRightInd/>
        <w:spacing w:after="0"/>
        <w:ind w:left="720"/>
        <w:textAlignment w:val="auto"/>
        <w:rPr>
          <w:lang w:val="en-US"/>
        </w:rPr>
      </w:pPr>
    </w:p>
    <w:p w14:paraId="1472878A" w14:textId="47CF3B28" w:rsidR="005D7710" w:rsidRPr="00525E27" w:rsidRDefault="05FE66B3" w:rsidP="05FE66B3">
      <w:pPr>
        <w:spacing w:after="0"/>
        <w:rPr>
          <w:i/>
          <w:iCs/>
          <w:lang w:val="en-US"/>
        </w:rPr>
      </w:pPr>
      <w:r w:rsidRPr="05FE66B3">
        <w:rPr>
          <w:b/>
          <w:bCs/>
          <w:i/>
          <w:iCs/>
          <w:sz w:val="22"/>
          <w:szCs w:val="22"/>
          <w:lang w:val="en-US"/>
        </w:rPr>
        <w:t>Proposal #</w:t>
      </w:r>
      <w:r w:rsidR="0078091F">
        <w:rPr>
          <w:b/>
          <w:bCs/>
          <w:i/>
          <w:iCs/>
          <w:sz w:val="22"/>
          <w:szCs w:val="22"/>
          <w:lang w:val="en-US"/>
        </w:rPr>
        <w:t>8</w:t>
      </w:r>
      <w:r w:rsidRPr="05FE66B3">
        <w:rPr>
          <w:b/>
          <w:bCs/>
          <w:i/>
          <w:iCs/>
          <w:sz w:val="22"/>
          <w:szCs w:val="22"/>
          <w:lang w:val="en-US"/>
        </w:rPr>
        <w:t>:</w:t>
      </w:r>
      <w:r w:rsidRPr="05FE66B3">
        <w:rPr>
          <w:i/>
          <w:iCs/>
          <w:sz w:val="22"/>
          <w:szCs w:val="22"/>
          <w:lang w:val="en-US"/>
        </w:rPr>
        <w:t xml:space="preserve"> Consider a rule where predefined CCEs such as CCEs </w:t>
      </w:r>
      <w:r w:rsidRPr="05FE66B3">
        <w:rPr>
          <w:i/>
          <w:iCs/>
        </w:rPr>
        <w:t>belonging to TYPE0 and TYPE0A are never dropped.</w:t>
      </w:r>
    </w:p>
    <w:p w14:paraId="08C6790D" w14:textId="77777777" w:rsidR="005D7710" w:rsidRDefault="005D7710" w:rsidP="005D7710"/>
    <w:p w14:paraId="411E98E0" w14:textId="6ADA5752" w:rsidR="005D7710" w:rsidRPr="001D2764" w:rsidRDefault="05FE66B3" w:rsidP="007236F8">
      <w:pPr>
        <w:pStyle w:val="Heading3"/>
      </w:pPr>
      <w:r>
        <w:t xml:space="preserve">BD reduction and CCE reduction at the same time slot </w:t>
      </w:r>
    </w:p>
    <w:p w14:paraId="4DDBA935" w14:textId="3ED3F408" w:rsidR="005D7710" w:rsidRDefault="05FE66B3" w:rsidP="005D7710">
      <w:r>
        <w:t>It is possible that the need for CCE reduction exists at the same time with the need for BD reduction. It makes sense to perform BD reduction first in this case. If additional CCE reduction is needed after the BD reduction, it can be made with the rules defined for CCE reduction.</w:t>
      </w:r>
    </w:p>
    <w:p w14:paraId="7EF73C4D" w14:textId="69376239" w:rsidR="005D7710" w:rsidRPr="00525E27" w:rsidRDefault="05FE66B3" w:rsidP="05FE66B3">
      <w:pPr>
        <w:spacing w:after="0"/>
        <w:rPr>
          <w:i/>
          <w:iCs/>
          <w:lang w:val="en-US"/>
        </w:rPr>
      </w:pPr>
      <w:r w:rsidRPr="05FE66B3">
        <w:rPr>
          <w:b/>
          <w:bCs/>
          <w:i/>
          <w:iCs/>
          <w:sz w:val="22"/>
          <w:szCs w:val="22"/>
          <w:lang w:val="en-US"/>
        </w:rPr>
        <w:t>Proposal #</w:t>
      </w:r>
      <w:r w:rsidR="0078091F">
        <w:rPr>
          <w:b/>
          <w:bCs/>
          <w:i/>
          <w:iCs/>
          <w:sz w:val="22"/>
          <w:szCs w:val="22"/>
          <w:lang w:val="en-US"/>
        </w:rPr>
        <w:t>9</w:t>
      </w:r>
      <w:r w:rsidRPr="05FE66B3">
        <w:rPr>
          <w:b/>
          <w:bCs/>
          <w:i/>
          <w:iCs/>
          <w:sz w:val="22"/>
          <w:szCs w:val="22"/>
          <w:lang w:val="en-US"/>
        </w:rPr>
        <w:t>:</w:t>
      </w:r>
      <w:r w:rsidRPr="05FE66B3">
        <w:rPr>
          <w:i/>
          <w:iCs/>
          <w:sz w:val="22"/>
          <w:szCs w:val="22"/>
          <w:lang w:val="en-US"/>
        </w:rPr>
        <w:t xml:space="preserve"> In the cases when the need for CCE reduction exists at the same time with the need for BD reduction, perform BD reduction first</w:t>
      </w:r>
      <w:r w:rsidRPr="05FE66B3">
        <w:rPr>
          <w:i/>
          <w:iCs/>
        </w:rPr>
        <w:t>.</w:t>
      </w:r>
    </w:p>
    <w:p w14:paraId="6DD1654F" w14:textId="3E583ABE" w:rsidR="005D7710" w:rsidRDefault="005D7710" w:rsidP="005D7710">
      <w:pPr>
        <w:rPr>
          <w:lang w:val="en-US"/>
        </w:rPr>
      </w:pPr>
    </w:p>
    <w:p w14:paraId="59D26310" w14:textId="1131B160" w:rsidR="008B54C9" w:rsidRPr="0080315D" w:rsidRDefault="05FE66B3" w:rsidP="05FE66B3">
      <w:pPr>
        <w:rPr>
          <w:b/>
          <w:bCs/>
          <w:sz w:val="24"/>
          <w:szCs w:val="24"/>
          <w:lang w:val="en-US"/>
        </w:rPr>
      </w:pPr>
      <w:r w:rsidRPr="05FE66B3">
        <w:rPr>
          <w:b/>
          <w:bCs/>
          <w:sz w:val="24"/>
          <w:szCs w:val="24"/>
          <w:lang w:val="en-US"/>
        </w:rPr>
        <w:t xml:space="preserve">38.213 Text proposal </w:t>
      </w:r>
    </w:p>
    <w:tbl>
      <w:tblPr>
        <w:tblStyle w:val="TableGrid"/>
        <w:tblW w:w="0" w:type="auto"/>
        <w:tblLook w:val="04A0" w:firstRow="1" w:lastRow="0" w:firstColumn="1" w:lastColumn="0" w:noHBand="0" w:noVBand="1"/>
      </w:tblPr>
      <w:tblGrid>
        <w:gridCol w:w="9629"/>
      </w:tblGrid>
      <w:tr w:rsidR="0080315D" w14:paraId="2D571DF7" w14:textId="77777777" w:rsidTr="05FE66B3">
        <w:tc>
          <w:tcPr>
            <w:tcW w:w="9629" w:type="dxa"/>
          </w:tcPr>
          <w:p w14:paraId="74CDB56A" w14:textId="77777777" w:rsidR="0080315D" w:rsidRPr="00B916EC" w:rsidRDefault="05FE66B3" w:rsidP="0080315D">
            <w:pPr>
              <w:tabs>
                <w:tab w:val="left" w:pos="720"/>
              </w:tabs>
            </w:pPr>
            <w:r>
              <w:lastRenderedPageBreak/>
              <w:t xml:space="preserve">For each </w:t>
            </w:r>
            <w:r w:rsidRPr="05FE66B3">
              <w:rPr>
                <w:strike/>
                <w:color w:val="C00000"/>
              </w:rPr>
              <w:t>serving cell</w:t>
            </w:r>
            <w:r w:rsidRPr="05FE66B3">
              <w:rPr>
                <w:color w:val="C00000"/>
              </w:rPr>
              <w:t xml:space="preserve"> DL BWP</w:t>
            </w:r>
            <w:r>
              <w:t xml:space="preserve"> that a UE is configured to monitor PDCCH in a search space other than Type0-PDCCH common search space, the UE is configured the following:</w:t>
            </w:r>
          </w:p>
          <w:p w14:paraId="12B59939" w14:textId="77777777" w:rsidR="0080315D" w:rsidRPr="00B916EC" w:rsidRDefault="0080315D" w:rsidP="0080315D">
            <w:pPr>
              <w:pStyle w:val="B1"/>
            </w:pPr>
            <w:r>
              <w:t>-</w:t>
            </w:r>
            <w:r>
              <w:tab/>
            </w:r>
            <w:r w:rsidRPr="00B916EC">
              <w:t>a number</w:t>
            </w:r>
            <w:r>
              <w:rPr>
                <w:lang w:val="en-US"/>
              </w:rPr>
              <w:t xml:space="preserve"> </w:t>
            </w:r>
            <w:r w:rsidRPr="05FE66B3">
              <w:rPr>
                <w:i/>
                <w:iCs/>
                <w:color w:val="C00000"/>
                <w:lang w:val="en-US"/>
              </w:rPr>
              <w:t>S</w:t>
            </w:r>
            <w:r w:rsidRPr="00B916EC">
              <w:t xml:space="preserve"> of search space sets by higher layer parameter </w:t>
            </w:r>
            <w:r w:rsidRPr="05FE66B3">
              <w:rPr>
                <w:i/>
                <w:iCs/>
              </w:rPr>
              <w:t>search-space-config</w:t>
            </w:r>
            <w:r w:rsidRPr="05FE66B3">
              <w:rPr>
                <w:i/>
                <w:iCs/>
                <w:lang w:val="en-US"/>
              </w:rPr>
              <w:t xml:space="preserve">, </w:t>
            </w:r>
            <w:r w:rsidRPr="00E36F36">
              <w:rPr>
                <w:color w:val="C00000"/>
                <w:lang w:val="en-US"/>
              </w:rPr>
              <w:t xml:space="preserve">where </w:t>
            </w:r>
            <w:r w:rsidRPr="00E36F36">
              <w:rPr>
                <w:color w:val="C00000"/>
                <w:position w:val="-6"/>
              </w:rPr>
              <w:object w:dxaOrig="940" w:dyaOrig="279" w14:anchorId="3180EEDD">
                <v:shape id="_x0000_i1026" type="#_x0000_t75" style="width:46.2pt;height:13.8pt" o:ole="">
                  <v:imagedata r:id="rId15" o:title=""/>
                </v:shape>
                <o:OLEObject Type="Embed" ProgID="Equation.3" ShapeID="_x0000_i1026" DrawAspect="Content" ObjectID="_1577286815" r:id="rId16"/>
              </w:object>
            </w:r>
            <w:r>
              <w:rPr>
                <w:lang w:val="en-US"/>
              </w:rPr>
              <w:t xml:space="preserve"> </w:t>
            </w:r>
            <w:r w:rsidRPr="00B916EC">
              <w:t xml:space="preserve">; </w:t>
            </w:r>
          </w:p>
          <w:p w14:paraId="5BC3E0F8" w14:textId="77777777" w:rsidR="0080315D" w:rsidRPr="00B916EC" w:rsidRDefault="0080315D" w:rsidP="0080315D">
            <w:pPr>
              <w:pStyle w:val="B1"/>
            </w:pPr>
            <w:r>
              <w:t>-</w:t>
            </w:r>
            <w:r>
              <w:tab/>
            </w:r>
            <w:r w:rsidRPr="00B916EC">
              <w:t>for each search space set</w:t>
            </w:r>
            <w:r w:rsidRPr="00E554B0">
              <w:rPr>
                <w:color w:val="C00000"/>
                <w:lang w:val="en-US"/>
              </w:rPr>
              <w:t xml:space="preserve"> </w:t>
            </w:r>
            <w:r w:rsidRPr="05FE66B3">
              <w:rPr>
                <w:i/>
                <w:iCs/>
                <w:color w:val="C00000"/>
                <w:lang w:val="en-US"/>
              </w:rPr>
              <w:t>s</w:t>
            </w:r>
            <w:r w:rsidRPr="00B916EC">
              <w:t xml:space="preserve"> </w:t>
            </w:r>
            <w:r w:rsidRPr="00E554B0">
              <w:rPr>
                <w:strike/>
                <w:color w:val="C00000"/>
              </w:rPr>
              <w:t xml:space="preserve">in a control resource set </w:t>
            </w:r>
            <w:r w:rsidRPr="00E554B0">
              <w:rPr>
                <w:strike/>
                <w:color w:val="C00000"/>
                <w:position w:val="-10"/>
              </w:rPr>
              <w:object w:dxaOrig="200" w:dyaOrig="240" w14:anchorId="3A586D27">
                <v:shape id="_x0000_i1027" type="#_x0000_t75" style="width:10.2pt;height:12pt" o:ole="">
                  <v:imagedata r:id="rId17" o:title=""/>
                </v:shape>
                <o:OLEObject Type="Embed" ProgID="Equation.3" ShapeID="_x0000_i1027" DrawAspect="Content" ObjectID="_1577286816" r:id="rId18"/>
              </w:object>
            </w:r>
            <w:r w:rsidRPr="00E554B0">
              <w:rPr>
                <w:strike/>
                <w:color w:val="C00000"/>
              </w:rPr>
              <w:t xml:space="preserve"> </w:t>
            </w:r>
          </w:p>
          <w:p w14:paraId="049A6BF4" w14:textId="77777777" w:rsidR="0080315D" w:rsidRDefault="0080315D" w:rsidP="0080315D">
            <w:pPr>
              <w:pStyle w:val="B2"/>
            </w:pPr>
            <w:r>
              <w:t>-</w:t>
            </w:r>
            <w:r w:rsidRPr="00E554B0">
              <w:rPr>
                <w:color w:val="C00000"/>
                <w:lang w:val="en-US"/>
              </w:rPr>
              <w:t xml:space="preserve"> </w:t>
            </w:r>
            <w:r w:rsidRPr="00E554B0">
              <w:rPr>
                <w:color w:val="C00000"/>
                <w:lang w:val="en-US"/>
              </w:rPr>
              <w:tab/>
              <w:t xml:space="preserve">association to control resource set </w:t>
            </w:r>
            <w:r w:rsidRPr="05FE66B3">
              <w:rPr>
                <w:i/>
                <w:iCs/>
                <w:color w:val="C00000"/>
                <w:lang w:val="en-US"/>
              </w:rPr>
              <w:t>p,</w:t>
            </w:r>
            <w:r w:rsidRPr="00E554B0">
              <w:rPr>
                <w:color w:val="C00000"/>
                <w:lang w:val="en-US"/>
              </w:rPr>
              <w:t xml:space="preserve"> set by higher layer parameter </w:t>
            </w:r>
            <w:proofErr w:type="spellStart"/>
            <w:r w:rsidRPr="05FE66B3">
              <w:rPr>
                <w:i/>
                <w:iCs/>
                <w:color w:val="C00000"/>
              </w:rPr>
              <w:t>controlResourceSetId</w:t>
            </w:r>
            <w:proofErr w:type="spellEnd"/>
            <w:r>
              <w:tab/>
            </w:r>
          </w:p>
          <w:p w14:paraId="332C2BA9" w14:textId="77777777" w:rsidR="0080315D" w:rsidRPr="00B916EC" w:rsidRDefault="0080315D" w:rsidP="0080315D">
            <w:pPr>
              <w:pStyle w:val="B2"/>
            </w:pPr>
            <w:r>
              <w:rPr>
                <w:lang w:val="en-US"/>
              </w:rPr>
              <w:t>-</w:t>
            </w:r>
            <w:r>
              <w:rPr>
                <w:lang w:val="en-US"/>
              </w:rPr>
              <w:tab/>
            </w:r>
            <w:r w:rsidRPr="00B916EC">
              <w:t xml:space="preserve">an indication that the search space set is a common search space set or a UE-specific search space set by higher layer parameter </w:t>
            </w:r>
            <w:r w:rsidRPr="05FE66B3">
              <w:rPr>
                <w:i/>
                <w:iCs/>
              </w:rPr>
              <w:t>Common-search-space-flag</w:t>
            </w:r>
            <w:r w:rsidRPr="00B916EC">
              <w:t xml:space="preserve">; </w:t>
            </w:r>
          </w:p>
          <w:p w14:paraId="4093B8D4" w14:textId="77777777" w:rsidR="0080315D" w:rsidRPr="00B916EC" w:rsidRDefault="0080315D" w:rsidP="0080315D">
            <w:pPr>
              <w:pStyle w:val="B2"/>
            </w:pPr>
            <w:r>
              <w:t>-</w:t>
            </w:r>
            <w:r>
              <w:tab/>
            </w:r>
            <w:proofErr w:type="gramStart"/>
            <w:r w:rsidRPr="00B916EC">
              <w:t>a number of</w:t>
            </w:r>
            <w:proofErr w:type="gramEnd"/>
            <w:r w:rsidRPr="00B916EC">
              <w:t xml:space="preserve"> PDCCH candidates </w:t>
            </w:r>
            <w:r w:rsidRPr="00B916EC">
              <w:rPr>
                <w:position w:val="-12"/>
              </w:rPr>
              <w:object w:dxaOrig="540" w:dyaOrig="380" w14:anchorId="6D6034FA">
                <v:shape id="_x0000_i1028" type="#_x0000_t75" style="width:27pt;height:19.2pt" o:ole="">
                  <v:imagedata r:id="rId19" o:title=""/>
                </v:shape>
                <o:OLEObject Type="Embed" ProgID="Equation.3" ShapeID="_x0000_i1028" DrawAspect="Content" ObjectID="_1577286817" r:id="rId20"/>
              </w:object>
            </w:r>
            <w:r w:rsidRPr="00B916EC">
              <w:t xml:space="preserve"> </w:t>
            </w:r>
            <w:r w:rsidRPr="05FE66B3">
              <w:rPr>
                <w:rFonts w:eastAsia="Yu Mincho"/>
                <w:lang w:val="en-US" w:eastAsia="ja-JP"/>
              </w:rPr>
              <w:t xml:space="preserve">per CCE aggregation level </w:t>
            </w:r>
            <w:r w:rsidRPr="00B916EC">
              <w:rPr>
                <w:position w:val="-4"/>
              </w:rPr>
              <w:object w:dxaOrig="200" w:dyaOrig="220" w14:anchorId="1EDD436C">
                <v:shape id="_x0000_i1029" type="#_x0000_t75" style="width:9.6pt;height:10.8pt" o:ole="">
                  <v:imagedata r:id="rId21" o:title=""/>
                </v:shape>
                <o:OLEObject Type="Embed" ProgID="Equation.3" ShapeID="_x0000_i1029" DrawAspect="Content" ObjectID="_1577286818" r:id="rId22"/>
              </w:object>
            </w:r>
            <w:r w:rsidRPr="00B916EC">
              <w:t xml:space="preserve"> by higher layer parameters </w:t>
            </w:r>
            <w:r w:rsidRPr="05FE66B3">
              <w:rPr>
                <w:i/>
                <w:iCs/>
              </w:rPr>
              <w:t>Aggregation-level-1</w:t>
            </w:r>
            <w:r w:rsidRPr="00B916EC">
              <w:t xml:space="preserve">, </w:t>
            </w:r>
            <w:r w:rsidRPr="05FE66B3">
              <w:rPr>
                <w:i/>
                <w:iCs/>
              </w:rPr>
              <w:t>Aggregation-level-2</w:t>
            </w:r>
            <w:r w:rsidRPr="00B916EC">
              <w:t xml:space="preserve">, </w:t>
            </w:r>
            <w:r w:rsidRPr="05FE66B3">
              <w:rPr>
                <w:i/>
                <w:iCs/>
              </w:rPr>
              <w:t>Aggregation-level-4</w:t>
            </w:r>
            <w:r w:rsidRPr="00B916EC">
              <w:t xml:space="preserve">, </w:t>
            </w:r>
            <w:r w:rsidRPr="05FE66B3">
              <w:rPr>
                <w:i/>
                <w:iCs/>
              </w:rPr>
              <w:t>Aggregation-level-8</w:t>
            </w:r>
            <w:r w:rsidRPr="00B916EC">
              <w:t xml:space="preserve">, and </w:t>
            </w:r>
            <w:r w:rsidRPr="05FE66B3">
              <w:rPr>
                <w:i/>
                <w:iCs/>
              </w:rPr>
              <w:t>Aggregation-level-16</w:t>
            </w:r>
            <w:r w:rsidRPr="00B916EC">
              <w:t>, for CCE aggregation level 1, CCE aggregation level 2, CCE aggregation level 4, CCE aggregation level 8, and CCE aggregation level 16, respectively;</w:t>
            </w:r>
          </w:p>
          <w:p w14:paraId="7E266CF6" w14:textId="77777777" w:rsidR="0080315D" w:rsidRPr="00B916EC" w:rsidRDefault="0080315D" w:rsidP="0080315D">
            <w:pPr>
              <w:pStyle w:val="B2"/>
            </w:pPr>
            <w:r>
              <w:t>-</w:t>
            </w:r>
            <w:r>
              <w:tab/>
            </w:r>
            <w:r w:rsidRPr="00B916EC">
              <w:t xml:space="preserve">a PDCCH monitoring periodicity of </w:t>
            </w:r>
            <w:r w:rsidRPr="00B916EC">
              <w:rPr>
                <w:position w:val="-12"/>
              </w:rPr>
              <w:object w:dxaOrig="260" w:dyaOrig="360" w14:anchorId="29704F97">
                <v:shape id="_x0000_i1030" type="#_x0000_t75" style="width:13.2pt;height:18pt" o:ole="">
                  <v:imagedata r:id="rId23" o:title=""/>
                </v:shape>
                <o:OLEObject Type="Embed" ProgID="Equation.3" ShapeID="_x0000_i1030" DrawAspect="Content" ObjectID="_1577286819" r:id="rId24"/>
              </w:object>
            </w:r>
            <w:r w:rsidRPr="00B916EC">
              <w:t xml:space="preserve"> slots by higher layer parameter </w:t>
            </w:r>
            <w:r w:rsidRPr="05FE66B3">
              <w:rPr>
                <w:i/>
                <w:iCs/>
              </w:rPr>
              <w:t>Monitoring-periodicity-PDCCH-slot</w:t>
            </w:r>
            <w:r w:rsidRPr="00B916EC">
              <w:rPr>
                <w:lang w:val="en-US"/>
              </w:rPr>
              <w:t>;</w:t>
            </w:r>
          </w:p>
          <w:p w14:paraId="232F124E" w14:textId="77777777" w:rsidR="0080315D" w:rsidRPr="00B916EC" w:rsidRDefault="0080315D" w:rsidP="0080315D">
            <w:pPr>
              <w:pStyle w:val="B2"/>
            </w:pPr>
            <w:r>
              <w:t>-</w:t>
            </w:r>
            <w:r>
              <w:tab/>
            </w:r>
            <w:r w:rsidRPr="00B916EC">
              <w:t xml:space="preserve">a PDCCH monitoring offset of </w:t>
            </w:r>
            <w:r w:rsidRPr="00B916EC">
              <w:rPr>
                <w:position w:val="-12"/>
              </w:rPr>
              <w:object w:dxaOrig="260" w:dyaOrig="360" w14:anchorId="54AA2706">
                <v:shape id="_x0000_i1031" type="#_x0000_t75" style="width:13.2pt;height:18pt" o:ole="">
                  <v:imagedata r:id="rId25" o:title=""/>
                </v:shape>
                <o:OLEObject Type="Embed" ProgID="Equation.3" ShapeID="_x0000_i1031" DrawAspect="Content" ObjectID="_1577286820" r:id="rId26"/>
              </w:object>
            </w:r>
            <w:r w:rsidRPr="00B916EC">
              <w:t xml:space="preserve"> slots, where </w:t>
            </w:r>
            <w:r w:rsidRPr="003F2C57">
              <w:rPr>
                <w:position w:val="-12"/>
              </w:rPr>
              <w:object w:dxaOrig="1140" w:dyaOrig="360" w14:anchorId="1EA802D9">
                <v:shape id="_x0000_i1032" type="#_x0000_t75" style="width:57pt;height:18pt" o:ole="">
                  <v:imagedata r:id="rId27" o:title=""/>
                </v:shape>
                <o:OLEObject Type="Embed" ProgID="Equation.3" ShapeID="_x0000_i1032" DrawAspect="Content" ObjectID="_1577286821" r:id="rId28"/>
              </w:object>
            </w:r>
            <w:r w:rsidRPr="00B916EC">
              <w:t xml:space="preserve">, by higher layer parameter </w:t>
            </w:r>
            <w:r w:rsidRPr="05FE66B3">
              <w:rPr>
                <w:i/>
                <w:iCs/>
              </w:rPr>
              <w:t>Monitoring-offset-PDCCH-slot</w:t>
            </w:r>
            <w:r w:rsidRPr="00B916EC">
              <w:t>;</w:t>
            </w:r>
          </w:p>
          <w:p w14:paraId="5FDDF467" w14:textId="77777777" w:rsidR="0080315D" w:rsidRPr="00B916EC" w:rsidRDefault="0080315D" w:rsidP="0080315D">
            <w:pPr>
              <w:pStyle w:val="B2"/>
            </w:pPr>
            <w:r>
              <w:t>-</w:t>
            </w:r>
            <w:r>
              <w:tab/>
            </w:r>
            <w:r w:rsidRPr="00B916EC">
              <w:t xml:space="preserve">a PDCCH monitoring pattern within a slot, indicating first symbol(s) of the control resource set within a slot for PDCCH monitoring, by higher layer parameter </w:t>
            </w:r>
            <w:r w:rsidRPr="05FE66B3">
              <w:rPr>
                <w:i/>
                <w:iCs/>
              </w:rPr>
              <w:t>Monitoring-symbols-PDCCH-within-slot</w:t>
            </w:r>
            <w:r w:rsidRPr="00B916EC">
              <w:t>.</w:t>
            </w:r>
            <w:r>
              <w:t xml:space="preserve"> </w:t>
            </w:r>
          </w:p>
          <w:p w14:paraId="60F60ADA" w14:textId="77777777" w:rsidR="0080315D" w:rsidRPr="00B916EC" w:rsidRDefault="05FE66B3" w:rsidP="0080315D">
            <w:r>
              <w:t xml:space="preserve">A UE determines a PDCCH monitoring occasion from the PDCCH monitoring periodicity, the PDCCH monitoring offset, and the PDCCH monitoring pattern within a slot. </w:t>
            </w:r>
          </w:p>
          <w:p w14:paraId="5A0B3B90" w14:textId="77777777" w:rsidR="0080315D" w:rsidRPr="00B916EC" w:rsidRDefault="0080315D" w:rsidP="0080315D">
            <w:r w:rsidRPr="00B916EC">
              <w:t xml:space="preserve">A PDCCH UE-specific search space </w:t>
            </w:r>
            <w:r w:rsidRPr="00E554B0">
              <w:rPr>
                <w:strike/>
                <w:color w:val="C00000"/>
                <w:position w:val="-16"/>
              </w:rPr>
              <w:object w:dxaOrig="380" w:dyaOrig="400" w14:anchorId="2E82075D">
                <v:shape id="_x0000_i1033" type="#_x0000_t75" style="width:18.6pt;height:19.2pt" o:ole="">
                  <v:imagedata r:id="rId29" o:title=""/>
                </v:shape>
                <o:OLEObject Type="Embed" ProgID="Equation.3" ShapeID="_x0000_i1033" DrawAspect="Content" ObjectID="_1577286822" r:id="rId30"/>
              </w:object>
            </w:r>
            <w:r w:rsidRPr="00B916EC">
              <w:t xml:space="preserve"> at CCE aggregation level </w:t>
            </w:r>
            <w:r w:rsidRPr="00B916EC">
              <w:rPr>
                <w:position w:val="-10"/>
              </w:rPr>
              <w:object w:dxaOrig="1380" w:dyaOrig="300" w14:anchorId="4D614E08">
                <v:shape id="_x0000_i1034" type="#_x0000_t75" style="width:67.8pt;height:14.4pt" o:ole="">
                  <v:imagedata r:id="rId31" o:title=""/>
                </v:shape>
                <o:OLEObject Type="Embed" ProgID="Equation.3" ShapeID="_x0000_i1034" DrawAspect="Content" ObjectID="_1577286823" r:id="rId32"/>
              </w:object>
            </w:r>
            <w:r w:rsidRPr="00B916EC">
              <w:t xml:space="preserve"> is defined by a set of PDCCH candidates for CCE aggregation level </w:t>
            </w:r>
            <w:r w:rsidRPr="00B916EC">
              <w:rPr>
                <w:position w:val="-4"/>
              </w:rPr>
              <w:object w:dxaOrig="200" w:dyaOrig="220" w14:anchorId="28FB5B2E">
                <v:shape id="_x0000_i1035" type="#_x0000_t75" style="width:9.6pt;height:10.8pt" o:ole="">
                  <v:imagedata r:id="rId21" o:title=""/>
                </v:shape>
                <o:OLEObject Type="Embed" ProgID="Equation.3" ShapeID="_x0000_i1035" DrawAspect="Content" ObjectID="_1577286824" r:id="rId33"/>
              </w:object>
            </w:r>
            <w:r w:rsidRPr="00B916EC">
              <w:t xml:space="preserve">. </w:t>
            </w:r>
          </w:p>
          <w:p w14:paraId="7BF8F281" w14:textId="77777777" w:rsidR="0080315D" w:rsidRPr="00B916EC" w:rsidRDefault="05FE66B3" w:rsidP="05FE66B3">
            <w:pPr>
              <w:rPr>
                <w:lang w:eastAsia="zh-CN"/>
              </w:rPr>
            </w:pPr>
            <w:r>
              <w:t xml:space="preserve">If a UE is configured with higher layer parameter </w:t>
            </w:r>
            <w:proofErr w:type="spellStart"/>
            <w:r w:rsidRPr="05FE66B3">
              <w:rPr>
                <w:i/>
                <w:iCs/>
              </w:rPr>
              <w:t>CrossCarrierSchedulingConfig</w:t>
            </w:r>
            <w:proofErr w:type="spellEnd"/>
            <w:r w:rsidRPr="05FE66B3">
              <w:rPr>
                <w:lang w:eastAsia="zh-CN"/>
              </w:rPr>
              <w:t xml:space="preserve"> for a serving cell the carrier indicator field value corresponds to the value indicated by </w:t>
            </w:r>
            <w:proofErr w:type="spellStart"/>
            <w:r w:rsidRPr="05FE66B3">
              <w:rPr>
                <w:i/>
                <w:iCs/>
              </w:rPr>
              <w:t>CrossCarrierSchedulingConfig</w:t>
            </w:r>
            <w:proofErr w:type="spellEnd"/>
            <w:r w:rsidRPr="05FE66B3">
              <w:rPr>
                <w:i/>
                <w:iCs/>
                <w:lang w:eastAsia="zh-CN"/>
              </w:rPr>
              <w:t>.</w:t>
            </w:r>
          </w:p>
          <w:p w14:paraId="187C2DFC" w14:textId="77777777" w:rsidR="0080315D" w:rsidRPr="00B916EC" w:rsidRDefault="05FE66B3" w:rsidP="0080315D">
            <w:r>
              <w:t>For a serving cell on which a UE monitors PDCCH candidates in a UE-specific search space, if the UE is not configured with a carrier indicator field, the UE shall monitor the PDCCH candidates without carrier indicator field. For a serving cell on which a UE monitors PDCCH candidates in a UE-specific search space, if a UE is configured with a carrier indicator field, the UE shall monitor the PDCCH candidates with carrier indicator field.</w:t>
            </w:r>
          </w:p>
          <w:p w14:paraId="6EFCDE68" w14:textId="77777777" w:rsidR="0080315D" w:rsidRPr="00B916EC" w:rsidRDefault="05FE66B3" w:rsidP="0080315D">
            <w:r>
              <w:t xml:space="preserve">A UE is not expected to monitor PDCCH candidates on a secondary cell if the UE is configured to monitor PDCCH candidates with carrier indicator field corresponding to that secondary cell in another serving cell. For the serving cell on which the UE monitors PDCCH candidates, the UE shall monitor PDCCH candidates at least for the same serving cell. </w:t>
            </w:r>
          </w:p>
          <w:p w14:paraId="75ED2F05" w14:textId="77777777" w:rsidR="0080315D" w:rsidRPr="00B916EC" w:rsidRDefault="0080315D" w:rsidP="0080315D">
            <w:r w:rsidRPr="00B916EC">
              <w:t xml:space="preserve">For a </w:t>
            </w:r>
            <w:r w:rsidRPr="00E554B0">
              <w:rPr>
                <w:strike/>
                <w:color w:val="C00000"/>
              </w:rPr>
              <w:t xml:space="preserve">control resource </w:t>
            </w:r>
            <w:r w:rsidRPr="00E554B0">
              <w:rPr>
                <w:color w:val="C00000"/>
              </w:rPr>
              <w:t xml:space="preserve">search space </w:t>
            </w:r>
            <w:r w:rsidRPr="00B916EC">
              <w:t xml:space="preserve">set </w:t>
            </w:r>
            <w:r w:rsidRPr="00E554B0">
              <w:rPr>
                <w:strike/>
                <w:color w:val="C00000"/>
                <w:position w:val="-10"/>
              </w:rPr>
              <w:object w:dxaOrig="200" w:dyaOrig="240" w14:anchorId="4DE5B81F">
                <v:shape id="_x0000_i1036" type="#_x0000_t75" style="width:9.6pt;height:12pt" o:ole="">
                  <v:imagedata r:id="rId34" o:title=""/>
                </v:shape>
                <o:OLEObject Type="Embed" ProgID="Equation.3" ShapeID="_x0000_i1036" DrawAspect="Content" ObjectID="_1577286825" r:id="rId35"/>
              </w:object>
            </w:r>
            <w:r w:rsidRPr="05FE66B3">
              <w:rPr>
                <w:i/>
                <w:iCs/>
                <w:color w:val="C00000"/>
              </w:rPr>
              <w:t>s</w:t>
            </w:r>
            <w:r w:rsidRPr="00B916EC">
              <w:t xml:space="preserve">, the CCEs corresponding to PDCCH candidate </w:t>
            </w:r>
            <w:r w:rsidRPr="00B916EC">
              <w:rPr>
                <w:position w:val="-14"/>
              </w:rPr>
              <w:object w:dxaOrig="400" w:dyaOrig="340" w14:anchorId="00D550E3">
                <v:shape id="_x0000_i1037" type="#_x0000_t75" style="width:19.2pt;height:16.8pt" o:ole="">
                  <v:imagedata r:id="rId36" o:title=""/>
                </v:shape>
                <o:OLEObject Type="Embed" ProgID="Equation.3" ShapeID="_x0000_i1037" DrawAspect="Content" ObjectID="_1577286826" r:id="rId37"/>
              </w:object>
            </w:r>
            <w:r w:rsidRPr="05FE66B3">
              <w:t xml:space="preserve"> of the search space</w:t>
            </w:r>
            <w:r w:rsidRPr="00B916EC">
              <w:t xml:space="preserve"> for a serving cell corresponding to carrier indicator field value </w:t>
            </w:r>
            <w:r w:rsidRPr="00B916EC">
              <w:rPr>
                <w:position w:val="-10"/>
              </w:rPr>
              <w:object w:dxaOrig="320" w:dyaOrig="300" w14:anchorId="128CBCDB">
                <v:shape id="_x0000_i1038" type="#_x0000_t75" style="width:16.2pt;height:15pt" o:ole="">
                  <v:imagedata r:id="rId38" o:title=""/>
                </v:shape>
                <o:OLEObject Type="Embed" ProgID="Equation.3" ShapeID="_x0000_i1038" DrawAspect="Content" ObjectID="_1577286827" r:id="rId39"/>
              </w:object>
            </w:r>
            <w:r w:rsidRPr="00B916EC">
              <w:t xml:space="preserve"> </w:t>
            </w:r>
            <w:r w:rsidRPr="05FE66B3">
              <w:t>are</w:t>
            </w:r>
            <w:r w:rsidRPr="00B916EC">
              <w:t xml:space="preserve"> given by </w:t>
            </w:r>
          </w:p>
          <w:p w14:paraId="2731BABE" w14:textId="77777777" w:rsidR="0080315D" w:rsidRPr="00B916EC" w:rsidRDefault="0080315D" w:rsidP="0080315D">
            <w:pPr>
              <w:pStyle w:val="EQ"/>
              <w:jc w:val="center"/>
            </w:pPr>
            <w:r w:rsidRPr="00704D78">
              <w:rPr>
                <w:position w:val="-38"/>
              </w:rPr>
              <w:object w:dxaOrig="5260" w:dyaOrig="880" w14:anchorId="3C35CD5D">
                <v:shape id="_x0000_i1039" type="#_x0000_t75" style="width:262.2pt;height:43.8pt" o:ole="">
                  <v:imagedata r:id="rId40" o:title=""/>
                </v:shape>
                <o:OLEObject Type="Embed" ProgID="Equation.3" ShapeID="_x0000_i1039" DrawAspect="Content" ObjectID="_1577286828" r:id="rId41"/>
              </w:object>
            </w:r>
          </w:p>
          <w:p w14:paraId="39D5E277" w14:textId="77777777" w:rsidR="0080315D" w:rsidRPr="00B916EC" w:rsidRDefault="05FE66B3" w:rsidP="0080315D">
            <w:r>
              <w:t>where</w:t>
            </w:r>
          </w:p>
          <w:p w14:paraId="5D5DC818" w14:textId="77777777" w:rsidR="0080315D" w:rsidRPr="00B916EC" w:rsidRDefault="0080315D" w:rsidP="0080315D">
            <w:r w:rsidRPr="00B916EC">
              <w:t>for any common search space,</w:t>
            </w:r>
            <w:r w:rsidRPr="00B916EC">
              <w:rPr>
                <w:position w:val="-16"/>
              </w:rPr>
              <w:object w:dxaOrig="760" w:dyaOrig="360" w14:anchorId="771449C7">
                <v:shape id="_x0000_i1040" type="#_x0000_t75" style="width:37.8pt;height:18pt" o:ole="">
                  <v:imagedata r:id="rId42" o:title=""/>
                </v:shape>
                <o:OLEObject Type="Embed" ProgID="Equation.3" ShapeID="_x0000_i1040" DrawAspect="Content" ObjectID="_1577286829" r:id="rId43"/>
              </w:object>
            </w:r>
            <w:r w:rsidRPr="00B916EC">
              <w:t xml:space="preserve">; </w:t>
            </w:r>
          </w:p>
          <w:p w14:paraId="71D22AE4" w14:textId="77777777" w:rsidR="0080315D" w:rsidRPr="00B916EC" w:rsidRDefault="0080315D" w:rsidP="0080315D">
            <w:r w:rsidRPr="00B916EC">
              <w:t>for a UE-specific search space,</w:t>
            </w:r>
            <w:r w:rsidRPr="00B916EC">
              <w:rPr>
                <w:position w:val="-16"/>
              </w:rPr>
              <w:object w:dxaOrig="2120" w:dyaOrig="360" w14:anchorId="605F497B">
                <v:shape id="_x0000_i1041" type="#_x0000_t75" style="width:106.2pt;height:18pt" o:ole="">
                  <v:imagedata r:id="rId44" o:title=""/>
                </v:shape>
                <o:OLEObject Type="Embed" ProgID="Equation.3" ShapeID="_x0000_i1041" DrawAspect="Content" ObjectID="_1577286830" r:id="rId45"/>
              </w:object>
            </w:r>
            <w:r w:rsidRPr="00B916EC">
              <w:t xml:space="preserve">, </w:t>
            </w:r>
            <w:r w:rsidRPr="00B916EC">
              <w:rPr>
                <w:position w:val="-12"/>
              </w:rPr>
              <w:object w:dxaOrig="1359" w:dyaOrig="320" w14:anchorId="4292ECFE">
                <v:shape id="_x0000_i1042" type="#_x0000_t75" style="width:67.8pt;height:16.2pt" o:ole="">
                  <v:imagedata r:id="rId46" o:title=""/>
                </v:shape>
                <o:OLEObject Type="Embed" ProgID="Equation.3" ShapeID="_x0000_i1042" DrawAspect="Content" ObjectID="_1577286831" r:id="rId47"/>
              </w:object>
            </w:r>
            <w:r w:rsidRPr="00B916EC">
              <w:t xml:space="preserve">, </w:t>
            </w:r>
            <w:r w:rsidRPr="00B916EC">
              <w:rPr>
                <w:position w:val="-10"/>
              </w:rPr>
              <w:object w:dxaOrig="980" w:dyaOrig="300" w14:anchorId="199AA90A">
                <v:shape id="_x0000_i1043" type="#_x0000_t75" style="width:49.2pt;height:15pt" o:ole="">
                  <v:imagedata r:id="rId48" o:title=""/>
                </v:shape>
                <o:OLEObject Type="Embed" ProgID="Equation.3" ShapeID="_x0000_i1043" DrawAspect="Content" ObjectID="_1577286832" r:id="rId49"/>
              </w:object>
            </w:r>
            <w:r w:rsidRPr="00B916EC">
              <w:t xml:space="preserve">, </w:t>
            </w:r>
            <w:r w:rsidRPr="00B916EC">
              <w:rPr>
                <w:position w:val="-10"/>
              </w:rPr>
              <w:object w:dxaOrig="960" w:dyaOrig="300" w14:anchorId="5D539329">
                <v:shape id="_x0000_i1044" type="#_x0000_t75" style="width:48pt;height:15pt" o:ole="">
                  <v:imagedata r:id="rId50" o:title=""/>
                </v:shape>
                <o:OLEObject Type="Embed" ProgID="Equation.3" ShapeID="_x0000_i1044" DrawAspect="Content" ObjectID="_1577286833" r:id="rId51"/>
              </w:object>
            </w:r>
            <w:r w:rsidRPr="00B916EC">
              <w:t>,</w:t>
            </w:r>
            <w:r>
              <w:t xml:space="preserve"> </w:t>
            </w:r>
            <w:r w:rsidRPr="00B916EC">
              <w:t xml:space="preserve">and </w:t>
            </w:r>
            <w:r w:rsidRPr="00B916EC">
              <w:rPr>
                <w:position w:val="-6"/>
              </w:rPr>
              <w:object w:dxaOrig="940" w:dyaOrig="240" w14:anchorId="6A418461">
                <v:shape id="_x0000_i1045" type="#_x0000_t75" style="width:46.8pt;height:12pt" o:ole="">
                  <v:imagedata r:id="rId52" o:title=""/>
                </v:shape>
                <o:OLEObject Type="Embed" ProgID="Equation.3" ShapeID="_x0000_i1045" DrawAspect="Content" ObjectID="_1577286834" r:id="rId53"/>
              </w:object>
            </w:r>
            <w:r w:rsidRPr="00B916EC">
              <w:t>;</w:t>
            </w:r>
          </w:p>
          <w:p w14:paraId="26C4556E" w14:textId="77777777" w:rsidR="0080315D" w:rsidRPr="00B916EC" w:rsidRDefault="0080315D" w:rsidP="0080315D">
            <w:r w:rsidRPr="00B916EC">
              <w:rPr>
                <w:position w:val="-10"/>
              </w:rPr>
              <w:object w:dxaOrig="1120" w:dyaOrig="279" w14:anchorId="6E805A12">
                <v:shape id="_x0000_i1046" type="#_x0000_t75" style="width:55.8pt;height:13.8pt" o:ole="">
                  <v:imagedata r:id="rId54" o:title=""/>
                </v:shape>
                <o:OLEObject Type="Embed" ProgID="Equation.3" ShapeID="_x0000_i1046" DrawAspect="Content" ObjectID="_1577286835" r:id="rId55"/>
              </w:object>
            </w:r>
            <w:r w:rsidRPr="00B916EC">
              <w:t>;</w:t>
            </w:r>
          </w:p>
          <w:p w14:paraId="550E2651" w14:textId="77777777" w:rsidR="0080315D" w:rsidRPr="00B916EC" w:rsidRDefault="0080315D" w:rsidP="0080315D">
            <w:r w:rsidRPr="00B916EC">
              <w:rPr>
                <w:position w:val="-10"/>
              </w:rPr>
              <w:object w:dxaOrig="320" w:dyaOrig="300" w14:anchorId="4D0C66C4">
                <v:shape id="_x0000_i1047" type="#_x0000_t75" style="width:16.2pt;height:15pt" o:ole="">
                  <v:imagedata r:id="rId38" o:title=""/>
                </v:shape>
                <o:OLEObject Type="Embed" ProgID="Equation.3" ShapeID="_x0000_i1047" DrawAspect="Content" ObjectID="_1577286836" r:id="rId56"/>
              </w:object>
            </w:r>
            <w:r w:rsidRPr="00B916EC">
              <w:t xml:space="preserve"> is the carrier indicator field value if the UE is configured with a carrier indicator field for the serving cell on which PDCCH is monitored; otherwise, including for any common search space, </w:t>
            </w:r>
            <w:r w:rsidRPr="00B916EC">
              <w:rPr>
                <w:position w:val="-10"/>
              </w:rPr>
              <w:object w:dxaOrig="620" w:dyaOrig="300" w14:anchorId="6FCF3B5A">
                <v:shape id="_x0000_i1048" type="#_x0000_t75" style="width:31.2pt;height:15pt" o:ole="">
                  <v:imagedata r:id="rId57" o:title=""/>
                </v:shape>
                <o:OLEObject Type="Embed" ProgID="Equation.3" ShapeID="_x0000_i1048" DrawAspect="Content" ObjectID="_1577286837" r:id="rId58"/>
              </w:object>
            </w:r>
            <w:r w:rsidRPr="00B916EC">
              <w:t>;</w:t>
            </w:r>
          </w:p>
          <w:p w14:paraId="1AE0C499" w14:textId="77777777" w:rsidR="0080315D" w:rsidRPr="00B916EC" w:rsidRDefault="0080315D" w:rsidP="0080315D">
            <w:r w:rsidRPr="00B916EC">
              <w:rPr>
                <w:position w:val="-12"/>
              </w:rPr>
              <w:object w:dxaOrig="580" w:dyaOrig="320" w14:anchorId="7C24D6D7">
                <v:shape id="_x0000_i1049" type="#_x0000_t75" style="width:28.8pt;height:16.2pt" o:ole="">
                  <v:imagedata r:id="rId59" o:title=""/>
                </v:shape>
                <o:OLEObject Type="Embed" ProgID="Equation.3" ShapeID="_x0000_i1049" DrawAspect="Content" ObjectID="_1577286838" r:id="rId60"/>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2C52ECB8">
                <v:shape id="_x0000_i1050" type="#_x0000_t75" style="width:42pt;height:16.2pt" o:ole="">
                  <v:imagedata r:id="rId61" o:title=""/>
                </v:shape>
                <o:OLEObject Type="Embed" ProgID="Equation.3" ShapeID="_x0000_i1050" DrawAspect="Content" ObjectID="_1577286839" r:id="rId62"/>
              </w:object>
            </w:r>
            <w:r>
              <w:t>,</w:t>
            </w:r>
            <w:r w:rsidRPr="00B916EC">
              <w:t xml:space="preserve"> in control resource set </w:t>
            </w:r>
            <w:r w:rsidRPr="00B916EC">
              <w:rPr>
                <w:position w:val="-10"/>
              </w:rPr>
              <w:object w:dxaOrig="200" w:dyaOrig="240" w14:anchorId="04501701">
                <v:shape id="_x0000_i1051" type="#_x0000_t75" style="width:9.6pt;height:12pt" o:ole="">
                  <v:imagedata r:id="rId34" o:title=""/>
                </v:shape>
                <o:OLEObject Type="Embed" ProgID="Equation.3" ShapeID="_x0000_i1051" DrawAspect="Content" ObjectID="_1577286840" r:id="rId63"/>
              </w:object>
            </w:r>
            <w:r w:rsidRPr="00B916EC">
              <w:t xml:space="preserve">; </w:t>
            </w:r>
          </w:p>
          <w:p w14:paraId="3BE2ECE3" w14:textId="77777777" w:rsidR="0080315D" w:rsidRPr="00B916EC" w:rsidRDefault="0080315D" w:rsidP="0080315D">
            <w:r w:rsidRPr="00B916EC">
              <w:rPr>
                <w:position w:val="-14"/>
              </w:rPr>
              <w:object w:dxaOrig="2079" w:dyaOrig="400" w14:anchorId="0F8F31C5">
                <v:shape id="_x0000_i1052" type="#_x0000_t75" style="width:103.8pt;height:19.8pt" o:ole="">
                  <v:imagedata r:id="rId64" o:title=""/>
                </v:shape>
                <o:OLEObject Type="Embed" ProgID="Equation.3" ShapeID="_x0000_i1052" DrawAspect="Content" ObjectID="_1577286841" r:id="rId65"/>
              </w:object>
            </w:r>
            <w:r w:rsidRPr="00B916EC">
              <w:t xml:space="preserve">, where </w:t>
            </w:r>
            <w:r w:rsidRPr="00B916EC">
              <w:rPr>
                <w:position w:val="-14"/>
              </w:rPr>
              <w:object w:dxaOrig="620" w:dyaOrig="400" w14:anchorId="03751315">
                <v:shape id="_x0000_i1053" type="#_x0000_t75" style="width:31.2pt;height:19.8pt" o:ole="">
                  <v:imagedata r:id="rId66" o:title=""/>
                </v:shape>
                <o:OLEObject Type="Embed" ProgID="Equation.3" ShapeID="_x0000_i1053" DrawAspect="Content" ObjectID="_1577286842" r:id="rId67"/>
              </w:object>
            </w:r>
            <w:r w:rsidRPr="00B916EC">
              <w:t xml:space="preserve"> is the number of PDCCH</w:t>
            </w:r>
            <w:r w:rsidRPr="05FE66B3">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3D69CF2A">
                <v:shape id="_x0000_i1054" type="#_x0000_t75" style="width:10.2pt;height:10.8pt" o:ole="">
                  <v:imagedata r:id="rId68" o:title=""/>
                </v:shape>
                <o:OLEObject Type="Embed" ProgID="Equation.3" ShapeID="_x0000_i1054" DrawAspect="Content" ObjectID="_1577286843" r:id="rId69"/>
              </w:object>
            </w:r>
            <w:r w:rsidRPr="00B916EC">
              <w:t xml:space="preserve"> for a serving cell corresponding to </w:t>
            </w:r>
            <w:r w:rsidRPr="00B916EC">
              <w:rPr>
                <w:position w:val="-10"/>
              </w:rPr>
              <w:object w:dxaOrig="320" w:dyaOrig="300" w14:anchorId="1F3D637D">
                <v:shape id="_x0000_i1055" type="#_x0000_t75" style="width:16.2pt;height:15pt" o:ole="">
                  <v:imagedata r:id="rId38" o:title=""/>
                </v:shape>
                <o:OLEObject Type="Embed" ProgID="Equation.3" ShapeID="_x0000_i1055" DrawAspect="Content" ObjectID="_1577286844" r:id="rId70"/>
              </w:object>
            </w:r>
            <w:r w:rsidRPr="00B916EC">
              <w:t>;</w:t>
            </w:r>
            <w:r>
              <w:t xml:space="preserve"> </w:t>
            </w:r>
          </w:p>
          <w:p w14:paraId="0BA68900" w14:textId="77777777" w:rsidR="0080315D" w:rsidRPr="00B916EC" w:rsidRDefault="0080315D" w:rsidP="0080315D">
            <w:r w:rsidRPr="00B916EC">
              <w:t xml:space="preserve">for any common search space, </w:t>
            </w:r>
            <w:r w:rsidRPr="00704D78">
              <w:rPr>
                <w:position w:val="-14"/>
              </w:rPr>
              <w:object w:dxaOrig="1420" w:dyaOrig="400" w14:anchorId="111E7519">
                <v:shape id="_x0000_i1056" type="#_x0000_t75" style="width:70.8pt;height:19.8pt" o:ole="">
                  <v:imagedata r:id="rId71" o:title=""/>
                </v:shape>
                <o:OLEObject Type="Embed" ProgID="Equation.3" ShapeID="_x0000_i1056" DrawAspect="Content" ObjectID="_1577286845" r:id="rId72"/>
              </w:object>
            </w:r>
            <w:r w:rsidRPr="00B916EC">
              <w:t>;</w:t>
            </w:r>
            <w:r>
              <w:t xml:space="preserve"> </w:t>
            </w:r>
          </w:p>
          <w:p w14:paraId="0EE271E3" w14:textId="77777777" w:rsidR="0080315D" w:rsidRPr="00B916EC" w:rsidRDefault="0080315D" w:rsidP="0080315D">
            <w:r w:rsidRPr="00B916EC">
              <w:t>for a UE-specific search space,</w:t>
            </w:r>
            <w:r w:rsidRPr="00704D78">
              <w:rPr>
                <w:position w:val="-14"/>
              </w:rPr>
              <w:object w:dxaOrig="660" w:dyaOrig="400" w14:anchorId="587F0CE2">
                <v:shape id="_x0000_i1057" type="#_x0000_t75" style="width:33pt;height:19.8pt" o:ole="">
                  <v:imagedata r:id="rId73" o:title=""/>
                </v:shape>
                <o:OLEObject Type="Embed" ProgID="Equation.3" ShapeID="_x0000_i1057" DrawAspect="Content" ObjectID="_1577286846" r:id="rId74"/>
              </w:object>
            </w:r>
            <w:r w:rsidRPr="00B916EC">
              <w:rPr>
                <w:rFonts w:eastAsia="Malgun Gothic"/>
                <w:lang w:eastAsia="ko-KR"/>
              </w:rPr>
              <w:t xml:space="preserve"> is the maximum of </w:t>
            </w:r>
            <w:r w:rsidRPr="00B916EC">
              <w:rPr>
                <w:position w:val="-14"/>
              </w:rPr>
              <w:object w:dxaOrig="620" w:dyaOrig="400" w14:anchorId="1D1E1AE9">
                <v:shape id="_x0000_i1058" type="#_x0000_t75" style="width:31.2pt;height:19.8pt" o:ole="">
                  <v:imagedata r:id="rId75" o:title=""/>
                </v:shape>
                <o:OLEObject Type="Embed" ProgID="Equation.3" ShapeID="_x0000_i1058" DrawAspect="Content" ObjectID="_1577286847" r:id="rId76"/>
              </w:object>
            </w:r>
            <w:r w:rsidRPr="00B916EC">
              <w:t xml:space="preserve"> </w:t>
            </w:r>
            <w:r>
              <w:rPr>
                <w:rFonts w:eastAsia="Malgun Gothic"/>
                <w:lang w:eastAsia="ko-KR"/>
              </w:rPr>
              <w:t>for</w:t>
            </w:r>
            <w:r w:rsidRPr="00B916EC">
              <w:rPr>
                <w:rFonts w:eastAsia="Malgun Gothic"/>
                <w:lang w:eastAsia="ko-KR"/>
              </w:rPr>
              <w:t xml:space="preserve"> all </w:t>
            </w:r>
            <w:r>
              <w:rPr>
                <w:rFonts w:eastAsia="Malgun Gothic"/>
                <w:lang w:eastAsia="ko-KR"/>
              </w:rPr>
              <w:t xml:space="preserve">corresponding </w:t>
            </w:r>
            <w:r w:rsidRPr="00B916EC">
              <w:rPr>
                <w:rFonts w:eastAsia="Malgun Gothic"/>
                <w:lang w:eastAsia="ko-KR"/>
              </w:rPr>
              <w:t xml:space="preserve">DCI formats over all configured </w:t>
            </w:r>
            <w:r w:rsidRPr="00B916EC">
              <w:rPr>
                <w:position w:val="-10"/>
              </w:rPr>
              <w:object w:dxaOrig="320" w:dyaOrig="300" w14:anchorId="26FB2A32">
                <v:shape id="_x0000_i1059" type="#_x0000_t75" style="width:16.2pt;height:15pt" o:ole="">
                  <v:imagedata r:id="rId38" o:title=""/>
                </v:shape>
                <o:OLEObject Type="Embed" ProgID="Equation.3" ShapeID="_x0000_i1059" DrawAspect="Content" ObjectID="_1577286848" r:id="rId77"/>
              </w:object>
            </w:r>
            <w:r w:rsidRPr="00B916EC">
              <w:t xml:space="preserve"> values </w:t>
            </w:r>
            <w:r w:rsidRPr="00B916EC">
              <w:rPr>
                <w:rFonts w:eastAsia="Malgun Gothic"/>
                <w:lang w:eastAsia="ko-KR"/>
              </w:rPr>
              <w:t xml:space="preserve">for a CCE aggregation level </w:t>
            </w:r>
            <w:r w:rsidRPr="00B916EC">
              <w:rPr>
                <w:position w:val="-4"/>
              </w:rPr>
              <w:object w:dxaOrig="200" w:dyaOrig="220" w14:anchorId="0C8E99EE">
                <v:shape id="_x0000_i1060" type="#_x0000_t75" style="width:10.2pt;height:10.8pt" o:ole="">
                  <v:imagedata r:id="rId78" o:title=""/>
                </v:shape>
                <o:OLEObject Type="Embed" ProgID="Equation.3" ShapeID="_x0000_i1060" DrawAspect="Content" ObjectID="_1577286849" r:id="rId79"/>
              </w:object>
            </w:r>
            <w:r w:rsidRPr="00B916EC">
              <w:rPr>
                <w:rFonts w:eastAsia="Malgun Gothic"/>
                <w:lang w:eastAsia="ko-KR"/>
              </w:rPr>
              <w:t xml:space="preserve"> in </w:t>
            </w:r>
            <w:r w:rsidRPr="00E554B0">
              <w:rPr>
                <w:rFonts w:eastAsia="Malgun Gothic"/>
                <w:strike/>
                <w:color w:val="C00000"/>
                <w:lang w:eastAsia="ko-KR"/>
              </w:rPr>
              <w:t xml:space="preserve">control resource set </w:t>
            </w:r>
            <w:r w:rsidRPr="00E554B0">
              <w:rPr>
                <w:rFonts w:eastAsia="Malgun Gothic"/>
                <w:color w:val="C00000"/>
                <w:lang w:eastAsia="ko-KR"/>
              </w:rPr>
              <w:t xml:space="preserve"> search space set </w:t>
            </w:r>
            <w:r w:rsidRPr="05FE66B3">
              <w:rPr>
                <w:rFonts w:eastAsia="Malgun Gothic"/>
                <w:i/>
                <w:iCs/>
                <w:color w:val="C00000"/>
                <w:lang w:eastAsia="ko-KR"/>
              </w:rPr>
              <w:t>s</w:t>
            </w:r>
            <w:r w:rsidRPr="00E554B0">
              <w:rPr>
                <w:rFonts w:eastAsia="Malgun Gothic"/>
                <w:color w:val="C00000"/>
                <w:lang w:eastAsia="ko-KR"/>
              </w:rPr>
              <w:t xml:space="preserve"> in control resource set </w:t>
            </w:r>
            <w:r w:rsidRPr="00B916EC">
              <w:rPr>
                <w:position w:val="-10"/>
              </w:rPr>
              <w:object w:dxaOrig="200" w:dyaOrig="240" w14:anchorId="55B40A2A">
                <v:shape id="_x0000_i1061" type="#_x0000_t75" style="width:9.6pt;height:12pt" o:ole="">
                  <v:imagedata r:id="rId34" o:title=""/>
                </v:shape>
                <o:OLEObject Type="Embed" ProgID="Equation.3" ShapeID="_x0000_i1061" DrawAspect="Content" ObjectID="_1577286850" r:id="rId80"/>
              </w:object>
            </w:r>
            <w:r w:rsidRPr="00B916EC">
              <w:t>;</w:t>
            </w:r>
          </w:p>
          <w:p w14:paraId="2037BD60" w14:textId="77777777" w:rsidR="0080315D" w:rsidRDefault="0080315D" w:rsidP="05FE66B3">
            <w:pPr>
              <w:rPr>
                <w:rFonts w:eastAsia="MS Mincho"/>
              </w:rPr>
            </w:pPr>
            <w:r w:rsidRPr="00B916EC">
              <w:rPr>
                <w:rFonts w:eastAsia="MS Mincho"/>
              </w:rPr>
              <w:t xml:space="preserve">the RNTI value used for </w:t>
            </w:r>
            <w:r w:rsidRPr="00B916EC">
              <w:rPr>
                <w:position w:val="-10"/>
              </w:rPr>
              <w:object w:dxaOrig="460" w:dyaOrig="300" w14:anchorId="76F6CAC4">
                <v:shape id="_x0000_i1062" type="#_x0000_t75" style="width:22.8pt;height:15pt" o:ole="">
                  <v:imagedata r:id="rId81" o:title=""/>
                </v:shape>
                <o:OLEObject Type="Embed" ProgID="Equation.3" ShapeID="_x0000_i1062" DrawAspect="Content" ObjectID="_1577286851" r:id="rId82"/>
              </w:object>
            </w:r>
            <w:r w:rsidRPr="00B916EC">
              <w:rPr>
                <w:rFonts w:eastAsia="MS Mincho"/>
              </w:rPr>
              <w:t xml:space="preserve"> is defined in </w:t>
            </w:r>
            <w:r w:rsidRPr="00B916EC">
              <w:t>[5, TS 38.212] and in [6, TS 38.214]</w:t>
            </w:r>
            <w:r w:rsidRPr="00B916EC">
              <w:rPr>
                <w:rFonts w:eastAsia="MS Mincho"/>
              </w:rPr>
              <w:t>.</w:t>
            </w:r>
          </w:p>
          <w:p w14:paraId="1568D04A" w14:textId="0B9E761C" w:rsidR="0080315D" w:rsidRDefault="05FE66B3" w:rsidP="0080315D">
            <w:r>
              <w:t>A UE configured to monitor PDCCH candidates in a serving cell with a DCI format size with carrier indicator field and CRC scrambled by C-RNTI, where the PDCCH candidates may have one or more possible values of carrier indicator field for the DCI format size,</w:t>
            </w:r>
            <w:r w:rsidRPr="05FE66B3">
              <w:rPr>
                <w:color w:val="C00000"/>
              </w:rPr>
              <w:t xml:space="preserve"> if capable, </w:t>
            </w:r>
            <w:r>
              <w:t>shall assume that an PDCCH candidate with the DCI format size may be transmitted in the serving cell in any PDCCH UE specific search space corresponding to any of the possible values of carrier indicator field for the DCI format size.</w:t>
            </w:r>
          </w:p>
          <w:p w14:paraId="710B5423" w14:textId="733EB224" w:rsidR="0080315D" w:rsidRPr="00E554B0" w:rsidRDefault="0080315D" w:rsidP="05FE66B3">
            <w:pPr>
              <w:rPr>
                <w:color w:val="C00000"/>
              </w:rPr>
            </w:pPr>
            <w:r w:rsidRPr="00E554B0">
              <w:rPr>
                <w:color w:val="C00000"/>
              </w:rPr>
              <w:t>When in given slot, the number of configured PDCCH candidates results in number of blind decodes exceeding the UE’s capability, the PDCCH candidates with the smallest</w:t>
            </w:r>
            <w:r w:rsidRPr="05FE66B3">
              <w:rPr>
                <w:i/>
                <w:iCs/>
                <w:color w:val="C00000"/>
              </w:rPr>
              <w:t xml:space="preserve"> priority number </w:t>
            </w:r>
            <m:oMath>
              <m:sSub>
                <m:sSubPr>
                  <m:ctrlPr>
                    <w:rPr>
                      <w:rFonts w:ascii="Cambria Math" w:hAnsi="Cambria Math" w:cs="Arial"/>
                      <w:i/>
                      <w:color w:val="C00000"/>
                    </w:rPr>
                  </m:ctrlPr>
                </m:sSubPr>
                <m:e>
                  <m:r>
                    <w:rPr>
                      <w:rFonts w:ascii="Cambria Math" w:hAnsi="Cambria Math" w:cs="Arial"/>
                      <w:color w:val="C00000"/>
                    </w:rPr>
                    <m:t>ρ</m:t>
                  </m:r>
                </m:e>
                <m:sub>
                  <m:r>
                    <w:rPr>
                      <w:rFonts w:ascii="Cambria Math" w:hAnsi="Cambria Math" w:cs="Arial"/>
                      <w:color w:val="C00000"/>
                      <w:vertAlign w:val="subscript"/>
                    </w:rPr>
                    <m:t>BD</m:t>
                  </m:r>
                </m:sub>
              </m:sSub>
              <m:r>
                <m:rPr>
                  <m:sty m:val="p"/>
                </m:rPr>
                <w:rPr>
                  <w:rFonts w:ascii="Cambria Math" w:hAnsi="Cambria Math" w:cs="Arial"/>
                  <w:color w:val="C00000"/>
                </w:rPr>
                <m:t xml:space="preserve"> </m:t>
              </m:r>
              <m:r>
                <w:rPr>
                  <w:rFonts w:ascii="Cambria Math" w:hAnsi="Cambria Math" w:cs="Arial"/>
                  <w:color w:val="C00000"/>
                </w:rPr>
                <m:t>(s,L,m)</m:t>
              </m:r>
            </m:oMath>
            <w:r w:rsidRPr="00E554B0">
              <w:rPr>
                <w:color w:val="C00000"/>
              </w:rPr>
              <w:t xml:space="preserve"> are dropped, until the number of blind decodes to be performed is within the UE’s capability. Only the UE-specific search space candidates are labelled with priority number, and the priority number is defined as </w:t>
            </w:r>
            <w:r w:rsidRPr="00E554B0">
              <w:fldChar w:fldCharType="begin"/>
            </w:r>
            <w:r w:rsidRPr="00E554B0">
              <w:rPr>
                <w:color w:val="C00000"/>
              </w:rPr>
              <w:instrText xml:space="preserve"> QUOTE </w:instrText>
            </w:r>
            <m:oMath>
              <m:sSub>
                <m:sSubPr>
                  <m:ctrlPr>
                    <w:rPr>
                      <w:rFonts w:ascii="Cambria Math" w:hAnsi="Cambria Math" w:cs="Arial"/>
                      <w:i/>
                      <w:color w:val="C00000"/>
                      <w:lang w:val="en-US"/>
                    </w:rPr>
                  </m:ctrlPr>
                </m:sSubPr>
                <m:e>
                  <m:r>
                    <m:rPr>
                      <m:sty m:val="p"/>
                    </m:rPr>
                    <w:rPr>
                      <w:rFonts w:ascii="Cambria Math" w:hAnsi="Cambria Math" w:cs="Arial"/>
                      <w:color w:val="C00000"/>
                      <w:lang w:val="en-US"/>
                    </w:rPr>
                    <m:t>ρ</m:t>
                  </m:r>
                </m:e>
                <m:sub>
                  <m:r>
                    <m:rPr>
                      <m:sty m:val="p"/>
                    </m:rPr>
                    <w:rPr>
                      <w:rFonts w:ascii="Cambria Math" w:hAnsi="Cambria Math" w:cs="Arial"/>
                      <w:color w:val="C00000"/>
                      <w:vertAlign w:val="subscript"/>
                      <w:lang w:val="en-US"/>
                    </w:rPr>
                    <m:t>BD</m:t>
                  </m:r>
                </m:sub>
              </m:sSub>
              <m:r>
                <m:rPr>
                  <m:sty m:val="p"/>
                </m:rPr>
                <w:rPr>
                  <w:rFonts w:ascii="Cambria Math" w:hAnsi="Cambria Math" w:cs="Arial"/>
                  <w:color w:val="C00000"/>
                  <w:lang w:val="en-US"/>
                </w:rPr>
                <m:t xml:space="preserve"> (s,L,m)= </m:t>
              </m:r>
              <m:f>
                <m:fPr>
                  <m:ctrlPr>
                    <w:rPr>
                      <w:rFonts w:ascii="Cambria Math" w:hAnsi="Cambria Math" w:cs="Arial"/>
                      <w:i/>
                      <w:color w:val="C00000"/>
                    </w:rPr>
                  </m:ctrlPr>
                </m:fPr>
                <m:num>
                  <m:r>
                    <m:rPr>
                      <m:sty m:val="p"/>
                    </m:rPr>
                    <w:rPr>
                      <w:rFonts w:ascii="Cambria Math" w:hAnsi="Cambria Math" w:cs="Cambria Math"/>
                      <w:color w:val="C00000"/>
                      <w:lang w:val="en-US"/>
                    </w:rPr>
                    <m:t>m</m:t>
                  </m:r>
                </m:num>
                <m:den>
                  <m:sSubSup>
                    <m:sSubSupPr>
                      <m:ctrlPr>
                        <w:rPr>
                          <w:rFonts w:ascii="Cambria Math" w:hAnsi="Cambria Math" w:cs="Cambria Math"/>
                          <w:i/>
                          <w:color w:val="C00000"/>
                          <w:lang w:val="en-US"/>
                        </w:rPr>
                      </m:ctrlPr>
                    </m:sSubSupPr>
                    <m:e>
                      <m:r>
                        <m:rPr>
                          <m:sty m:val="p"/>
                        </m:rPr>
                        <w:rPr>
                          <w:rFonts w:ascii="Cambria Math" w:hAnsi="Cambria Math"/>
                          <w:color w:val="C00000"/>
                        </w:rPr>
                        <m:t>M</m:t>
                      </m:r>
                      <m:ctrlPr>
                        <w:rPr>
                          <w:rFonts w:ascii="Cambria Math" w:hAnsi="Cambria Math"/>
                          <w:color w:val="C00000"/>
                        </w:rPr>
                      </m:ctrlPr>
                    </m:e>
                    <m:sub>
                      <m:r>
                        <m:rPr>
                          <m:sty m:val="p"/>
                        </m:rPr>
                        <w:rPr>
                          <w:rFonts w:ascii="Cambria Math" w:hAnsi="Cambria Math"/>
                          <w:color w:val="C00000"/>
                        </w:rPr>
                        <m:t>s</m:t>
                      </m:r>
                      <m:ctrlPr>
                        <w:rPr>
                          <w:rFonts w:ascii="Cambria Math" w:hAnsi="Cambria Math"/>
                          <w:color w:val="C00000"/>
                        </w:rPr>
                      </m:ctrlPr>
                    </m:sub>
                    <m:sup>
                      <m:r>
                        <m:rPr>
                          <m:sty m:val="p"/>
                        </m:rPr>
                        <w:rPr>
                          <w:rFonts w:ascii="Cambria Math" w:hAnsi="Cambria Math"/>
                          <w:color w:val="C00000"/>
                        </w:rPr>
                        <m:t>(L)</m:t>
                      </m:r>
                    </m:sup>
                  </m:sSubSup>
                </m:den>
              </m:f>
            </m:oMath>
            <w:r w:rsidRPr="00E554B0">
              <w:rPr>
                <w:color w:val="C00000"/>
              </w:rPr>
              <w:instrText xml:space="preserve"> </w:instrText>
            </w:r>
            <w:r w:rsidRPr="00E554B0">
              <w:rPr>
                <w:color w:val="C00000"/>
              </w:rPr>
              <w:fldChar w:fldCharType="end"/>
            </w:r>
            <m:oMath>
              <m:sSub>
                <m:sSubPr>
                  <m:ctrlPr>
                    <w:rPr>
                      <w:rFonts w:ascii="Cambria Math" w:hAnsi="Cambria Math" w:cs="Arial"/>
                      <w:i/>
                      <w:color w:val="C00000"/>
                      <w:lang w:val="en-US"/>
                    </w:rPr>
                  </m:ctrlPr>
                </m:sSubPr>
                <m:e>
                  <m:r>
                    <w:rPr>
                      <w:rFonts w:ascii="Cambria Math" w:hAnsi="Cambria Math" w:cs="Arial"/>
                      <w:color w:val="C00000"/>
                      <w:lang w:val="en-US"/>
                    </w:rPr>
                    <m:t>ρ</m:t>
                  </m:r>
                </m:e>
                <m:sub>
                  <m:r>
                    <w:rPr>
                      <w:rFonts w:ascii="Cambria Math" w:hAnsi="Cambria Math" w:cs="Arial"/>
                      <w:color w:val="C00000"/>
                      <w:vertAlign w:val="subscript"/>
                      <w:lang w:val="en-US"/>
                    </w:rPr>
                    <m:t>BD</m:t>
                  </m:r>
                </m:sub>
              </m:sSub>
              <m:r>
                <m:rPr>
                  <m:sty m:val="p"/>
                </m:rPr>
                <w:rPr>
                  <w:rFonts w:ascii="Cambria Math" w:hAnsi="Cambria Math" w:cs="Arial"/>
                  <w:color w:val="C00000"/>
                  <w:lang w:val="en-US"/>
                </w:rPr>
                <m:t xml:space="preserve"> </m:t>
              </m:r>
              <m:r>
                <w:rPr>
                  <w:rFonts w:ascii="Cambria Math" w:hAnsi="Cambria Math" w:cs="Arial"/>
                  <w:color w:val="C00000"/>
                  <w:lang w:val="en-US"/>
                </w:rPr>
                <m:t>(s,L,m)=</m:t>
              </m:r>
              <m:r>
                <w:rPr>
                  <w:rFonts w:ascii="Cambria Math" w:hAnsi="Cambria Math" w:cs="Cambria Math"/>
                  <w:color w:val="C00000"/>
                  <w:lang w:val="en-US"/>
                </w:rPr>
                <m:t>m/</m:t>
              </m:r>
              <m:sSubSup>
                <m:sSubSupPr>
                  <m:ctrlPr>
                    <w:rPr>
                      <w:rFonts w:ascii="Cambria Math" w:hAnsi="Cambria Math" w:cs="Cambria Math"/>
                      <w:i/>
                      <w:color w:val="C00000"/>
                      <w:lang w:val="en-US"/>
                    </w:rPr>
                  </m:ctrlPr>
                </m:sSubSupPr>
                <m:e>
                  <m:r>
                    <m:rPr>
                      <m:sty m:val="p"/>
                    </m:rPr>
                    <w:rPr>
                      <w:rFonts w:ascii="Cambria Math" w:hAnsi="Cambria Math"/>
                      <w:color w:val="C00000"/>
                    </w:rPr>
                    <m:t>M</m:t>
                  </m:r>
                  <m:ctrlPr>
                    <w:rPr>
                      <w:rFonts w:ascii="Cambria Math" w:hAnsi="Cambria Math"/>
                      <w:color w:val="C00000"/>
                    </w:rPr>
                  </m:ctrlPr>
                </m:e>
                <m:sub>
                  <m:r>
                    <w:rPr>
                      <w:rFonts w:ascii="Cambria Math" w:hAnsi="Cambria Math"/>
                      <w:color w:val="C00000"/>
                    </w:rPr>
                    <m:t>s</m:t>
                  </m:r>
                  <m:ctrlPr>
                    <w:rPr>
                      <w:rFonts w:ascii="Cambria Math" w:hAnsi="Cambria Math"/>
                      <w:color w:val="C00000"/>
                    </w:rPr>
                  </m:ctrlPr>
                </m:sub>
                <m:sup>
                  <m:r>
                    <w:rPr>
                      <w:rFonts w:ascii="Cambria Math" w:hAnsi="Cambria Math"/>
                      <w:color w:val="C00000"/>
                    </w:rPr>
                    <m:t>(L)</m:t>
                  </m:r>
                </m:sup>
              </m:sSubSup>
            </m:oMath>
            <w:r w:rsidRPr="00E554B0">
              <w:rPr>
                <w:color w:val="C00000"/>
              </w:rPr>
              <w:t>.  When multiple PDCCH candidates have the same priority, dropping order is defined according to the predefined priorities</w:t>
            </w:r>
            <w:r w:rsidR="0078091F">
              <w:rPr>
                <w:color w:val="C00000"/>
              </w:rPr>
              <w:t xml:space="preserve">. </w:t>
            </w:r>
            <w:r w:rsidRPr="00E554B0">
              <w:rPr>
                <w:color w:val="C00000"/>
              </w:rPr>
              <w:t xml:space="preserve">PDCCH candidate with a lowest L is dropped first and PDCCH candidate with a lowest search space set index s is dropped second. </w:t>
            </w:r>
          </w:p>
          <w:p w14:paraId="5AA7B7D4" w14:textId="77777777" w:rsidR="0080315D" w:rsidRDefault="0080315D" w:rsidP="0080315D">
            <w:r w:rsidRPr="00E554B0">
              <w:rPr>
                <w:color w:val="C00000"/>
              </w:rPr>
              <w:t>When in given slot, the number of configured PDCCH candidates results in number of CCE exceeding the UE’s channel estimation capability, the PDCCH candidates with the smallest</w:t>
            </w:r>
            <w:r w:rsidRPr="05FE66B3">
              <w:rPr>
                <w:i/>
                <w:iCs/>
                <w:color w:val="C00000"/>
              </w:rPr>
              <w:t xml:space="preserve"> priority number </w:t>
            </w:r>
            <m:oMath>
              <m:sSub>
                <m:sSubPr>
                  <m:ctrlPr>
                    <w:rPr>
                      <w:rFonts w:ascii="Cambria Math" w:hAnsi="Cambria Math" w:cs="Arial"/>
                      <w:i/>
                      <w:color w:val="C00000"/>
                    </w:rPr>
                  </m:ctrlPr>
                </m:sSubPr>
                <m:e>
                  <m:r>
                    <w:rPr>
                      <w:rFonts w:ascii="Cambria Math" w:hAnsi="Cambria Math" w:cs="Arial"/>
                      <w:color w:val="C00000"/>
                    </w:rPr>
                    <m:t>ρ</m:t>
                  </m:r>
                </m:e>
                <m:sub>
                  <m:r>
                    <w:rPr>
                      <w:rFonts w:ascii="Cambria Math" w:hAnsi="Cambria Math" w:cs="Arial"/>
                      <w:color w:val="C00000"/>
                      <w:vertAlign w:val="subscript"/>
                    </w:rPr>
                    <m:t>BD</m:t>
                  </m:r>
                </m:sub>
              </m:sSub>
              <m:r>
                <m:rPr>
                  <m:sty m:val="p"/>
                </m:rPr>
                <w:rPr>
                  <w:rFonts w:ascii="Cambria Math" w:hAnsi="Cambria Math" w:cs="Arial"/>
                  <w:color w:val="C00000"/>
                </w:rPr>
                <m:t xml:space="preserve"> </m:t>
              </m:r>
              <m:r>
                <w:rPr>
                  <w:rFonts w:ascii="Cambria Math" w:hAnsi="Cambria Math" w:cs="Arial"/>
                  <w:color w:val="C00000"/>
                </w:rPr>
                <m:t>(s,L,m)</m:t>
              </m:r>
            </m:oMath>
            <w:r w:rsidRPr="00E554B0">
              <w:rPr>
                <w:color w:val="C00000"/>
              </w:rPr>
              <w:t xml:space="preserve"> are dropped, until the number of CCEs for which channel estimation is to be performed is within the UE’s capability. Only the UE-specific search space candidates are labelled with priority number, and the priority number is defined as </w:t>
            </w:r>
            <w:r w:rsidRPr="00E554B0">
              <w:fldChar w:fldCharType="begin"/>
            </w:r>
            <w:r w:rsidRPr="00E554B0">
              <w:rPr>
                <w:color w:val="C00000"/>
              </w:rPr>
              <w:instrText xml:space="preserve"> QUOTE </w:instrText>
            </w:r>
            <m:oMath>
              <m:sSub>
                <m:sSubPr>
                  <m:ctrlPr>
                    <w:rPr>
                      <w:rFonts w:ascii="Cambria Math" w:hAnsi="Cambria Math" w:cs="Arial"/>
                      <w:i/>
                      <w:color w:val="C00000"/>
                      <w:lang w:val="en-US"/>
                    </w:rPr>
                  </m:ctrlPr>
                </m:sSubPr>
                <m:e>
                  <m:r>
                    <m:rPr>
                      <m:sty m:val="p"/>
                    </m:rPr>
                    <w:rPr>
                      <w:rFonts w:ascii="Cambria Math" w:hAnsi="Cambria Math" w:cs="Arial"/>
                      <w:color w:val="C00000"/>
                      <w:lang w:val="en-US"/>
                    </w:rPr>
                    <m:t>ρ</m:t>
                  </m:r>
                </m:e>
                <m:sub>
                  <m:r>
                    <m:rPr>
                      <m:sty m:val="p"/>
                    </m:rPr>
                    <w:rPr>
                      <w:rFonts w:ascii="Cambria Math" w:hAnsi="Cambria Math" w:cs="Arial"/>
                      <w:color w:val="C00000"/>
                      <w:vertAlign w:val="subscript"/>
                      <w:lang w:val="en-US"/>
                    </w:rPr>
                    <m:t>BD</m:t>
                  </m:r>
                </m:sub>
              </m:sSub>
              <m:r>
                <m:rPr>
                  <m:sty m:val="p"/>
                </m:rPr>
                <w:rPr>
                  <w:rFonts w:ascii="Cambria Math" w:hAnsi="Cambria Math" w:cs="Arial"/>
                  <w:color w:val="C00000"/>
                  <w:lang w:val="en-US"/>
                </w:rPr>
                <m:t xml:space="preserve"> (s,L,m)= </m:t>
              </m:r>
              <m:f>
                <m:fPr>
                  <m:ctrlPr>
                    <w:rPr>
                      <w:rFonts w:ascii="Cambria Math" w:hAnsi="Cambria Math" w:cs="Arial"/>
                      <w:i/>
                      <w:color w:val="C00000"/>
                    </w:rPr>
                  </m:ctrlPr>
                </m:fPr>
                <m:num>
                  <m:r>
                    <m:rPr>
                      <m:sty m:val="p"/>
                    </m:rPr>
                    <w:rPr>
                      <w:rFonts w:ascii="Cambria Math" w:hAnsi="Cambria Math" w:cs="Cambria Math"/>
                      <w:color w:val="C00000"/>
                      <w:lang w:val="en-US"/>
                    </w:rPr>
                    <m:t>m</m:t>
                  </m:r>
                </m:num>
                <m:den>
                  <m:sSubSup>
                    <m:sSubSupPr>
                      <m:ctrlPr>
                        <w:rPr>
                          <w:rFonts w:ascii="Cambria Math" w:hAnsi="Cambria Math" w:cs="Cambria Math"/>
                          <w:i/>
                          <w:color w:val="C00000"/>
                          <w:lang w:val="en-US"/>
                        </w:rPr>
                      </m:ctrlPr>
                    </m:sSubSupPr>
                    <m:e>
                      <m:r>
                        <m:rPr>
                          <m:sty m:val="p"/>
                        </m:rPr>
                        <w:rPr>
                          <w:rFonts w:ascii="Cambria Math" w:hAnsi="Cambria Math"/>
                          <w:color w:val="C00000"/>
                        </w:rPr>
                        <m:t>M</m:t>
                      </m:r>
                      <m:ctrlPr>
                        <w:rPr>
                          <w:rFonts w:ascii="Cambria Math" w:hAnsi="Cambria Math"/>
                          <w:color w:val="C00000"/>
                        </w:rPr>
                      </m:ctrlPr>
                    </m:e>
                    <m:sub>
                      <m:r>
                        <m:rPr>
                          <m:sty m:val="p"/>
                        </m:rPr>
                        <w:rPr>
                          <w:rFonts w:ascii="Cambria Math" w:hAnsi="Cambria Math"/>
                          <w:color w:val="C00000"/>
                        </w:rPr>
                        <m:t>s</m:t>
                      </m:r>
                      <m:ctrlPr>
                        <w:rPr>
                          <w:rFonts w:ascii="Cambria Math" w:hAnsi="Cambria Math"/>
                          <w:color w:val="C00000"/>
                        </w:rPr>
                      </m:ctrlPr>
                    </m:sub>
                    <m:sup>
                      <m:r>
                        <m:rPr>
                          <m:sty m:val="p"/>
                        </m:rPr>
                        <w:rPr>
                          <w:rFonts w:ascii="Cambria Math" w:hAnsi="Cambria Math"/>
                          <w:color w:val="C00000"/>
                        </w:rPr>
                        <m:t>(L)</m:t>
                      </m:r>
                    </m:sup>
                  </m:sSubSup>
                </m:den>
              </m:f>
            </m:oMath>
            <w:r w:rsidRPr="00E554B0">
              <w:rPr>
                <w:color w:val="C00000"/>
              </w:rPr>
              <w:instrText xml:space="preserve"> </w:instrText>
            </w:r>
            <w:r w:rsidRPr="00E554B0">
              <w:rPr>
                <w:color w:val="C00000"/>
              </w:rPr>
              <w:fldChar w:fldCharType="end"/>
            </w:r>
            <m:oMath>
              <m:sSub>
                <m:sSubPr>
                  <m:ctrlPr>
                    <w:rPr>
                      <w:rFonts w:ascii="Cambria Math" w:hAnsi="Cambria Math" w:cs="Arial"/>
                      <w:i/>
                      <w:color w:val="C00000"/>
                      <w:lang w:val="en-US"/>
                    </w:rPr>
                  </m:ctrlPr>
                </m:sSubPr>
                <m:e>
                  <m:r>
                    <w:rPr>
                      <w:rFonts w:ascii="Cambria Math" w:hAnsi="Cambria Math" w:cs="Arial"/>
                      <w:color w:val="C00000"/>
                      <w:lang w:val="en-US"/>
                    </w:rPr>
                    <m:t>ρ</m:t>
                  </m:r>
                </m:e>
                <m:sub>
                  <m:r>
                    <w:rPr>
                      <w:rFonts w:ascii="Cambria Math" w:hAnsi="Cambria Math" w:cs="Arial"/>
                      <w:color w:val="C00000"/>
                      <w:vertAlign w:val="subscript"/>
                      <w:lang w:val="en-US"/>
                    </w:rPr>
                    <m:t>BD</m:t>
                  </m:r>
                </m:sub>
              </m:sSub>
              <m:r>
                <m:rPr>
                  <m:sty m:val="p"/>
                </m:rPr>
                <w:rPr>
                  <w:rFonts w:ascii="Cambria Math" w:hAnsi="Cambria Math" w:cs="Arial"/>
                  <w:color w:val="C00000"/>
                  <w:lang w:val="en-US"/>
                </w:rPr>
                <m:t xml:space="preserve"> </m:t>
              </m:r>
              <m:r>
                <w:rPr>
                  <w:rFonts w:ascii="Cambria Math" w:hAnsi="Cambria Math" w:cs="Arial"/>
                  <w:color w:val="C00000"/>
                  <w:lang w:val="en-US"/>
                </w:rPr>
                <m:t>(s,L,m)=</m:t>
              </m:r>
              <m:r>
                <w:rPr>
                  <w:rFonts w:ascii="Cambria Math" w:hAnsi="Cambria Math" w:cs="Cambria Math"/>
                  <w:color w:val="C00000"/>
                  <w:lang w:val="en-US"/>
                </w:rPr>
                <m:t>m/</m:t>
              </m:r>
              <m:sSubSup>
                <m:sSubSupPr>
                  <m:ctrlPr>
                    <w:rPr>
                      <w:rFonts w:ascii="Cambria Math" w:hAnsi="Cambria Math" w:cs="Cambria Math"/>
                      <w:i/>
                      <w:color w:val="C00000"/>
                      <w:lang w:val="en-US"/>
                    </w:rPr>
                  </m:ctrlPr>
                </m:sSubSupPr>
                <m:e>
                  <m:r>
                    <m:rPr>
                      <m:sty m:val="p"/>
                    </m:rPr>
                    <w:rPr>
                      <w:rFonts w:ascii="Cambria Math" w:hAnsi="Cambria Math"/>
                      <w:color w:val="C00000"/>
                    </w:rPr>
                    <m:t>M</m:t>
                  </m:r>
                  <m:ctrlPr>
                    <w:rPr>
                      <w:rFonts w:ascii="Cambria Math" w:hAnsi="Cambria Math"/>
                      <w:color w:val="C00000"/>
                    </w:rPr>
                  </m:ctrlPr>
                </m:e>
                <m:sub>
                  <m:r>
                    <w:rPr>
                      <w:rFonts w:ascii="Cambria Math" w:hAnsi="Cambria Math"/>
                      <w:color w:val="C00000"/>
                    </w:rPr>
                    <m:t>s</m:t>
                  </m:r>
                  <m:ctrlPr>
                    <w:rPr>
                      <w:rFonts w:ascii="Cambria Math" w:hAnsi="Cambria Math"/>
                      <w:color w:val="C00000"/>
                    </w:rPr>
                  </m:ctrlPr>
                </m:sub>
                <m:sup>
                  <m:r>
                    <w:rPr>
                      <w:rFonts w:ascii="Cambria Math" w:hAnsi="Cambria Math"/>
                      <w:color w:val="C00000"/>
                    </w:rPr>
                    <m:t>(L)</m:t>
                  </m:r>
                </m:sup>
              </m:sSubSup>
            </m:oMath>
            <w:r w:rsidRPr="00E554B0">
              <w:rPr>
                <w:color w:val="C00000"/>
              </w:rPr>
              <w:t xml:space="preserve">.  When multiple PDCCH candidates have the same priority, dropping order is defined according to the predefined priorities, PDCCH candidate with a lowest L is dropped first and PDCCH candidate with a lowest search space set index s is dropped first.  When selected PDCCH candidate from search space s associated with CORESET p is dropped, all PDCCH candidates of search-spaces sets associated with CORESET p overlapping, at least partially, with the selected candidate are dropped. </w:t>
            </w:r>
          </w:p>
          <w:p w14:paraId="702DEFD8" w14:textId="77777777" w:rsidR="0080315D" w:rsidRDefault="0080315D" w:rsidP="005D7710">
            <w:pPr>
              <w:spacing w:after="0"/>
              <w:jc w:val="both"/>
              <w:rPr>
                <w:b/>
                <w:u w:val="single"/>
                <w:lang w:val="en-US"/>
              </w:rPr>
            </w:pPr>
          </w:p>
        </w:tc>
      </w:tr>
    </w:tbl>
    <w:p w14:paraId="152873F9" w14:textId="77777777" w:rsidR="005D7710" w:rsidRPr="00464B56" w:rsidRDefault="005D7710" w:rsidP="005D7710">
      <w:pPr>
        <w:spacing w:after="0"/>
        <w:jc w:val="both"/>
        <w:rPr>
          <w:b/>
          <w:u w:val="single"/>
          <w:lang w:val="en-US"/>
        </w:rPr>
      </w:pPr>
    </w:p>
    <w:p w14:paraId="0AB4259E" w14:textId="77777777" w:rsidR="00591379" w:rsidRPr="0000313F" w:rsidRDefault="00591379" w:rsidP="00CB7EE0"/>
    <w:p w14:paraId="4AB1496F" w14:textId="32BBE537" w:rsidR="0028443D" w:rsidRPr="008F5D03" w:rsidRDefault="05FE66B3" w:rsidP="0028443D">
      <w:pPr>
        <w:pStyle w:val="Heading2"/>
      </w:pPr>
      <w:r>
        <w:t>Revisiting the NR hashing function</w:t>
      </w:r>
    </w:p>
    <w:p w14:paraId="0E5B0DC1" w14:textId="77777777" w:rsidR="0028443D" w:rsidRDefault="05FE66B3" w:rsidP="0028443D">
      <w:pPr>
        <w:jc w:val="both"/>
      </w:pPr>
      <w:r>
        <w:t xml:space="preserve">In RAN#91, it was concluded that hashing function modification is one way to reduce the number of required BDs and CCEs to be channel estimated. </w:t>
      </w:r>
    </w:p>
    <w:p w14:paraId="562B6434" w14:textId="77777777" w:rsidR="0028443D" w:rsidRDefault="05FE66B3" w:rsidP="0028443D">
      <w:pPr>
        <w:jc w:val="both"/>
      </w:pPr>
      <w:r>
        <w:t>The NR hashing function of LTE EPDCCH (currently supported) randomizes the allocation of the PDCCH candidates within the CORESET according to [8]</w:t>
      </w:r>
    </w:p>
    <w:p w14:paraId="59AFF67B" w14:textId="77777777" w:rsidR="0028443D" w:rsidRPr="00DC36D9" w:rsidRDefault="0028443D" w:rsidP="0028443D">
      <w:pPr>
        <w:jc w:val="center"/>
      </w:pPr>
      <w:r w:rsidRPr="00AF2CDF">
        <w:rPr>
          <w:position w:val="-38"/>
        </w:rPr>
        <w:object w:dxaOrig="5040" w:dyaOrig="880" w14:anchorId="4E94A8AD">
          <v:shape id="_x0000_i1063" type="#_x0000_t75" style="width:252.6pt;height:43.8pt" o:ole="">
            <v:imagedata r:id="rId83" o:title=""/>
          </v:shape>
          <o:OLEObject Type="Embed" ProgID="Equation.3" ShapeID="_x0000_i1063" DrawAspect="Content" ObjectID="_1577286852" r:id="rId84"/>
        </w:object>
      </w:r>
      <w:r>
        <w:t>,</w:t>
      </w:r>
    </w:p>
    <w:p w14:paraId="4E8FB37C" w14:textId="77777777" w:rsidR="0028443D" w:rsidRPr="00DC36D9" w:rsidRDefault="05FE66B3" w:rsidP="05FE66B3">
      <w:pPr>
        <w:rPr>
          <w:lang w:val="en-US"/>
        </w:rPr>
      </w:pPr>
      <w:r w:rsidRPr="05FE66B3">
        <w:rPr>
          <w:lang w:val="en-US"/>
        </w:rPr>
        <w:lastRenderedPageBreak/>
        <w:t>where</w:t>
      </w:r>
    </w:p>
    <w:p w14:paraId="79E57DFA" w14:textId="77777777" w:rsidR="0028443D" w:rsidRDefault="05FE66B3" w:rsidP="05FE66B3">
      <w:pPr>
        <w:numPr>
          <w:ilvl w:val="0"/>
          <w:numId w:val="3"/>
        </w:numPr>
        <w:rPr>
          <w:lang w:val="en-US"/>
        </w:rPr>
      </w:pPr>
      <w:r w:rsidRPr="05FE66B3">
        <w:rPr>
          <w:i/>
          <w:iCs/>
        </w:rPr>
        <w:t>L</w:t>
      </w:r>
      <w:r>
        <w:t xml:space="preserve"> </w:t>
      </w:r>
      <w:r w:rsidRPr="05FE66B3">
        <w:rPr>
          <w:lang w:val="en-US"/>
        </w:rPr>
        <w:t>is the number of CCEs for the aggregation level (AL) the UE monitors,</w:t>
      </w:r>
    </w:p>
    <w:p w14:paraId="741EC92B" w14:textId="77777777" w:rsidR="0028443D" w:rsidRPr="00AD085F" w:rsidRDefault="05FE66B3" w:rsidP="05FE66B3">
      <w:pPr>
        <w:numPr>
          <w:ilvl w:val="0"/>
          <w:numId w:val="3"/>
        </w:numPr>
        <w:rPr>
          <w:lang w:val="en-US"/>
        </w:rPr>
      </w:pPr>
      <w:r w:rsidRPr="05FE66B3">
        <w:rPr>
          <w:i/>
          <w:iCs/>
        </w:rPr>
        <w:t xml:space="preserve">b </w:t>
      </w:r>
      <w:r>
        <w:t>is search-space offset for scheduling cell of CIF value equal to b,</w:t>
      </w:r>
    </w:p>
    <w:p w14:paraId="5C185F72" w14:textId="77777777" w:rsidR="0028443D" w:rsidRPr="00DC36D9" w:rsidRDefault="0037594D" w:rsidP="05FE66B3">
      <w:pPr>
        <w:numPr>
          <w:ilvl w:val="0"/>
          <w:numId w:val="3"/>
        </w:numPr>
        <w:rPr>
          <w:lang w:val="en-US"/>
        </w:rPr>
      </w:pPr>
      <m:oMath>
        <m:sSub>
          <m:sSubPr>
            <m:ctrlPr>
              <w:rPr>
                <w:rFonts w:ascii="Cambria Math" w:hAnsi="Cambria Math"/>
                <w:i/>
                <w:iCs/>
                <w:lang w:val="de-DE"/>
              </w:rPr>
            </m:ctrlPr>
          </m:sSubPr>
          <m:e>
            <m:r>
              <w:rPr>
                <w:rFonts w:ascii="Cambria Math" w:hAnsi="Cambria Math"/>
                <w:lang w:val="en-US"/>
              </w:rPr>
              <m:t>N</m:t>
            </m:r>
          </m:e>
          <m:sub>
            <m:r>
              <m:rPr>
                <m:sty m:val="p"/>
              </m:rPr>
              <w:rPr>
                <w:rFonts w:ascii="Cambria Math" w:hAnsi="Cambria Math"/>
                <w:lang w:val="en-US"/>
              </w:rPr>
              <m:t>ECCE,p,k</m:t>
            </m:r>
          </m:sub>
        </m:sSub>
      </m:oMath>
      <w:r w:rsidR="0028443D" w:rsidRPr="00963A6B">
        <w:rPr>
          <w:lang w:val="en-US"/>
        </w:rPr>
        <w:t xml:space="preserve"> is the </w:t>
      </w:r>
      <w:r w:rsidR="0028443D">
        <w:rPr>
          <w:lang w:val="en-US"/>
        </w:rPr>
        <w:t>tot</w:t>
      </w:r>
      <w:r w:rsidR="0028443D" w:rsidRPr="00963A6B">
        <w:rPr>
          <w:lang w:val="en-US"/>
        </w:rPr>
        <w:t xml:space="preserve">al number of CCEs for the given </w:t>
      </w:r>
      <w:r w:rsidR="0028443D" w:rsidRPr="05FE66B3">
        <w:rPr>
          <w:i/>
          <w:iCs/>
          <w:lang w:val="en-US"/>
        </w:rPr>
        <w:t>p</w:t>
      </w:r>
      <w:r w:rsidR="0028443D">
        <w:rPr>
          <w:lang w:val="en-US"/>
        </w:rPr>
        <w:t>-</w:t>
      </w:r>
      <w:proofErr w:type="spellStart"/>
      <w:r w:rsidR="0028443D">
        <w:rPr>
          <w:lang w:val="en-US"/>
        </w:rPr>
        <w:t>th</w:t>
      </w:r>
      <w:proofErr w:type="spellEnd"/>
      <w:r w:rsidR="0028443D">
        <w:rPr>
          <w:lang w:val="en-US"/>
        </w:rPr>
        <w:t xml:space="preserve"> </w:t>
      </w:r>
      <w:r w:rsidR="0028443D" w:rsidRPr="00963A6B">
        <w:rPr>
          <w:lang w:val="en-US"/>
        </w:rPr>
        <w:t>CORESET</w:t>
      </w:r>
      <w:r w:rsidR="0028443D">
        <w:rPr>
          <w:lang w:val="en-US"/>
        </w:rPr>
        <w:t xml:space="preserve"> in subframe/TTI </w:t>
      </w:r>
      <w:proofErr w:type="gramStart"/>
      <w:r w:rsidR="0028443D" w:rsidRPr="05FE66B3">
        <w:rPr>
          <w:i/>
          <w:iCs/>
          <w:lang w:val="en-US"/>
        </w:rPr>
        <w:t>k</w:t>
      </w:r>
      <w:r w:rsidR="0028443D">
        <w:rPr>
          <w:lang w:val="en-US"/>
        </w:rPr>
        <w:t>,</w:t>
      </w:r>
      <w:proofErr w:type="gramEnd"/>
    </w:p>
    <w:p w14:paraId="2E1276C0" w14:textId="77777777" w:rsidR="0028443D" w:rsidRDefault="0028443D" w:rsidP="05FE66B3">
      <w:pPr>
        <w:numPr>
          <w:ilvl w:val="0"/>
          <w:numId w:val="3"/>
        </w:numPr>
        <w:rPr>
          <w:lang w:val="en-US"/>
        </w:rPr>
      </w:pPr>
      <w:r w:rsidRPr="05FE66B3">
        <w:rPr>
          <w:i/>
          <w:iCs/>
          <w:lang w:val="en-US"/>
        </w:rPr>
        <w:t>m</w:t>
      </w:r>
      <w:r w:rsidRPr="00963A6B">
        <w:rPr>
          <w:lang w:val="en-US"/>
        </w:rPr>
        <w:t xml:space="preserve"> is 0, 1, …, </w:t>
      </w:r>
      <m:oMath>
        <m:r>
          <w:rPr>
            <w:rFonts w:ascii="Cambria Math" w:hAnsi="Cambria Math"/>
            <w:lang w:val="en-US"/>
          </w:rPr>
          <m:t>M-1</m:t>
        </m:r>
      </m:oMath>
      <w:r>
        <w:rPr>
          <w:lang w:val="en-US"/>
        </w:rPr>
        <w:t>,</w:t>
      </w:r>
      <w:r w:rsidRPr="00963A6B">
        <w:rPr>
          <w:lang w:val="en-US"/>
        </w:rPr>
        <w:t xml:space="preserve"> where </w:t>
      </w:r>
      <w:r w:rsidRPr="05FE66B3">
        <w:rPr>
          <w:i/>
          <w:iCs/>
          <w:lang w:val="en-US"/>
        </w:rPr>
        <w:t>M</w:t>
      </w:r>
      <w:r w:rsidRPr="00963A6B">
        <w:rPr>
          <w:lang w:val="en-US"/>
        </w:rPr>
        <w:t xml:space="preserve"> is the number of PDCCH candidates for the aggregation level that the UE monitors</w:t>
      </w:r>
      <w:r>
        <w:rPr>
          <w:lang w:val="en-US"/>
        </w:rPr>
        <w:t>,</w:t>
      </w:r>
    </w:p>
    <w:p w14:paraId="15627187" w14:textId="77777777" w:rsidR="0028443D" w:rsidRPr="00DC36D9" w:rsidRDefault="0037594D" w:rsidP="05FE66B3">
      <w:pPr>
        <w:numPr>
          <w:ilvl w:val="0"/>
          <w:numId w:val="3"/>
        </w:numPr>
        <w:rPr>
          <w:lang w:val="en-US"/>
        </w:rPr>
      </w:pPr>
      <m:oMath>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p,full</m:t>
            </m:r>
          </m:sub>
          <m:sup>
            <m:r>
              <w:rPr>
                <w:rFonts w:ascii="Cambria Math" w:hAnsi="Cambria Math"/>
                <w:lang w:val="en-US"/>
              </w:rPr>
              <m:t>(L)</m:t>
            </m:r>
          </m:sup>
        </m:sSubSup>
      </m:oMath>
      <w:r w:rsidR="0028443D">
        <w:rPr>
          <w:lang w:val="en-US"/>
        </w:rPr>
        <w:t xml:space="preserve"> is the nominal or maximum number of PDCCH candidates for the agg</w:t>
      </w:r>
      <w:proofErr w:type="spellStart"/>
      <w:r w:rsidR="0028443D">
        <w:rPr>
          <w:lang w:val="en-US"/>
        </w:rPr>
        <w:t>regation</w:t>
      </w:r>
      <w:proofErr w:type="spellEnd"/>
      <w:r w:rsidR="0028443D">
        <w:rPr>
          <w:lang w:val="en-US"/>
        </w:rPr>
        <w:t xml:space="preserve"> level,</w:t>
      </w:r>
    </w:p>
    <w:p w14:paraId="7CAA1058" w14:textId="77777777" w:rsidR="0028443D" w:rsidRPr="00DC36D9" w:rsidRDefault="0028443D" w:rsidP="05FE66B3">
      <w:pPr>
        <w:numPr>
          <w:ilvl w:val="0"/>
          <w:numId w:val="3"/>
        </w:numPr>
        <w:rPr>
          <w:lang w:val="en-US"/>
        </w:rPr>
      </w:pPr>
      <w:r w:rsidRPr="05FE66B3">
        <w:rPr>
          <w:i/>
          <w:iCs/>
          <w:lang w:val="en-US"/>
        </w:rPr>
        <w:t>i</w:t>
      </w:r>
      <w:r>
        <w:rPr>
          <w:lang w:val="en-US"/>
        </w:rPr>
        <w:t xml:space="preserve"> (</w:t>
      </w:r>
      <w:r w:rsidRPr="00963A6B">
        <w:rPr>
          <w:lang w:val="en-US"/>
        </w:rPr>
        <w:t xml:space="preserve">0, 1, …, </w:t>
      </w:r>
      <m:oMath>
        <m:r>
          <w:rPr>
            <w:rFonts w:ascii="Cambria Math" w:hAnsi="Cambria Math"/>
            <w:lang w:val="de-DE"/>
          </w:rPr>
          <m:t>L</m:t>
        </m:r>
        <m:r>
          <w:rPr>
            <w:rFonts w:ascii="Cambria Math" w:hAnsi="Cambria Math"/>
            <w:lang w:val="en-US"/>
          </w:rPr>
          <m:t>-1 </m:t>
        </m:r>
      </m:oMath>
      <w:r w:rsidRPr="05FE66B3">
        <w:rPr>
          <w:lang w:val="en-US"/>
        </w:rPr>
        <w:t>) is the contiguous CCE index of the PDCCH candidate,</w:t>
      </w:r>
    </w:p>
    <w:p w14:paraId="23420B0A" w14:textId="77777777" w:rsidR="0028443D" w:rsidRPr="00A10FA3" w:rsidRDefault="0037594D" w:rsidP="05FE66B3">
      <w:pPr>
        <w:numPr>
          <w:ilvl w:val="0"/>
          <w:numId w:val="3"/>
        </w:numPr>
        <w:rPr>
          <w:lang w:val="en-US"/>
        </w:rPr>
      </w:pPr>
      <m:oMath>
        <m:sSub>
          <m:sSubPr>
            <m:ctrlPr>
              <w:rPr>
                <w:rFonts w:ascii="Cambria Math" w:hAnsi="Cambria Math"/>
                <w:i/>
              </w:rPr>
            </m:ctrlPr>
          </m:sSubPr>
          <m:e>
            <m:r>
              <w:rPr>
                <w:rFonts w:ascii="Cambria Math" w:hAnsi="Cambria Math"/>
              </w:rPr>
              <m:t>Y</m:t>
            </m:r>
          </m:e>
          <m:sub>
            <m:r>
              <w:rPr>
                <w:rFonts w:ascii="Cambria Math" w:hAnsi="Cambria Math"/>
              </w:rPr>
              <m:t>p,k</m:t>
            </m:r>
          </m:sub>
        </m:sSub>
      </m:oMath>
      <w:r w:rsidR="0028443D">
        <w:t xml:space="preserve"> is a pseudo-random variable based on the RNTI of the user and based on subframe index </w:t>
      </w:r>
      <w:r w:rsidR="0028443D" w:rsidRPr="05FE66B3">
        <w:rPr>
          <w:i/>
          <w:iCs/>
        </w:rPr>
        <w:t xml:space="preserve">k </w:t>
      </w:r>
      <w:r w:rsidR="0028443D" w:rsidRPr="00EC440C">
        <w:t>(0, 1, …, 9)</w:t>
      </w:r>
      <w:r w:rsidR="0028443D">
        <w:t xml:space="preserve">, </w:t>
      </w:r>
    </w:p>
    <w:p w14:paraId="37AE36E8" w14:textId="77777777" w:rsidR="0028443D" w:rsidRPr="00EC440C" w:rsidRDefault="05FE66B3" w:rsidP="05FE66B3">
      <w:pPr>
        <w:numPr>
          <w:ilvl w:val="0"/>
          <w:numId w:val="3"/>
        </w:numPr>
        <w:rPr>
          <w:lang w:val="en-US"/>
        </w:rPr>
      </w:pPr>
      <w:r w:rsidRPr="05FE66B3">
        <w:rPr>
          <w:i/>
          <w:iCs/>
        </w:rPr>
        <w:t>p</w:t>
      </w:r>
      <w:r>
        <w:t xml:space="preserve"> is for indication of a EPDCCH resource set, and</w:t>
      </w:r>
    </w:p>
    <w:p w14:paraId="317D2591" w14:textId="77777777" w:rsidR="0028443D" w:rsidRPr="00DC36D9" w:rsidRDefault="0037594D" w:rsidP="05FE66B3">
      <w:pPr>
        <w:numPr>
          <w:ilvl w:val="0"/>
          <w:numId w:val="3"/>
        </w:numPr>
        <w:rPr>
          <w:lang w:val="en-US"/>
        </w:rPr>
      </w:pPr>
      <m:oMath>
        <m:d>
          <m:dPr>
            <m:begChr m:val="⌊"/>
            <m:endChr m:val="⌋"/>
            <m:ctrlPr>
              <w:rPr>
                <w:rFonts w:ascii="Cambria Math" w:hAnsi="Cambria Math"/>
                <w:i/>
              </w:rPr>
            </m:ctrlPr>
          </m:dPr>
          <m:e>
            <m:r>
              <m:rPr>
                <m:nor/>
              </m:rPr>
              <w:rPr>
                <w:rFonts w:ascii="Cambria Math" w:hAnsi="Cambria Math"/>
              </w:rPr>
              <m:t>.</m:t>
            </m:r>
          </m:e>
        </m:d>
      </m:oMath>
      <w:r w:rsidR="0028443D">
        <w:t xml:space="preserve"> denotes the floor operation</w:t>
      </w:r>
      <w:r w:rsidR="0028443D" w:rsidRPr="00663EAE">
        <w:rPr>
          <w:lang w:val="en-US"/>
        </w:rPr>
        <w:t>.</w:t>
      </w:r>
    </w:p>
    <w:p w14:paraId="291709DD" w14:textId="77777777" w:rsidR="0028443D" w:rsidRPr="00345467" w:rsidRDefault="0028443D" w:rsidP="0028443D">
      <w:pPr>
        <w:jc w:val="both"/>
      </w:pPr>
      <w:r>
        <w:t xml:space="preserve">Randomized resource allocation is separate for each aggregation level </w:t>
      </w:r>
      <w:r w:rsidRPr="05FE66B3">
        <w:rPr>
          <w:i/>
          <w:iCs/>
        </w:rPr>
        <w:t>L</w:t>
      </w:r>
      <w:r>
        <w:t xml:space="preserve">, and comes with a deterministic offset given by </w:t>
      </w:r>
      <m:oMath>
        <m:r>
          <w:rPr>
            <w:rFonts w:ascii="Cambria Math" w:hAnsi="Cambria Math"/>
          </w:rPr>
          <m:t>L</m:t>
        </m:r>
        <m:d>
          <m:dPr>
            <m:begChr m:val="⌊"/>
            <m:endChr m:val="⌋"/>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mN</m:t>
                    </m:r>
                  </m:e>
                  <m:sub>
                    <m:r>
                      <w:rPr>
                        <w:rFonts w:ascii="Cambria Math" w:hAnsi="Cambria Math"/>
                      </w:rPr>
                      <m:t>ECCE,p,k</m:t>
                    </m:r>
                  </m:sub>
                </m:sSub>
              </m:num>
              <m:den>
                <m:r>
                  <m:rPr>
                    <m:sty m:val="p"/>
                  </m:rPr>
                  <w:rPr>
                    <w:rFonts w:ascii="Cambria Math" w:hAnsi="Cambria Math"/>
                    <w:position w:val="-14"/>
                  </w:rPr>
                  <w:object w:dxaOrig="940" w:dyaOrig="400" w14:anchorId="3337873A">
                    <v:shape id="_x0000_i1066" type="#_x0000_t75" style="width:47.4pt;height:19.8pt" o:ole="">
                      <v:imagedata r:id="rId85" o:title=""/>
                    </v:shape>
                    <o:OLEObject Type="Embed" ProgID="Equation.3" ShapeID="_x0000_i1066" DrawAspect="Content" ObjectID="_1577286853" r:id="rId86"/>
                  </w:object>
                </m:r>
              </m:den>
            </m:f>
          </m:e>
        </m:d>
      </m:oMath>
      <w:r>
        <w:t xml:space="preserve"> between the first (</w:t>
      </w:r>
      <w:r w:rsidRPr="05FE66B3">
        <w:rPr>
          <w:i/>
          <w:iCs/>
        </w:rPr>
        <w:t>m</w:t>
      </w:r>
      <w:r w:rsidRPr="00EC440C">
        <w:t>=0</w:t>
      </w:r>
      <w:r>
        <w:t>) and a further (</w:t>
      </w:r>
      <w:r w:rsidRPr="05FE66B3">
        <w:rPr>
          <w:i/>
          <w:iCs/>
        </w:rPr>
        <w:t>m</w:t>
      </w:r>
      <w:r w:rsidRPr="00EC440C">
        <w:t xml:space="preserve">=1, 2, …, </w:t>
      </w:r>
      <w:r w:rsidRPr="05FE66B3">
        <w:rPr>
          <w:i/>
          <w:iCs/>
        </w:rPr>
        <w:t>M</w:t>
      </w:r>
      <w:r w:rsidRPr="00EC440C">
        <w:t>-1</w:t>
      </w:r>
      <w:r>
        <w:t xml:space="preserve">) PDCCH candidate, with wrap-around over the full CORESET size. </w:t>
      </w:r>
    </w:p>
    <w:p w14:paraId="73E2231F" w14:textId="77777777" w:rsidR="0028443D" w:rsidRDefault="0028443D" w:rsidP="0028443D">
      <w:pPr>
        <w:spacing w:after="0"/>
        <w:jc w:val="both"/>
      </w:pPr>
      <w:r>
        <w:t xml:space="preserve">A particularity of LTE EPDCCH hashing function is that it can divide a CORESET into </w:t>
      </w:r>
      <w:proofErr w:type="gramStart"/>
      <w:r>
        <w:t>a number of</w:t>
      </w:r>
      <w:proofErr w:type="gramEnd"/>
      <w:r>
        <w:t xml:space="preserve"> </w:t>
      </w:r>
      <m:oMath>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p,full</m:t>
            </m:r>
          </m:sub>
          <m:sup>
            <m:r>
              <w:rPr>
                <w:rFonts w:ascii="Cambria Math" w:hAnsi="Cambria Math"/>
                <w:lang w:val="en-US"/>
              </w:rPr>
              <m:t>(L)</m:t>
            </m:r>
          </m:sup>
        </m:sSubSup>
      </m:oMath>
      <w:r>
        <w:t xml:space="preserve"> subbands and allocates a single PDCCH candidate within a subband, where only the starting point of the first (</w:t>
      </w:r>
      <w:r w:rsidRPr="05FE66B3">
        <w:rPr>
          <w:i/>
          <w:iCs/>
        </w:rPr>
        <w:t>m=0</w:t>
      </w:r>
      <w:r>
        <w:t>) PDCCH candidate is randomized, while the allocation of the further (</w:t>
      </w:r>
      <w:r w:rsidRPr="05FE66B3">
        <w:rPr>
          <w:i/>
          <w:iCs/>
        </w:rPr>
        <w:t>m</w:t>
      </w:r>
      <w:r w:rsidRPr="00EC440C">
        <w:t>=1, 2, …,</w:t>
      </w:r>
      <w:r w:rsidRPr="05FE66B3">
        <w:rPr>
          <w:i/>
          <w:iCs/>
        </w:rPr>
        <w:t xml:space="preserve"> M</w:t>
      </w:r>
      <w:r w:rsidRPr="00EC440C">
        <w:t>-1</w:t>
      </w:r>
      <w:r>
        <w:t>) PDCCH candidates is deterministic and approximately equidistant. If the CORESET is configured with non-interleaved CCE-to-REG mapping, this property enables the allocation of a PDCCH candidate in a frequency-selective manner.</w:t>
      </w:r>
    </w:p>
    <w:p w14:paraId="456A532C" w14:textId="77777777" w:rsidR="0028443D" w:rsidRDefault="0028443D" w:rsidP="0028443D">
      <w:pPr>
        <w:spacing w:after="0"/>
        <w:jc w:val="both"/>
      </w:pPr>
    </w:p>
    <w:p w14:paraId="1B05A304" w14:textId="77777777" w:rsidR="0028443D" w:rsidRDefault="0028443D" w:rsidP="0028443D">
      <w:pPr>
        <w:spacing w:after="0"/>
        <w:jc w:val="both"/>
      </w:pPr>
      <w:r>
        <w:t xml:space="preserve">This principle can be extended, such that the CORESET can be divided into </w:t>
      </w:r>
      <m:oMath>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p,full</m:t>
            </m:r>
          </m:sub>
          <m:sup>
            <m:r>
              <w:rPr>
                <w:rFonts w:ascii="Cambria Math" w:hAnsi="Cambria Math"/>
                <w:lang w:val="en-US"/>
              </w:rPr>
              <m:t>(L)</m:t>
            </m:r>
          </m:sup>
        </m:sSubSup>
      </m:oMath>
      <w:r w:rsidRPr="05FE66B3">
        <w:rPr>
          <w:i/>
          <w:iCs/>
        </w:rPr>
        <w:t xml:space="preserve"> </w:t>
      </w:r>
      <w:proofErr w:type="spellStart"/>
      <w:r>
        <w:t>subbands</w:t>
      </w:r>
      <w:proofErr w:type="spellEnd"/>
      <w:r>
        <w:t xml:space="preserve">, but the allocation of the PDCCH candidate within a </w:t>
      </w:r>
      <w:proofErr w:type="spellStart"/>
      <w:r>
        <w:t>subband</w:t>
      </w:r>
      <w:proofErr w:type="spellEnd"/>
      <w:r>
        <w:t xml:space="preserve"> is </w:t>
      </w:r>
      <w:r w:rsidRPr="00DD3A9C">
        <w:t xml:space="preserve">randomized. </w:t>
      </w:r>
      <w:r w:rsidRPr="00DC36D9">
        <w:t xml:space="preserve">For this purpose, </w:t>
      </w:r>
      <w:r w:rsidRPr="00B558DA">
        <w:t>the gen</w:t>
      </w:r>
      <w:r w:rsidRPr="00DC36D9">
        <w:t xml:space="preserve">eration of </w:t>
      </w:r>
      <w:r w:rsidRPr="00DD3A9C">
        <w:t xml:space="preserve">further pseudo-random </w:t>
      </w:r>
      <w:r w:rsidRPr="00DC36D9">
        <w:t xml:space="preserve">numbers </w:t>
      </w:r>
      <w:r>
        <w:t>is</w:t>
      </w:r>
      <w:r w:rsidRPr="00DD3A9C">
        <w:t xml:space="preserve"> required. </w:t>
      </w:r>
      <w:r>
        <w:t>Like with EPCCH hashing function, this procedure</w:t>
      </w:r>
      <w:r w:rsidRPr="00DD3A9C">
        <w:t xml:space="preserve"> enables the allocation</w:t>
      </w:r>
      <w:r>
        <w:t xml:space="preserve"> of a PDCCH candidate in a frequency-selective manner, but, as will be shown in Section 4, compared to EPDCCH hashing function it often results in significantly lower blocking probability.</w:t>
      </w:r>
    </w:p>
    <w:p w14:paraId="424B96BC" w14:textId="77777777" w:rsidR="0028443D" w:rsidRDefault="0028443D" w:rsidP="0028443D">
      <w:pPr>
        <w:spacing w:after="0"/>
        <w:jc w:val="both"/>
      </w:pPr>
    </w:p>
    <w:p w14:paraId="68E292AB" w14:textId="77777777" w:rsidR="0028443D" w:rsidRDefault="0028443D" w:rsidP="0028443D">
      <w:pPr>
        <w:spacing w:after="0"/>
        <w:jc w:val="both"/>
      </w:pPr>
      <w:r>
        <w:t xml:space="preserve">The division of the CORESET into </w:t>
      </w:r>
      <m:oMath>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p,full</m:t>
            </m:r>
          </m:sub>
          <m:sup>
            <m:r>
              <w:rPr>
                <w:rFonts w:ascii="Cambria Math" w:hAnsi="Cambria Math"/>
                <w:lang w:val="en-US"/>
              </w:rPr>
              <m:t>(L)</m:t>
            </m:r>
          </m:sup>
        </m:sSubSup>
      </m:oMath>
      <w:r w:rsidRPr="05FE66B3">
        <w:rPr>
          <w:i/>
          <w:iCs/>
        </w:rPr>
        <w:t xml:space="preserve"> </w:t>
      </w:r>
      <w:proofErr w:type="spellStart"/>
      <w:r>
        <w:t>subbands</w:t>
      </w:r>
      <w:proofErr w:type="spellEnd"/>
      <w:r>
        <w:t xml:space="preserve"> for aggregation level </w:t>
      </w:r>
      <w:r w:rsidRPr="05FE66B3">
        <w:rPr>
          <w:i/>
          <w:iCs/>
        </w:rPr>
        <w:t>L</w:t>
      </w:r>
      <w:r>
        <w:t xml:space="preserve"> can be expressed by the start points of the </w:t>
      </w:r>
      <w:proofErr w:type="spellStart"/>
      <w:r w:rsidRPr="05FE66B3">
        <w:rPr>
          <w:i/>
          <w:iCs/>
        </w:rPr>
        <w:t>m</w:t>
      </w:r>
      <w:r>
        <w:t>th</w:t>
      </w:r>
      <w:proofErr w:type="spellEnd"/>
      <w:r>
        <w:t xml:space="preserve"> </w:t>
      </w:r>
      <w:proofErr w:type="spellStart"/>
      <w:r>
        <w:t>subbands</w:t>
      </w:r>
      <w:proofErr w:type="spellEnd"/>
      <w:r>
        <w:t xml:space="preserve">, given by </w:t>
      </w:r>
      <m:oMath>
        <m:r>
          <w:rPr>
            <w:rFonts w:ascii="Cambria Math" w:hAnsi="Cambria Math"/>
          </w:rPr>
          <m:t>L</m:t>
        </m:r>
        <m:d>
          <m:dPr>
            <m:begChr m:val="⌊"/>
            <m:endChr m:val="⌋"/>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mN</m:t>
                    </m:r>
                  </m:e>
                  <m:sub>
                    <m:r>
                      <w:rPr>
                        <w:rFonts w:ascii="Cambria Math" w:hAnsi="Cambria Math"/>
                      </w:rPr>
                      <m:t>ECCE,p,k</m:t>
                    </m:r>
                  </m:sub>
                </m:sSub>
              </m:num>
              <m:den>
                <m:r>
                  <m:rPr>
                    <m:sty m:val="p"/>
                  </m:rPr>
                  <w:rPr>
                    <w:rFonts w:ascii="Cambria Math" w:hAnsi="Cambria Math"/>
                    <w:position w:val="-14"/>
                  </w:rPr>
                  <w:object w:dxaOrig="940" w:dyaOrig="400" w14:anchorId="74CD0291">
                    <v:shape id="_x0000_i1069" type="#_x0000_t75" style="width:47.4pt;height:19.8pt" o:ole="">
                      <v:imagedata r:id="rId87" o:title=""/>
                    </v:shape>
                    <o:OLEObject Type="Embed" ProgID="Equation.3" ShapeID="_x0000_i1069" DrawAspect="Content" ObjectID="_1577286854" r:id="rId88"/>
                  </w:object>
                </m:r>
              </m:den>
            </m:f>
          </m:e>
        </m:d>
      </m:oMath>
      <w:r>
        <w:t xml:space="preserve">. Within the </w:t>
      </w:r>
      <w:proofErr w:type="spellStart"/>
      <w:r w:rsidRPr="05FE66B3">
        <w:rPr>
          <w:i/>
          <w:iCs/>
        </w:rPr>
        <w:t>m</w:t>
      </w:r>
      <w:r>
        <w:t>th</w:t>
      </w:r>
      <w:proofErr w:type="spellEnd"/>
      <w:r>
        <w:t xml:space="preserve"> </w:t>
      </w:r>
      <w:proofErr w:type="spellStart"/>
      <w:r>
        <w:t>subband</w:t>
      </w:r>
      <w:proofErr w:type="spellEnd"/>
      <w:r>
        <w:t xml:space="preserve">, the number of opportunities to pseudo-randomly allocate a PDCCH candidate is given by </w:t>
      </w:r>
      <m:oMath>
        <m:d>
          <m:dPr>
            <m:begChr m:val="{"/>
            <m:endChr m:val="}"/>
            <m:ctrlPr>
              <w:rPr>
                <w:rFonts w:ascii="Cambria Math" w:hAnsi="Cambria Math"/>
                <w:i/>
              </w:rPr>
            </m:ctrlPr>
          </m:dPr>
          <m:e>
            <m:d>
              <m:dPr>
                <m:begChr m:val="⌊"/>
                <m:endChr m:val="⌋"/>
                <m:ctrlPr>
                  <w:rPr>
                    <w:rFonts w:ascii="Cambria Math" w:hAnsi="Cambria Math"/>
                    <w:i/>
                  </w:rPr>
                </m:ctrlPr>
              </m:dPr>
              <m:e>
                <m:f>
                  <m:fPr>
                    <m:type m:val="skw"/>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m+1)N</m:t>
                        </m:r>
                      </m:e>
                      <m:sub>
                        <m:r>
                          <w:rPr>
                            <w:rFonts w:ascii="Cambria Math" w:hAnsi="Cambria Math"/>
                          </w:rPr>
                          <m:t>ECCE,p,k</m:t>
                        </m:r>
                      </m:sub>
                    </m:sSub>
                  </m:num>
                  <m:den>
                    <m:r>
                      <m:rPr>
                        <m:sty m:val="p"/>
                      </m:rPr>
                      <w:rPr>
                        <w:rFonts w:ascii="Cambria Math" w:hAnsi="Cambria Math"/>
                        <w:position w:val="-14"/>
                      </w:rPr>
                      <w:object w:dxaOrig="940" w:dyaOrig="400" w14:anchorId="2DC1E813">
                        <v:shape id="_x0000_i1076" type="#_x0000_t75" style="width:47.4pt;height:19.8pt" o:ole="">
                          <v:imagedata r:id="rId89" o:title=""/>
                        </v:shape>
                        <o:OLEObject Type="Embed" ProgID="Equation.3" ShapeID="_x0000_i1076" DrawAspect="Content" ObjectID="_1577286855" r:id="rId90"/>
                      </w:object>
                    </m:r>
                  </m:den>
                </m:f>
              </m:e>
            </m:d>
            <m:r>
              <w:rPr>
                <w:rFonts w:ascii="Cambria Math" w:hAnsi="Cambria Math"/>
              </w:rPr>
              <m:t>-</m:t>
            </m:r>
            <m:d>
              <m:dPr>
                <m:begChr m:val="⌊"/>
                <m:endChr m:val="⌋"/>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mN</m:t>
                        </m:r>
                      </m:e>
                      <m:sub>
                        <m:r>
                          <w:rPr>
                            <w:rFonts w:ascii="Cambria Math" w:hAnsi="Cambria Math"/>
                          </w:rPr>
                          <m:t>ECCE,p,k</m:t>
                        </m:r>
                      </m:sub>
                    </m:sSub>
                  </m:num>
                  <m:den>
                    <m:r>
                      <m:rPr>
                        <m:sty m:val="p"/>
                      </m:rPr>
                      <w:rPr>
                        <w:rFonts w:ascii="Cambria Math" w:hAnsi="Cambria Math"/>
                        <w:position w:val="-14"/>
                      </w:rPr>
                      <w:object w:dxaOrig="940" w:dyaOrig="400" w14:anchorId="02F0FF3E">
                        <v:shape id="_x0000_i1077" type="#_x0000_t75" style="width:47.4pt;height:19.8pt" o:ole="">
                          <v:imagedata r:id="rId91" o:title=""/>
                        </v:shape>
                        <o:OLEObject Type="Embed" ProgID="Equation.3" ShapeID="_x0000_i1077" DrawAspect="Content" ObjectID="_1577286856" r:id="rId92"/>
                      </w:object>
                    </m:r>
                  </m:den>
                </m:f>
              </m:e>
            </m:d>
          </m:e>
        </m:d>
      </m:oMath>
      <w:r>
        <w:t xml:space="preserve">. By introducing the pseudo-random variable </w:t>
      </w:r>
      <m:oMath>
        <m:sSub>
          <m:sSubPr>
            <m:ctrlPr>
              <w:rPr>
                <w:rFonts w:ascii="Cambria Math" w:hAnsi="Cambria Math"/>
                <w:i/>
              </w:rPr>
            </m:ctrlPr>
          </m:sSubPr>
          <m:e>
            <m:r>
              <w:rPr>
                <w:rFonts w:ascii="Cambria Math" w:hAnsi="Cambria Math"/>
              </w:rPr>
              <m:t>Z</m:t>
            </m:r>
          </m:e>
          <m:sub>
            <m:r>
              <w:rPr>
                <w:rFonts w:ascii="Cambria Math" w:hAnsi="Cambria Math"/>
              </w:rPr>
              <m:t>k,m</m:t>
            </m:r>
          </m:sub>
        </m:sSub>
      </m:oMath>
      <w:r>
        <w:t xml:space="preserve"> to randomize the starting position within the subband, the following Hashing function is obtained:</w:t>
      </w:r>
    </w:p>
    <w:p w14:paraId="5721AB4C" w14:textId="77777777" w:rsidR="0028443D" w:rsidRDefault="0028443D" w:rsidP="0028443D">
      <w:pPr>
        <w:spacing w:after="0"/>
        <w:jc w:val="both"/>
      </w:pPr>
    </w:p>
    <w:p w14:paraId="41B56225" w14:textId="77777777" w:rsidR="0028443D" w:rsidRDefault="0028443D" w:rsidP="0028443D">
      <w:pPr>
        <w:spacing w:after="0"/>
        <w:jc w:val="center"/>
      </w:pPr>
      <w:r w:rsidRPr="006C43E6">
        <w:rPr>
          <w:position w:val="-38"/>
        </w:rPr>
        <w:object w:dxaOrig="7400" w:dyaOrig="880" w14:anchorId="40C799B5">
          <v:shape id="_x0000_i1078" type="#_x0000_t75" style="width:371.4pt;height:43.8pt" o:ole="">
            <v:imagedata r:id="rId93" o:title=""/>
          </v:shape>
          <o:OLEObject Type="Embed" ProgID="Equation.3" ShapeID="_x0000_i1078" DrawAspect="Content" ObjectID="_1577286857" r:id="rId94"/>
        </w:object>
      </w:r>
    </w:p>
    <w:p w14:paraId="6682EF9E" w14:textId="77777777" w:rsidR="0028443D" w:rsidRDefault="0028443D" w:rsidP="0028443D">
      <w:pPr>
        <w:spacing w:after="0"/>
        <w:jc w:val="both"/>
      </w:pPr>
    </w:p>
    <w:p w14:paraId="482F79DB" w14:textId="77777777" w:rsidR="0028443D" w:rsidRDefault="0028443D" w:rsidP="0028443D">
      <w:pPr>
        <w:spacing w:after="0"/>
        <w:jc w:val="both"/>
      </w:pPr>
      <w:r>
        <w:t xml:space="preserve">where </w:t>
      </w:r>
      <w:r w:rsidRPr="00EC440C">
        <w:rPr>
          <w:position w:val="-14"/>
        </w:rPr>
        <w:object w:dxaOrig="2560" w:dyaOrig="400" w14:anchorId="44608AEC">
          <v:shape id="_x0000_i1079" type="#_x0000_t75" style="width:127.2pt;height:19.8pt" o:ole="">
            <v:imagedata r:id="rId95" o:title=""/>
          </v:shape>
          <o:OLEObject Type="Embed" ProgID="Equation.3" ShapeID="_x0000_i1079" DrawAspect="Content" ObjectID="_1577286858" r:id="rId96"/>
        </w:object>
      </w:r>
      <w:r>
        <w:t xml:space="preserve"> provides the EPDCCH functionality of having the ‘starting </w:t>
      </w:r>
      <w:proofErr w:type="spellStart"/>
      <w:r>
        <w:t>subband</w:t>
      </w:r>
      <w:proofErr w:type="spellEnd"/>
      <w:r>
        <w:t xml:space="preserve"> /offset’ randomized for the candidate.</w:t>
      </w:r>
    </w:p>
    <w:p w14:paraId="6062B141" w14:textId="77777777" w:rsidR="0028443D" w:rsidRDefault="0028443D" w:rsidP="0028443D">
      <w:pPr>
        <w:spacing w:after="0"/>
        <w:jc w:val="both"/>
      </w:pPr>
    </w:p>
    <w:p w14:paraId="4536FDA1" w14:textId="3B5BB9FF" w:rsidR="0028443D" w:rsidRDefault="0028443D" w:rsidP="0028443D">
      <w:pPr>
        <w:spacing w:after="0"/>
        <w:jc w:val="both"/>
      </w:pPr>
      <w:r>
        <w:t>In case the specification would allow the number of sub</w:t>
      </w:r>
      <w:r w:rsidR="0037594D">
        <w:t>-</w:t>
      </w:r>
      <w:r>
        <w:t xml:space="preserve">bands </w:t>
      </w:r>
      <w:r w:rsidRPr="00A725C2">
        <w:rPr>
          <w:position w:val="-14"/>
        </w:rPr>
        <w:object w:dxaOrig="680" w:dyaOrig="400" w14:anchorId="46BE553A">
          <v:shape id="_x0000_i1080" type="#_x0000_t75" style="width:33.6pt;height:19.8pt" o:ole="">
            <v:imagedata r:id="rId97" o:title=""/>
          </v:shape>
          <o:OLEObject Type="Embed" ProgID="Equation.3" ShapeID="_x0000_i1080" DrawAspect="Content" ObjectID="_1577286859" r:id="rId98"/>
        </w:object>
      </w:r>
      <w:r>
        <w:t xml:space="preserve"> to be larger than what the CORESET in number of CCEs could support (i.e. </w:t>
      </w:r>
      <w:r w:rsidRPr="00A725C2">
        <w:rPr>
          <w:position w:val="-14"/>
        </w:rPr>
        <w:object w:dxaOrig="2000" w:dyaOrig="400" w14:anchorId="0ED87594">
          <v:shape id="_x0000_i1081" type="#_x0000_t75" style="width:99.6pt;height:19.8pt" o:ole="">
            <v:imagedata r:id="rId99" o:title=""/>
          </v:shape>
          <o:OLEObject Type="Embed" ProgID="Equation.3" ShapeID="_x0000_i1081" DrawAspect="Content" ObjectID="_1577286860" r:id="rId100"/>
        </w:object>
      </w:r>
      <w:r>
        <w:t xml:space="preserve">), a further </w:t>
      </w:r>
      <w:proofErr w:type="gramStart"/>
      <w:r w:rsidRPr="00C1744F">
        <w:t>max{</w:t>
      </w:r>
      <w:proofErr w:type="gramEnd"/>
      <w:r w:rsidRPr="00C1744F">
        <w:t>1,</w:t>
      </w:r>
      <w:r>
        <w:t>…</w:t>
      </w:r>
      <w:r w:rsidRPr="00C1744F">
        <w:t>}</w:t>
      </w:r>
      <w:r>
        <w:t xml:space="preserve"> function is required to prevent zero as input to the modulo operator, and we obtain the hashing function as follows:</w:t>
      </w:r>
    </w:p>
    <w:p w14:paraId="69ACDC5B" w14:textId="77777777" w:rsidR="0028443D" w:rsidRDefault="0028443D" w:rsidP="0028443D">
      <w:pPr>
        <w:spacing w:after="0"/>
        <w:jc w:val="both"/>
      </w:pPr>
    </w:p>
    <w:p w14:paraId="278E8B37" w14:textId="77777777" w:rsidR="0028443D" w:rsidRDefault="0028443D" w:rsidP="0028443D">
      <w:pPr>
        <w:spacing w:after="0"/>
        <w:jc w:val="center"/>
      </w:pPr>
      <w:r w:rsidRPr="006C43E6">
        <w:rPr>
          <w:position w:val="-40"/>
        </w:rPr>
        <w:object w:dxaOrig="8260" w:dyaOrig="920" w14:anchorId="21236AA3">
          <v:shape id="_x0000_i1082" type="#_x0000_t75" style="width:414pt;height:47.4pt" o:ole="">
            <v:imagedata r:id="rId101" o:title=""/>
          </v:shape>
          <o:OLEObject Type="Embed" ProgID="Equation.3" ShapeID="_x0000_i1082" DrawAspect="Content" ObjectID="_1577286861" r:id="rId102"/>
        </w:object>
      </w:r>
      <w:r>
        <w:t>, (1)</w:t>
      </w:r>
    </w:p>
    <w:p w14:paraId="227F95FF" w14:textId="77777777" w:rsidR="0028443D" w:rsidRDefault="0028443D" w:rsidP="0028443D">
      <w:pPr>
        <w:spacing w:after="0"/>
        <w:jc w:val="both"/>
      </w:pPr>
    </w:p>
    <w:p w14:paraId="13AA2963" w14:textId="77777777" w:rsidR="0028443D" w:rsidRPr="00794D78" w:rsidRDefault="0028443D" w:rsidP="0028443D">
      <w:pPr>
        <w:spacing w:after="0"/>
        <w:jc w:val="both"/>
      </w:pPr>
      <w:r>
        <w:t xml:space="preserve">with </w:t>
      </w:r>
      <w:r w:rsidRPr="00EC440C">
        <w:rPr>
          <w:position w:val="-14"/>
        </w:rPr>
        <w:object w:dxaOrig="2560" w:dyaOrig="400" w14:anchorId="66BEA7B5">
          <v:shape id="_x0000_i1083" type="#_x0000_t75" style="width:127.2pt;height:19.8pt" o:ole="">
            <v:imagedata r:id="rId95" o:title=""/>
          </v:shape>
          <o:OLEObject Type="Embed" ProgID="Equation.3" ShapeID="_x0000_i1083" DrawAspect="Content" ObjectID="_1577286862" r:id="rId103"/>
        </w:object>
      </w:r>
      <w:r>
        <w:t>. The ECCE denoting the NR CCE.</w:t>
      </w:r>
    </w:p>
    <w:p w14:paraId="020274F7" w14:textId="77777777" w:rsidR="0028443D" w:rsidRDefault="0028443D" w:rsidP="0028443D">
      <w:pPr>
        <w:spacing w:after="0"/>
        <w:jc w:val="both"/>
      </w:pPr>
    </w:p>
    <w:p w14:paraId="334DCB79" w14:textId="1E550084" w:rsidR="0028443D" w:rsidRPr="00DC36D9" w:rsidRDefault="0028443D" w:rsidP="05FE66B3">
      <w:pPr>
        <w:spacing w:after="0"/>
        <w:jc w:val="both"/>
        <w:rPr>
          <w:lang w:val="en-US"/>
        </w:rPr>
      </w:pPr>
      <w:r>
        <w:t xml:space="preserve">An example for the allocation of PDCCH candidates with Hashing function (1) is illustrated in </w:t>
      </w:r>
      <w:r w:rsidR="00BC55EF">
        <w:t>Figure 2</w:t>
      </w:r>
      <w:r>
        <w:t xml:space="preserve"> for </w:t>
      </w:r>
      <m:oMath>
        <m:sSub>
          <m:sSubPr>
            <m:ctrlPr>
              <w:rPr>
                <w:rFonts w:ascii="Cambria Math" w:hAnsi="Cambria Math"/>
                <w:i/>
                <w:iCs/>
                <w:lang w:val="de-DE"/>
              </w:rPr>
            </m:ctrlPr>
          </m:sSubPr>
          <m:e>
            <m:r>
              <w:rPr>
                <w:rFonts w:ascii="Cambria Math" w:hAnsi="Cambria Math"/>
                <w:lang w:val="en-US"/>
              </w:rPr>
              <m:t>N</m:t>
            </m:r>
          </m:e>
          <m:sub>
            <m:r>
              <m:rPr>
                <m:sty m:val="p"/>
              </m:rPr>
              <w:rPr>
                <w:rFonts w:ascii="Cambria Math" w:hAnsi="Cambria Math"/>
                <w:lang w:val="en-US"/>
              </w:rPr>
              <m:t>CCE</m:t>
            </m:r>
          </m:sub>
        </m:sSub>
        <m:r>
          <w:rPr>
            <w:rFonts w:ascii="Cambria Math" w:hAnsi="Cambria Math"/>
            <w:lang w:val="en-US"/>
          </w:rPr>
          <m:t>=32</m:t>
        </m:r>
      </m:oMath>
      <w:r w:rsidRPr="05FE66B3">
        <w:rPr>
          <w:lang w:val="en-US"/>
        </w:rPr>
        <w:t xml:space="preserve">, and </w:t>
      </w:r>
      <w:r w:rsidRPr="00A725C2">
        <w:rPr>
          <w:position w:val="-14"/>
        </w:rPr>
        <w:object w:dxaOrig="760" w:dyaOrig="400" w14:anchorId="3B34C94F">
          <v:shape id="_x0000_i1084" type="#_x0000_t75" style="width:37.2pt;height:19.8pt" o:ole="">
            <v:imagedata r:id="rId104" o:title=""/>
          </v:shape>
          <o:OLEObject Type="Embed" ProgID="Equation.3" ShapeID="_x0000_i1084" DrawAspect="Content" ObjectID="_1577286863" r:id="rId105"/>
        </w:object>
      </w:r>
      <w:r w:rsidRPr="05FE66B3">
        <w:rPr>
          <w:lang w:val="en-US"/>
        </w:rPr>
        <w:t xml:space="preserve">= (6, 6, 2, 2) for aggregation levels </w:t>
      </w:r>
      <w:r w:rsidRPr="05FE66B3">
        <w:rPr>
          <w:i/>
          <w:iCs/>
          <w:lang w:val="en-US"/>
        </w:rPr>
        <w:t>L</w:t>
      </w:r>
      <w:r w:rsidRPr="05FE66B3">
        <w:rPr>
          <w:lang w:val="en-US"/>
        </w:rPr>
        <w:t xml:space="preserve"> = (1, 2, 4, 8) and </w:t>
      </w:r>
      <w:r w:rsidRPr="00560F26">
        <w:rPr>
          <w:position w:val="-14"/>
        </w:rPr>
        <w:object w:dxaOrig="2540" w:dyaOrig="400" w14:anchorId="731BAD85">
          <v:shape id="_x0000_i1085" type="#_x0000_t75" style="width:127.2pt;height:19.8pt" o:ole="">
            <v:imagedata r:id="rId106" o:title=""/>
          </v:shape>
          <o:OLEObject Type="Embed" ProgID="Equation.3" ShapeID="_x0000_i1085" DrawAspect="Content" ObjectID="_1577286864" r:id="rId107"/>
        </w:object>
      </w:r>
      <w:r w:rsidRPr="05FE66B3">
        <w:rPr>
          <w:lang w:val="en-US"/>
        </w:rPr>
        <w:t>.</w:t>
      </w:r>
    </w:p>
    <w:p w14:paraId="4A83AD16" w14:textId="77777777" w:rsidR="0028443D" w:rsidRPr="00DC36D9" w:rsidRDefault="0028443D" w:rsidP="0028443D">
      <w:pPr>
        <w:spacing w:after="0"/>
        <w:jc w:val="both"/>
        <w:rPr>
          <w:lang w:val="en-US"/>
        </w:rPr>
      </w:pPr>
    </w:p>
    <w:p w14:paraId="38940474" w14:textId="77777777" w:rsidR="0028443D" w:rsidRPr="0028443D" w:rsidRDefault="0028443D" w:rsidP="0028443D">
      <w:pPr>
        <w:spacing w:after="0"/>
        <w:jc w:val="both"/>
        <w:rPr>
          <w:lang w:val="en-US"/>
        </w:rPr>
      </w:pPr>
    </w:p>
    <w:p w14:paraId="217B995A" w14:textId="77777777" w:rsidR="0028443D" w:rsidRDefault="0028443D" w:rsidP="0028443D">
      <w:pPr>
        <w:spacing w:after="0"/>
        <w:jc w:val="center"/>
      </w:pPr>
      <w:r w:rsidRPr="002000D7">
        <w:rPr>
          <w:noProof/>
          <w:lang w:val="de-DE" w:eastAsia="de-DE"/>
        </w:rPr>
        <w:drawing>
          <wp:inline distT="0" distB="0" distL="0" distR="0" wp14:anchorId="52FFA925" wp14:editId="3508C2CA">
            <wp:extent cx="6120765" cy="20286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6120765" cy="2028639"/>
                    </a:xfrm>
                    <a:prstGeom prst="rect">
                      <a:avLst/>
                    </a:prstGeom>
                    <a:noFill/>
                    <a:ln>
                      <a:noFill/>
                    </a:ln>
                  </pic:spPr>
                </pic:pic>
              </a:graphicData>
            </a:graphic>
          </wp:inline>
        </w:drawing>
      </w:r>
    </w:p>
    <w:p w14:paraId="1DB6E8EA" w14:textId="77777777" w:rsidR="0028443D" w:rsidRDefault="0028443D" w:rsidP="0028443D">
      <w:pPr>
        <w:spacing w:after="0"/>
        <w:jc w:val="center"/>
      </w:pPr>
    </w:p>
    <w:p w14:paraId="0D121CF9" w14:textId="6267E7F0" w:rsidR="0028443D" w:rsidRDefault="00BC55EF" w:rsidP="0028443D">
      <w:pPr>
        <w:pStyle w:val="Caption"/>
      </w:pPr>
      <w:r>
        <w:t>Figure 2</w:t>
      </w:r>
      <w:r w:rsidR="0028443D">
        <w:t>: Example allocation of PDCCH candidates with Hashing function (1).</w:t>
      </w:r>
    </w:p>
    <w:p w14:paraId="0AEE2645" w14:textId="77777777" w:rsidR="0028443D" w:rsidRDefault="0028443D" w:rsidP="0028443D">
      <w:pPr>
        <w:jc w:val="both"/>
        <w:rPr>
          <w:rFonts w:ascii="Calibri" w:hAnsi="Calibri"/>
          <w:lang w:eastAsia="ja-JP"/>
        </w:rPr>
      </w:pPr>
    </w:p>
    <w:p w14:paraId="6D3EE62D" w14:textId="77777777" w:rsidR="0028443D" w:rsidRDefault="0028443D" w:rsidP="0028443D">
      <w:pPr>
        <w:jc w:val="both"/>
      </w:pPr>
      <w:r>
        <w:t xml:space="preserve">Concerning the generation of the pseudo-random numbers </w:t>
      </w:r>
      <m:oMath>
        <m:sSub>
          <m:sSubPr>
            <m:ctrlPr>
              <w:rPr>
                <w:rFonts w:ascii="Cambria Math" w:hAnsi="Cambria Math"/>
                <w:i/>
              </w:rPr>
            </m:ctrlPr>
          </m:sSubPr>
          <m:e>
            <m:r>
              <w:rPr>
                <w:rFonts w:ascii="Cambria Math" w:hAnsi="Cambria Math"/>
              </w:rPr>
              <m:t>Z</m:t>
            </m:r>
          </m:e>
          <m:sub>
            <m:r>
              <w:rPr>
                <w:rFonts w:ascii="Cambria Math" w:hAnsi="Cambria Math"/>
              </w:rPr>
              <m:t>k,m</m:t>
            </m:r>
          </m:sub>
        </m:sSub>
      </m:oMath>
      <w:r>
        <w:t xml:space="preserve">, we can apply similar approaches as known from LTE hashing functions, e.g. randomization along subframe numbers </w:t>
      </w:r>
      <m:oMath>
        <m:sSub>
          <m:sSubPr>
            <m:ctrlPr>
              <w:rPr>
                <w:rFonts w:ascii="Cambria Math" w:hAnsi="Cambria Math"/>
                <w:i/>
              </w:rPr>
            </m:ctrlPr>
          </m:sSubPr>
          <m:e>
            <m:r>
              <w:rPr>
                <w:rFonts w:ascii="Cambria Math" w:hAnsi="Cambria Math"/>
              </w:rPr>
              <m:t>Z</m:t>
            </m:r>
          </m:e>
          <m:sub>
            <m:r>
              <w:rPr>
                <w:rFonts w:ascii="Cambria Math" w:hAnsi="Cambria Math"/>
              </w:rPr>
              <m:t>k,m=0</m:t>
            </m:r>
          </m:sub>
        </m:sSub>
      </m:oMath>
      <w:r>
        <w:t xml:space="preserve"> can be carri</w:t>
      </w:r>
      <w:proofErr w:type="spellStart"/>
      <w:r>
        <w:t>ed</w:t>
      </w:r>
      <w:proofErr w:type="spellEnd"/>
      <w:r>
        <w:t xml:space="preserve"> out using the EPDCCH random generator [8]:</w:t>
      </w:r>
    </w:p>
    <w:p w14:paraId="211146A2" w14:textId="77777777" w:rsidR="0028443D" w:rsidRDefault="0037594D" w:rsidP="0028443D">
      <w:pPr>
        <w:jc w:val="center"/>
      </w:pPr>
      <m:oMath>
        <m:sSub>
          <m:sSubPr>
            <m:ctrlPr>
              <w:rPr>
                <w:rFonts w:ascii="Cambria Math" w:hAnsi="Cambria Math"/>
                <w:i/>
              </w:rPr>
            </m:ctrlPr>
          </m:sSubPr>
          <m:e>
            <m:r>
              <m:rPr>
                <m:nor/>
              </m:rPr>
              <w:rPr>
                <w:rFonts w:ascii="Cambria Math" w:hAnsi="Cambria Math"/>
              </w:rPr>
              <m:t>Z</m:t>
            </m:r>
          </m:e>
          <m:sub>
            <w:proofErr w:type="spellStart"/>
            <m:r>
              <m:rPr>
                <m:nor/>
              </m:rPr>
              <w:rPr>
                <w:rFonts w:ascii="Cambria Math" w:hAnsi="Cambria Math"/>
              </w:rPr>
              <m:t>k,m</m:t>
            </m:r>
            <w:proofErr w:type="spellEnd"/>
            <m:r>
              <m:rPr>
                <m:nor/>
              </m:rPr>
              <w:rPr>
                <w:rFonts w:ascii="Cambria Math" w:hAnsi="Cambria Math"/>
              </w:rPr>
              <m:t>=0</m:t>
            </m:r>
          </m:sub>
        </m:sSub>
        <m:r>
          <m:rPr>
            <m:nor/>
          </m:rPr>
          <w:rPr>
            <w:rFonts w:ascii="Cambria Math" w:hAnsi="Cambria Math"/>
          </w:rPr>
          <m:t xml:space="preserve">= </m:t>
        </m:r>
        <m:sSub>
          <m:sSubPr>
            <m:ctrlPr>
              <w:rPr>
                <w:rFonts w:ascii="Cambria Math" w:hAnsi="Cambria Math"/>
                <w:i/>
              </w:rPr>
            </m:ctrlPr>
          </m:sSubPr>
          <m:e>
            <m:r>
              <m:rPr>
                <m:nor/>
              </m:rPr>
              <w:rPr>
                <w:rFonts w:ascii="Cambria Math" w:hAnsi="Cambria Math"/>
              </w:rPr>
              <m:t>Y</m:t>
            </m:r>
          </m:e>
          <m:sub>
            <m:r>
              <m:rPr>
                <m:nor/>
              </m:rP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(AY</m:t>
            </m:r>
          </m:e>
          <m:sub>
            <m:r>
              <w:rPr>
                <w:rFonts w:ascii="Cambria Math" w:hAnsi="Cambria Math"/>
              </w:rPr>
              <m:t>k</m:t>
            </m:r>
            <m:r>
              <w:rPr>
                <w:rFonts w:ascii="Cambria Math" w:hAnsi="Cambria Math"/>
                <w:lang w:val="en-US"/>
              </w:rPr>
              <m:t>-1</m:t>
            </m:r>
          </m:sub>
        </m:sSub>
        <m:r>
          <m:rPr>
            <m:nor/>
          </m:rPr>
          <w:rPr>
            <w:rFonts w:ascii="Cambria Math" w:hAnsi="Cambria Math"/>
            <w:lang w:val="en-US"/>
          </w:rPr>
          <m:t>)mod</m:t>
        </m:r>
        <m:r>
          <w:rPr>
            <w:rFonts w:ascii="Cambria Math" w:hAnsi="Cambria Math"/>
          </w:rPr>
          <m:t>D</m:t>
        </m:r>
      </m:oMath>
      <w:r w:rsidR="0028443D">
        <w:t xml:space="preserve">, for </w:t>
      </w:r>
      <w:r w:rsidR="0028443D" w:rsidRPr="05FE66B3">
        <w:rPr>
          <w:i/>
          <w:iCs/>
        </w:rPr>
        <w:t xml:space="preserve">k </w:t>
      </w:r>
      <w:r w:rsidR="0028443D">
        <w:t>= 0, 1, … 9,</w:t>
      </w:r>
    </w:p>
    <w:p w14:paraId="2ECF791D" w14:textId="77777777" w:rsidR="0028443D" w:rsidRDefault="0028443D" w:rsidP="0028443D">
      <w:pPr>
        <w:jc w:val="both"/>
      </w:pPr>
      <w:r>
        <w:t xml:space="preserve">with </w:t>
      </w:r>
      <w:r w:rsidRPr="05FE66B3">
        <w:rPr>
          <w:i/>
          <w:iCs/>
        </w:rPr>
        <w:t>A</w:t>
      </w:r>
      <w:r>
        <w:t xml:space="preserve"> = 39829, </w:t>
      </w:r>
      <w:r w:rsidRPr="05FE66B3">
        <w:rPr>
          <w:i/>
          <w:iCs/>
        </w:rPr>
        <w:t>D</w:t>
      </w:r>
      <w:r>
        <w:t xml:space="preserve"> = 65537 and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r>
          <m:rPr>
            <m:nor/>
          </m:rPr>
          <w:rPr>
            <w:rFonts w:ascii="Cambria Math" w:hAnsi="Cambria Math"/>
          </w:rPr>
          <m:t>RNTI</m:t>
        </m:r>
      </m:oMath>
      <w:r>
        <w:t xml:space="preserve">, while randomization along the PDCCH candidates </w:t>
      </w:r>
      <m:oMath>
        <m:sSub>
          <m:sSubPr>
            <m:ctrlPr>
              <w:rPr>
                <w:rFonts w:ascii="Cambria Math" w:hAnsi="Cambria Math"/>
                <w:i/>
              </w:rPr>
            </m:ctrlPr>
          </m:sSubPr>
          <m:e>
            <m:r>
              <w:rPr>
                <w:rFonts w:ascii="Cambria Math" w:hAnsi="Cambria Math"/>
              </w:rPr>
              <m:t>Z</m:t>
            </m:r>
          </m:e>
          <m:sub>
            <m:r>
              <w:rPr>
                <w:rFonts w:ascii="Cambria Math" w:hAnsi="Cambria Math"/>
              </w:rPr>
              <m:t>k,m=1,2,…,M-1</m:t>
            </m:r>
          </m:sub>
        </m:sSub>
      </m:oMath>
      <w:r>
        <w:t xml:space="preserve"> can be carried out using another random generator, e.g. the one of LTE PDCCH [8]:</w:t>
      </w:r>
    </w:p>
    <w:p w14:paraId="68661337" w14:textId="77777777" w:rsidR="0028443D" w:rsidRDefault="0037594D" w:rsidP="0028443D">
      <w:pPr>
        <w:overflowPunct/>
        <w:spacing w:after="0"/>
        <w:jc w:val="center"/>
        <w:textAlignment w:val="auto"/>
      </w:pPr>
      <m:oMath>
        <m:sSub>
          <m:sSubPr>
            <m:ctrlPr>
              <w:rPr>
                <w:rFonts w:ascii="Cambria Math" w:hAnsi="Cambria Math"/>
                <w:i/>
              </w:rPr>
            </m:ctrlPr>
          </m:sSubPr>
          <m:e>
            <m:r>
              <m:rPr>
                <m:nor/>
              </m:rPr>
              <w:rPr>
                <w:rFonts w:ascii="Cambria Math" w:hAnsi="Cambria Math"/>
                <w:lang w:val="en-US"/>
              </w:rPr>
              <m:t>Z</m:t>
            </m:r>
          </m:e>
          <m:sub>
            <w:proofErr w:type="spellStart"/>
            <m:r>
              <m:rPr>
                <m:nor/>
              </m:rPr>
              <w:rPr>
                <w:rFonts w:ascii="Cambria Math" w:hAnsi="Cambria Math"/>
                <w:lang w:val="en-US"/>
              </w:rPr>
              <m:t>k,m</m:t>
            </m:r>
            <w:proofErr w:type="spellEnd"/>
          </m:sub>
        </m:sSub>
        <m:r>
          <m:rPr>
            <m:nor/>
          </m:rPr>
          <w:rPr>
            <w:rFonts w:ascii="Cambria Math" w:hAnsi="Cambria Math"/>
            <w:lang w:val="en-US"/>
          </w:rPr>
          <m:t>=</m:t>
        </m:r>
        <m:sSub>
          <m:sSubPr>
            <m:ctrlPr>
              <w:rPr>
                <w:rFonts w:ascii="Cambria Math" w:hAnsi="Cambria Math"/>
                <w:i/>
              </w:rPr>
            </m:ctrlPr>
          </m:sSubPr>
          <m:e>
            <m:r>
              <w:rPr>
                <w:rFonts w:ascii="Cambria Math" w:hAnsi="Cambria Math"/>
              </w:rPr>
              <m:t>(A'Z</m:t>
            </m:r>
          </m:e>
          <m:sub>
            <m:r>
              <w:rPr>
                <w:rFonts w:ascii="Cambria Math" w:hAnsi="Cambria Math"/>
              </w:rPr>
              <m:t>k</m:t>
            </m:r>
            <m:r>
              <w:rPr>
                <w:rFonts w:ascii="Cambria Math" w:hAnsi="Cambria Math"/>
                <w:lang w:val="en-US"/>
              </w:rPr>
              <m:t>,</m:t>
            </m:r>
            <m:r>
              <w:rPr>
                <w:rFonts w:ascii="Cambria Math" w:hAnsi="Cambria Math"/>
              </w:rPr>
              <m:t>m</m:t>
            </m:r>
            <m:r>
              <w:rPr>
                <w:rFonts w:ascii="Cambria Math" w:hAnsi="Cambria Math"/>
                <w:lang w:val="en-US"/>
              </w:rPr>
              <m:t>-1</m:t>
            </m:r>
          </m:sub>
        </m:sSub>
        <m:r>
          <m:rPr>
            <m:nor/>
          </m:rPr>
          <w:rPr>
            <w:rFonts w:ascii="Cambria Math" w:hAnsi="Cambria Math"/>
            <w:lang w:val="en-US"/>
          </w:rPr>
          <m:t>)mod</m:t>
        </m:r>
        <m:r>
          <w:rPr>
            <w:rFonts w:ascii="Cambria Math" w:hAnsi="Cambria Math"/>
          </w:rPr>
          <m:t>D</m:t>
        </m:r>
      </m:oMath>
      <w:r w:rsidR="0028443D">
        <w:t xml:space="preserve">, for </w:t>
      </w:r>
      <w:r w:rsidR="0028443D" w:rsidRPr="05FE66B3">
        <w:rPr>
          <w:i/>
          <w:iCs/>
        </w:rPr>
        <w:t>m</w:t>
      </w:r>
      <w:r w:rsidR="0028443D">
        <w:t xml:space="preserve"> = 1, 2, …, </w:t>
      </w:r>
      <w:r w:rsidR="0028443D" w:rsidRPr="05FE66B3">
        <w:rPr>
          <w:i/>
          <w:iCs/>
        </w:rPr>
        <w:t>M</w:t>
      </w:r>
      <w:r w:rsidR="0028443D">
        <w:t xml:space="preserve">-1, </w:t>
      </w:r>
    </w:p>
    <w:p w14:paraId="2EFC2256" w14:textId="77777777" w:rsidR="0028443D" w:rsidRDefault="0028443D" w:rsidP="0028443D">
      <w:pPr>
        <w:overflowPunct/>
        <w:spacing w:after="0"/>
        <w:jc w:val="center"/>
        <w:textAlignment w:val="auto"/>
      </w:pPr>
    </w:p>
    <w:p w14:paraId="19BE12AA" w14:textId="77777777" w:rsidR="0028443D" w:rsidRDefault="05FE66B3" w:rsidP="0028443D">
      <w:pPr>
        <w:overflowPunct/>
        <w:spacing w:after="0"/>
        <w:textAlignment w:val="auto"/>
      </w:pPr>
      <w:r>
        <w:t xml:space="preserve">with </w:t>
      </w:r>
      <w:r w:rsidRPr="05FE66B3">
        <w:rPr>
          <w:i/>
          <w:iCs/>
        </w:rPr>
        <w:t>A’</w:t>
      </w:r>
      <w:r>
        <w:t xml:space="preserve"> = 39827 and </w:t>
      </w:r>
      <w:r w:rsidRPr="05FE66B3">
        <w:rPr>
          <w:i/>
          <w:iCs/>
        </w:rPr>
        <w:t>D</w:t>
      </w:r>
      <w:r>
        <w:t xml:space="preserve"> = 65537.</w:t>
      </w:r>
    </w:p>
    <w:p w14:paraId="2BDEB9EF" w14:textId="77777777" w:rsidR="0028443D" w:rsidRDefault="0028443D" w:rsidP="0028443D">
      <w:pPr>
        <w:overflowPunct/>
        <w:spacing w:after="0"/>
        <w:textAlignment w:val="auto"/>
      </w:pPr>
    </w:p>
    <w:p w14:paraId="1A8FC5D1" w14:textId="77777777" w:rsidR="0028443D" w:rsidRDefault="0028443D" w:rsidP="0028443D">
      <w:pPr>
        <w:overflowPunct/>
        <w:spacing w:after="0"/>
        <w:jc w:val="both"/>
        <w:textAlignment w:val="auto"/>
      </w:pPr>
      <w:r>
        <w:rPr>
          <w:lang w:val="en-US"/>
        </w:rPr>
        <w:t xml:space="preserve">Although the mathematical expressions appear different, the hashing function proposed in equation (1) should be considered a refinement of the hashing function of LTE EPDCCH. When setting </w:t>
      </w:r>
      <m:oMath>
        <m:sSub>
          <m:sSubPr>
            <m:ctrlPr>
              <w:rPr>
                <w:rFonts w:ascii="Cambria Math" w:hAnsi="Cambria Math"/>
                <w:i/>
              </w:rPr>
            </m:ctrlPr>
          </m:sSubPr>
          <m:e>
            <m:r>
              <m:rPr>
                <m:nor/>
              </m:rPr>
              <w:rPr>
                <w:rFonts w:ascii="Cambria Math" w:hAnsi="Cambria Math"/>
                <w:lang w:val="en-US"/>
              </w:rPr>
              <m:t>Z</m:t>
            </m:r>
          </m:e>
          <m:sub>
            <w:proofErr w:type="spellStart"/>
            <w:proofErr w:type="gramStart"/>
            <m:r>
              <m:rPr>
                <m:nor/>
              </m:rPr>
              <w:rPr>
                <w:rFonts w:ascii="Cambria Math" w:hAnsi="Cambria Math"/>
                <w:lang w:val="en-US"/>
              </w:rPr>
              <m:t>k,m</m:t>
            </m:r>
            <w:proofErr w:type="spellEnd"/>
            <w:proofErr w:type="gramEnd"/>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k,m=0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k</m:t>
            </m:r>
          </m:sub>
        </m:sSub>
      </m:oMath>
      <w:r>
        <w:t xml:space="preserve"> in (1), a uniform distribution of PDCCH candidates over the CORESET is obtained, and when excluding</w:t>
      </w:r>
      <w:r>
        <w:rPr>
          <w:lang w:val="en-US"/>
        </w:rPr>
        <w:t xml:space="preserve"> rounding effects by setting </w:t>
      </w:r>
      <m:oMath>
        <m:sSub>
          <m:sSubPr>
            <m:ctrlPr>
              <w:rPr>
                <w:rFonts w:ascii="Cambria Math" w:hAnsi="Cambria Math"/>
                <w:i/>
                <w:iCs/>
                <w:lang w:val="de-DE"/>
              </w:rPr>
            </m:ctrlPr>
          </m:sSubPr>
          <m:e>
            <m:r>
              <w:rPr>
                <w:rFonts w:ascii="Cambria Math" w:hAnsi="Cambria Math"/>
                <w:lang w:val="en-US"/>
              </w:rPr>
              <m:t>N</m:t>
            </m:r>
          </m:e>
          <m:sub>
            <m:r>
              <m:rPr>
                <m:sty m:val="p"/>
              </m:rPr>
              <w:rPr>
                <w:rFonts w:ascii="Cambria Math" w:hAnsi="Cambria Math"/>
                <w:lang w:val="en-US"/>
              </w:rPr>
              <m:t>ECCE,p,k</m:t>
            </m:r>
          </m:sub>
        </m:sSub>
      </m:oMath>
      <w:r w:rsidRPr="05FE66B3">
        <w:rPr>
          <w:lang w:val="en-US"/>
        </w:rPr>
        <w:t xml:space="preserve"> an integer multiple of </w:t>
      </w:r>
      <w:r w:rsidRPr="05FE66B3">
        <w:rPr>
          <w:i/>
          <w:iCs/>
          <w:lang w:val="en-US"/>
        </w:rPr>
        <w:t>M</w:t>
      </w:r>
      <w:r w:rsidRPr="05FE66B3">
        <w:rPr>
          <w:lang w:val="en-US"/>
        </w:rPr>
        <w:t xml:space="preserve"> times </w:t>
      </w:r>
      <w:r w:rsidRPr="05FE66B3">
        <w:rPr>
          <w:i/>
          <w:iCs/>
          <w:lang w:val="en-US"/>
        </w:rPr>
        <w:t>L</w:t>
      </w:r>
      <w:r w:rsidRPr="05FE66B3">
        <w:rPr>
          <w:lang w:val="en-US"/>
        </w:rPr>
        <w:t xml:space="preserve">, </w:t>
      </w:r>
      <w:r>
        <w:t xml:space="preserve">the very same set of PDCCH candidates is obtained as with LTE EPDCCH hashing function. </w:t>
      </w:r>
    </w:p>
    <w:p w14:paraId="20FF53F8" w14:textId="77777777" w:rsidR="0028443D" w:rsidRDefault="0028443D" w:rsidP="0028443D">
      <w:pPr>
        <w:overflowPunct/>
        <w:spacing w:after="0"/>
        <w:textAlignment w:val="auto"/>
      </w:pPr>
    </w:p>
    <w:p w14:paraId="7E451041" w14:textId="77777777" w:rsidR="0028443D" w:rsidRDefault="0028443D" w:rsidP="0028443D">
      <w:pPr>
        <w:overflowPunct/>
        <w:spacing w:after="0"/>
        <w:textAlignment w:val="auto"/>
      </w:pPr>
    </w:p>
    <w:p w14:paraId="3A8D9289" w14:textId="6F69F6DE" w:rsidR="0028443D" w:rsidRDefault="05FE66B3" w:rsidP="05FE66B3">
      <w:pPr>
        <w:spacing w:after="0"/>
        <w:jc w:val="both"/>
        <w:rPr>
          <w:i/>
          <w:iCs/>
        </w:rPr>
      </w:pPr>
      <w:r w:rsidRPr="05FE66B3">
        <w:rPr>
          <w:b/>
          <w:bCs/>
          <w:i/>
          <w:iCs/>
        </w:rPr>
        <w:t>Observation #3:</w:t>
      </w:r>
      <w:r>
        <w:t xml:space="preserve"> </w:t>
      </w:r>
      <w:r w:rsidRPr="05FE66B3">
        <w:rPr>
          <w:i/>
          <w:iCs/>
        </w:rPr>
        <w:t xml:space="preserve">The proposed hashing function is a refinement of the hashing function of LTE EPDCCH. </w:t>
      </w:r>
    </w:p>
    <w:p w14:paraId="643B7499" w14:textId="77777777" w:rsidR="0028443D" w:rsidRPr="001E55FB" w:rsidRDefault="0028443D" w:rsidP="0028443D">
      <w:pPr>
        <w:overflowPunct/>
        <w:spacing w:after="0"/>
        <w:textAlignment w:val="auto"/>
      </w:pPr>
    </w:p>
    <w:p w14:paraId="26D55D04" w14:textId="77777777" w:rsidR="0028443D" w:rsidRDefault="0028443D" w:rsidP="0028443D">
      <w:pPr>
        <w:spacing w:after="0"/>
        <w:jc w:val="both"/>
        <w:rPr>
          <w:i/>
        </w:rPr>
      </w:pPr>
    </w:p>
    <w:p w14:paraId="625E340C" w14:textId="5B1328BE" w:rsidR="0028443D" w:rsidRDefault="05FE66B3" w:rsidP="0028443D">
      <w:pPr>
        <w:spacing w:after="0"/>
        <w:jc w:val="both"/>
      </w:pPr>
      <w:r>
        <w:t>We simulated the blocking performance of the proposed hashing function and the simulation results are shown in Appendix A. And we have the following observations:</w:t>
      </w:r>
    </w:p>
    <w:p w14:paraId="5274D8C1" w14:textId="77777777" w:rsidR="00A662C1" w:rsidRPr="0028443D" w:rsidRDefault="00A662C1" w:rsidP="0028443D">
      <w:pPr>
        <w:spacing w:after="0"/>
        <w:jc w:val="both"/>
      </w:pPr>
    </w:p>
    <w:p w14:paraId="39D4BD7E" w14:textId="1843329A" w:rsidR="00CB7EE0" w:rsidRPr="00DD4D01" w:rsidRDefault="05FE66B3" w:rsidP="05FE66B3">
      <w:pPr>
        <w:spacing w:after="0"/>
        <w:jc w:val="both"/>
        <w:rPr>
          <w:i/>
          <w:iCs/>
        </w:rPr>
      </w:pPr>
      <w:r w:rsidRPr="05FE66B3">
        <w:rPr>
          <w:b/>
          <w:bCs/>
          <w:i/>
          <w:iCs/>
        </w:rPr>
        <w:t xml:space="preserve">Observation #4: </w:t>
      </w:r>
      <w:r w:rsidRPr="05FE66B3">
        <w:rPr>
          <w:i/>
          <w:iCs/>
        </w:rPr>
        <w:t>For typical CORESET sizes, the proposed hashing function outperforms the hashing function of LTE EPDCCH by about one-two orders of magnitude in blocking probability.</w:t>
      </w:r>
    </w:p>
    <w:p w14:paraId="317650C2" w14:textId="77777777" w:rsidR="00CB7EE0" w:rsidRDefault="00CB7EE0" w:rsidP="00CB7EE0">
      <w:pPr>
        <w:spacing w:after="0"/>
        <w:jc w:val="both"/>
      </w:pPr>
    </w:p>
    <w:p w14:paraId="2304EEFB" w14:textId="3FDF108D" w:rsidR="00CB7EE0" w:rsidRPr="001206E5" w:rsidRDefault="05FE66B3" w:rsidP="05FE66B3">
      <w:pPr>
        <w:spacing w:after="0"/>
        <w:jc w:val="both"/>
        <w:rPr>
          <w:i/>
          <w:iCs/>
        </w:rPr>
      </w:pPr>
      <w:r w:rsidRPr="05FE66B3">
        <w:rPr>
          <w:b/>
          <w:bCs/>
          <w:i/>
          <w:iCs/>
        </w:rPr>
        <w:lastRenderedPageBreak/>
        <w:t xml:space="preserve">Observation #5: </w:t>
      </w:r>
      <w:r w:rsidRPr="05FE66B3">
        <w:rPr>
          <w:i/>
          <w:iCs/>
        </w:rPr>
        <w:t>For a targeted PDCCH blocking probability, the proposed hashing function allows to reduce the CORESET size by about 40% as compared to using the hashing function of LTE EPDCCH.</w:t>
      </w:r>
    </w:p>
    <w:p w14:paraId="0F50D81F" w14:textId="77777777" w:rsidR="00CB7EE0" w:rsidRPr="00DC36D9" w:rsidRDefault="00CB7EE0" w:rsidP="00CB7EE0">
      <w:pPr>
        <w:spacing w:after="0"/>
        <w:jc w:val="both"/>
      </w:pPr>
    </w:p>
    <w:p w14:paraId="2B7FD4EF" w14:textId="445570BD" w:rsidR="00CB7EE0" w:rsidRPr="001206E5" w:rsidRDefault="05FE66B3" w:rsidP="05FE66B3">
      <w:pPr>
        <w:spacing w:after="0"/>
        <w:jc w:val="both"/>
        <w:rPr>
          <w:i/>
          <w:iCs/>
        </w:rPr>
      </w:pPr>
      <w:r w:rsidRPr="05FE66B3">
        <w:rPr>
          <w:b/>
          <w:bCs/>
          <w:i/>
          <w:iCs/>
        </w:rPr>
        <w:t xml:space="preserve">Observation #6: </w:t>
      </w:r>
      <w:r w:rsidRPr="05FE66B3">
        <w:rPr>
          <w:i/>
          <w:iCs/>
        </w:rPr>
        <w:t>For a targeted PDCCH blocking probability, the proposed hashing function allows to reduce the number of blind decodes per USS per slot by about 50% and the number of channel estimates per USS per slot by about 30% as compared to using the hashing function of LTE EPDCCH.</w:t>
      </w:r>
    </w:p>
    <w:p w14:paraId="774BF8D3" w14:textId="77777777" w:rsidR="001E55FB" w:rsidRDefault="001E55FB" w:rsidP="001E55FB">
      <w:pPr>
        <w:spacing w:after="0"/>
        <w:jc w:val="both"/>
        <w:rPr>
          <w:b/>
          <w:i/>
        </w:rPr>
      </w:pPr>
    </w:p>
    <w:p w14:paraId="626F630F" w14:textId="28251FCC" w:rsidR="001E55FB" w:rsidRPr="007236F8" w:rsidRDefault="05FE66B3" w:rsidP="001E55FB">
      <w:pPr>
        <w:spacing w:after="0"/>
        <w:jc w:val="both"/>
      </w:pPr>
      <w:r>
        <w:t>Given the observations, we propose:</w:t>
      </w:r>
    </w:p>
    <w:p w14:paraId="1422A707" w14:textId="77777777" w:rsidR="001E55FB" w:rsidRDefault="001E55FB" w:rsidP="001E55FB">
      <w:pPr>
        <w:spacing w:after="0"/>
        <w:jc w:val="both"/>
        <w:rPr>
          <w:b/>
          <w:i/>
        </w:rPr>
      </w:pPr>
    </w:p>
    <w:p w14:paraId="12F76DEA" w14:textId="1247DD61" w:rsidR="001E55FB" w:rsidRPr="001E55FB" w:rsidRDefault="05FE66B3" w:rsidP="05FE66B3">
      <w:pPr>
        <w:spacing w:after="0"/>
        <w:jc w:val="both"/>
        <w:rPr>
          <w:i/>
          <w:iCs/>
        </w:rPr>
      </w:pPr>
      <w:r w:rsidRPr="05FE66B3">
        <w:rPr>
          <w:b/>
          <w:bCs/>
          <w:i/>
          <w:iCs/>
        </w:rPr>
        <w:t>Proposal #</w:t>
      </w:r>
      <w:r w:rsidR="0078091F">
        <w:rPr>
          <w:b/>
          <w:bCs/>
          <w:i/>
          <w:iCs/>
        </w:rPr>
        <w:t>10</w:t>
      </w:r>
      <w:r w:rsidRPr="05FE66B3">
        <w:rPr>
          <w:b/>
          <w:bCs/>
          <w:i/>
          <w:iCs/>
        </w:rPr>
        <w:t>:</w:t>
      </w:r>
      <w:r>
        <w:t xml:space="preserve"> </w:t>
      </w:r>
      <w:r w:rsidRPr="05FE66B3">
        <w:rPr>
          <w:i/>
          <w:iCs/>
        </w:rPr>
        <w:t>To reduce the number of needed PDCCH candidates, size of needed CORESET, number of needed overall CCEs to achieve given blocking probability, adopt the hash function for NR-PDCCH given by equation (1).</w:t>
      </w:r>
    </w:p>
    <w:p w14:paraId="3924BBF1" w14:textId="47B71DE5" w:rsidR="00D86873" w:rsidRDefault="00D86873" w:rsidP="001E55FB">
      <w:pPr>
        <w:pStyle w:val="Caption"/>
      </w:pPr>
    </w:p>
    <w:p w14:paraId="1040F17C" w14:textId="1E9D9D00" w:rsidR="00B61BE9" w:rsidRDefault="05FE66B3" w:rsidP="05FE66B3">
      <w:pPr>
        <w:rPr>
          <w:b/>
          <w:bCs/>
          <w:lang w:val="en-US"/>
        </w:rPr>
      </w:pPr>
      <w:r w:rsidRPr="05FE66B3">
        <w:rPr>
          <w:b/>
          <w:bCs/>
          <w:lang w:val="en-US"/>
        </w:rPr>
        <w:t>38.213 Text proposal</w:t>
      </w:r>
    </w:p>
    <w:tbl>
      <w:tblPr>
        <w:tblStyle w:val="TableGrid"/>
        <w:tblW w:w="0" w:type="auto"/>
        <w:tblLook w:val="04A0" w:firstRow="1" w:lastRow="0" w:firstColumn="1" w:lastColumn="0" w:noHBand="0" w:noVBand="1"/>
      </w:tblPr>
      <w:tblGrid>
        <w:gridCol w:w="9629"/>
      </w:tblGrid>
      <w:tr w:rsidR="0080315D" w14:paraId="428AC900" w14:textId="77777777" w:rsidTr="05FE66B3">
        <w:tc>
          <w:tcPr>
            <w:tcW w:w="9629" w:type="dxa"/>
          </w:tcPr>
          <w:p w14:paraId="4BBB2D1E" w14:textId="7B0FC341" w:rsidR="0080315D" w:rsidRPr="00E554B0" w:rsidRDefault="0080315D" w:rsidP="05FE66B3">
            <w:pPr>
              <w:rPr>
                <w:strike/>
                <w:color w:val="C00000"/>
              </w:rPr>
            </w:pPr>
            <w:r w:rsidRPr="00E554B0">
              <w:rPr>
                <w:strike/>
                <w:color w:val="C00000"/>
              </w:rPr>
              <w:t xml:space="preserve">For a search space set </w:t>
            </w:r>
            <w:r w:rsidRPr="05FE66B3">
              <w:rPr>
                <w:i/>
                <w:iCs/>
                <w:strike/>
                <w:color w:val="C00000"/>
              </w:rPr>
              <w:t>s</w:t>
            </w:r>
            <w:r w:rsidRPr="00E554B0">
              <w:rPr>
                <w:strike/>
                <w:color w:val="C00000"/>
              </w:rPr>
              <w:t xml:space="preserve">, the CCEs corresponding to PDCCH candidate </w:t>
            </w:r>
            <w:r w:rsidRPr="00E554B0">
              <w:rPr>
                <w:strike/>
                <w:color w:val="C00000"/>
                <w:position w:val="-14"/>
              </w:rPr>
              <w:object w:dxaOrig="400" w:dyaOrig="340" w14:anchorId="71B8ED6D">
                <v:shape id="_x0000_i1086" type="#_x0000_t75" style="width:19.2pt;height:16.8pt" o:ole="">
                  <v:imagedata r:id="rId36" o:title=""/>
                </v:shape>
                <o:OLEObject Type="Embed" ProgID="Equation.3" ShapeID="_x0000_i1086" DrawAspect="Content" ObjectID="_1577286865" r:id="rId109"/>
              </w:object>
            </w:r>
            <w:r w:rsidRPr="05FE66B3">
              <w:rPr>
                <w:strike/>
                <w:color w:val="C00000"/>
              </w:rPr>
              <w:t xml:space="preserve"> of the search space</w:t>
            </w:r>
            <w:r w:rsidRPr="00E554B0">
              <w:rPr>
                <w:strike/>
                <w:color w:val="C00000"/>
              </w:rPr>
              <w:t xml:space="preserve"> for a serving cell corresponding to carrier indicator field value </w:t>
            </w:r>
            <w:r w:rsidRPr="00E554B0">
              <w:rPr>
                <w:strike/>
                <w:color w:val="C00000"/>
                <w:position w:val="-10"/>
              </w:rPr>
              <w:object w:dxaOrig="320" w:dyaOrig="300" w14:anchorId="5E79631C">
                <v:shape id="_x0000_i1087" type="#_x0000_t75" style="width:16.2pt;height:15pt" o:ole="">
                  <v:imagedata r:id="rId38" o:title=""/>
                </v:shape>
                <o:OLEObject Type="Embed" ProgID="Equation.3" ShapeID="_x0000_i1087" DrawAspect="Content" ObjectID="_1577286866" r:id="rId110"/>
              </w:object>
            </w:r>
            <w:r w:rsidRPr="00E554B0">
              <w:rPr>
                <w:strike/>
                <w:color w:val="C00000"/>
              </w:rPr>
              <w:t xml:space="preserve"> </w:t>
            </w:r>
            <w:r w:rsidRPr="05FE66B3">
              <w:rPr>
                <w:strike/>
                <w:color w:val="C00000"/>
              </w:rPr>
              <w:t>are</w:t>
            </w:r>
            <w:r w:rsidRPr="00E554B0">
              <w:rPr>
                <w:strike/>
                <w:color w:val="C00000"/>
              </w:rPr>
              <w:t xml:space="preserve"> given by </w:t>
            </w:r>
          </w:p>
          <w:p w14:paraId="66BEA466" w14:textId="77777777" w:rsidR="0080315D" w:rsidRPr="00E554B0" w:rsidRDefault="0080315D" w:rsidP="0080315D">
            <w:pPr>
              <w:pStyle w:val="EQ"/>
              <w:jc w:val="center"/>
              <w:rPr>
                <w:strike/>
                <w:color w:val="C00000"/>
              </w:rPr>
            </w:pPr>
            <w:r w:rsidRPr="00E554B0">
              <w:rPr>
                <w:strike/>
                <w:color w:val="C00000"/>
                <w:position w:val="-38"/>
              </w:rPr>
              <w:object w:dxaOrig="5260" w:dyaOrig="880" w14:anchorId="71DC1464">
                <v:shape id="_x0000_i1088" type="#_x0000_t75" style="width:262.2pt;height:43.8pt" o:ole="">
                  <v:imagedata r:id="rId40" o:title=""/>
                </v:shape>
                <o:OLEObject Type="Embed" ProgID="Equation.3" ShapeID="_x0000_i1088" DrawAspect="Content" ObjectID="_1577286867" r:id="rId111"/>
              </w:object>
            </w:r>
          </w:p>
          <w:p w14:paraId="3AB5C85A" w14:textId="77777777" w:rsidR="0080315D" w:rsidRPr="00E554B0" w:rsidRDefault="05FE66B3" w:rsidP="05FE66B3">
            <w:pPr>
              <w:rPr>
                <w:strike/>
                <w:color w:val="C00000"/>
              </w:rPr>
            </w:pPr>
            <w:r w:rsidRPr="05FE66B3">
              <w:rPr>
                <w:strike/>
                <w:color w:val="C00000"/>
              </w:rPr>
              <w:t>where</w:t>
            </w:r>
          </w:p>
          <w:p w14:paraId="6AD402BA" w14:textId="77777777" w:rsidR="0080315D" w:rsidRPr="00E554B0" w:rsidRDefault="0080315D" w:rsidP="05FE66B3">
            <w:pPr>
              <w:rPr>
                <w:strike/>
                <w:color w:val="C00000"/>
              </w:rPr>
            </w:pPr>
            <w:r w:rsidRPr="00E554B0">
              <w:rPr>
                <w:strike/>
                <w:color w:val="C00000"/>
              </w:rPr>
              <w:t>for any common search space,</w:t>
            </w:r>
            <w:r w:rsidRPr="00E554B0">
              <w:rPr>
                <w:strike/>
                <w:color w:val="C00000"/>
                <w:position w:val="-16"/>
              </w:rPr>
              <w:object w:dxaOrig="760" w:dyaOrig="360" w14:anchorId="23073DC3">
                <v:shape id="_x0000_i1089" type="#_x0000_t75" style="width:37.8pt;height:18pt" o:ole="">
                  <v:imagedata r:id="rId42" o:title=""/>
                </v:shape>
                <o:OLEObject Type="Embed" ProgID="Equation.3" ShapeID="_x0000_i1089" DrawAspect="Content" ObjectID="_1577286868" r:id="rId112"/>
              </w:object>
            </w:r>
            <w:r w:rsidRPr="00E554B0">
              <w:rPr>
                <w:strike/>
                <w:color w:val="C00000"/>
              </w:rPr>
              <w:t xml:space="preserve">; </w:t>
            </w:r>
          </w:p>
          <w:p w14:paraId="62799833" w14:textId="77777777" w:rsidR="0080315D" w:rsidRPr="00E554B0" w:rsidRDefault="0080315D" w:rsidP="05FE66B3">
            <w:pPr>
              <w:rPr>
                <w:strike/>
                <w:color w:val="C00000"/>
              </w:rPr>
            </w:pPr>
            <w:r w:rsidRPr="00E554B0">
              <w:rPr>
                <w:strike/>
                <w:color w:val="C00000"/>
              </w:rPr>
              <w:t>for a UE-specific search space,</w:t>
            </w:r>
            <w:r w:rsidRPr="00E554B0">
              <w:rPr>
                <w:strike/>
                <w:color w:val="C00000"/>
                <w:position w:val="-16"/>
              </w:rPr>
              <w:object w:dxaOrig="2120" w:dyaOrig="360" w14:anchorId="67D91803">
                <v:shape id="_x0000_i1090" type="#_x0000_t75" style="width:106.2pt;height:18pt" o:ole="">
                  <v:imagedata r:id="rId44" o:title=""/>
                </v:shape>
                <o:OLEObject Type="Embed" ProgID="Equation.3" ShapeID="_x0000_i1090" DrawAspect="Content" ObjectID="_1577286869" r:id="rId113"/>
              </w:object>
            </w:r>
            <w:r w:rsidRPr="00E554B0">
              <w:rPr>
                <w:strike/>
                <w:color w:val="C00000"/>
              </w:rPr>
              <w:t xml:space="preserve">, </w:t>
            </w:r>
            <w:r w:rsidRPr="00E554B0">
              <w:rPr>
                <w:strike/>
                <w:color w:val="C00000"/>
                <w:position w:val="-12"/>
              </w:rPr>
              <w:object w:dxaOrig="1359" w:dyaOrig="320" w14:anchorId="0E7B1172">
                <v:shape id="_x0000_i1091" type="#_x0000_t75" style="width:67.8pt;height:16.2pt" o:ole="">
                  <v:imagedata r:id="rId46" o:title=""/>
                </v:shape>
                <o:OLEObject Type="Embed" ProgID="Equation.3" ShapeID="_x0000_i1091" DrawAspect="Content" ObjectID="_1577286870" r:id="rId114"/>
              </w:object>
            </w:r>
            <w:r w:rsidRPr="00E554B0">
              <w:rPr>
                <w:strike/>
                <w:color w:val="C00000"/>
              </w:rPr>
              <w:t xml:space="preserve">, </w:t>
            </w:r>
            <w:r w:rsidRPr="00E554B0">
              <w:rPr>
                <w:strike/>
                <w:color w:val="C00000"/>
                <w:position w:val="-10"/>
              </w:rPr>
              <w:object w:dxaOrig="980" w:dyaOrig="300" w14:anchorId="2258FA8A">
                <v:shape id="_x0000_i1092" type="#_x0000_t75" style="width:49.2pt;height:15pt" o:ole="">
                  <v:imagedata r:id="rId48" o:title=""/>
                </v:shape>
                <o:OLEObject Type="Embed" ProgID="Equation.3" ShapeID="_x0000_i1092" DrawAspect="Content" ObjectID="_1577286871" r:id="rId115"/>
              </w:object>
            </w:r>
            <w:r w:rsidRPr="00E554B0">
              <w:rPr>
                <w:strike/>
                <w:color w:val="C00000"/>
              </w:rPr>
              <w:t xml:space="preserve">, </w:t>
            </w:r>
            <w:r w:rsidRPr="00E554B0">
              <w:rPr>
                <w:strike/>
                <w:color w:val="C00000"/>
                <w:position w:val="-10"/>
              </w:rPr>
              <w:object w:dxaOrig="960" w:dyaOrig="300" w14:anchorId="4A90357B">
                <v:shape id="_x0000_i1093" type="#_x0000_t75" style="width:48pt;height:15pt" o:ole="">
                  <v:imagedata r:id="rId50" o:title=""/>
                </v:shape>
                <o:OLEObject Type="Embed" ProgID="Equation.3" ShapeID="_x0000_i1093" DrawAspect="Content" ObjectID="_1577286872" r:id="rId116"/>
              </w:object>
            </w:r>
            <w:r w:rsidRPr="00E554B0">
              <w:rPr>
                <w:strike/>
                <w:color w:val="C00000"/>
              </w:rPr>
              <w:t xml:space="preserve">, and </w:t>
            </w:r>
            <w:r w:rsidRPr="00E554B0">
              <w:rPr>
                <w:strike/>
                <w:color w:val="C00000"/>
                <w:position w:val="-6"/>
              </w:rPr>
              <w:object w:dxaOrig="940" w:dyaOrig="240" w14:anchorId="1960961D">
                <v:shape id="_x0000_i1094" type="#_x0000_t75" style="width:46.8pt;height:12pt" o:ole="">
                  <v:imagedata r:id="rId52" o:title=""/>
                </v:shape>
                <o:OLEObject Type="Embed" ProgID="Equation.3" ShapeID="_x0000_i1094" DrawAspect="Content" ObjectID="_1577286873" r:id="rId117"/>
              </w:object>
            </w:r>
            <w:r w:rsidRPr="00E554B0">
              <w:rPr>
                <w:strike/>
                <w:color w:val="C00000"/>
              </w:rPr>
              <w:t>;</w:t>
            </w:r>
          </w:p>
          <w:p w14:paraId="6DD0B577" w14:textId="77777777" w:rsidR="0080315D" w:rsidRPr="00E554B0" w:rsidRDefault="0080315D" w:rsidP="05FE66B3">
            <w:pPr>
              <w:rPr>
                <w:strike/>
                <w:color w:val="C00000"/>
              </w:rPr>
            </w:pPr>
            <w:r w:rsidRPr="00E554B0">
              <w:rPr>
                <w:strike/>
                <w:color w:val="C00000"/>
                <w:position w:val="-10"/>
              </w:rPr>
              <w:object w:dxaOrig="1120" w:dyaOrig="279" w14:anchorId="296B95A0">
                <v:shape id="_x0000_i1095" type="#_x0000_t75" style="width:55.8pt;height:13.8pt" o:ole="">
                  <v:imagedata r:id="rId54" o:title=""/>
                </v:shape>
                <o:OLEObject Type="Embed" ProgID="Equation.3" ShapeID="_x0000_i1095" DrawAspect="Content" ObjectID="_1577286874" r:id="rId118"/>
              </w:object>
            </w:r>
            <w:r w:rsidRPr="00E554B0">
              <w:rPr>
                <w:strike/>
                <w:color w:val="C00000"/>
              </w:rPr>
              <w:t>;</w:t>
            </w:r>
          </w:p>
          <w:p w14:paraId="7ACE875E" w14:textId="77777777" w:rsidR="0080315D" w:rsidRPr="00E554B0" w:rsidRDefault="0080315D" w:rsidP="05FE66B3">
            <w:pPr>
              <w:rPr>
                <w:strike/>
                <w:color w:val="C00000"/>
              </w:rPr>
            </w:pPr>
            <w:r w:rsidRPr="00E554B0">
              <w:rPr>
                <w:strike/>
                <w:color w:val="C00000"/>
                <w:position w:val="-10"/>
              </w:rPr>
              <w:object w:dxaOrig="320" w:dyaOrig="300" w14:anchorId="1F57F2B8">
                <v:shape id="_x0000_i1096" type="#_x0000_t75" style="width:16.2pt;height:15pt" o:ole="">
                  <v:imagedata r:id="rId38" o:title=""/>
                </v:shape>
                <o:OLEObject Type="Embed" ProgID="Equation.3" ShapeID="_x0000_i1096" DrawAspect="Content" ObjectID="_1577286875" r:id="rId119"/>
              </w:object>
            </w:r>
            <w:r w:rsidRPr="00E554B0">
              <w:rPr>
                <w:strike/>
                <w:color w:val="C00000"/>
              </w:rPr>
              <w:t xml:space="preserve"> is the carrier indicator field value if the UE is configured with a carrier indicator field for the serving cell on which PDCCH is monitored; otherwise, including for any common search space, </w:t>
            </w:r>
            <w:r w:rsidRPr="00E554B0">
              <w:rPr>
                <w:strike/>
                <w:color w:val="C00000"/>
                <w:position w:val="-10"/>
              </w:rPr>
              <w:object w:dxaOrig="620" w:dyaOrig="300" w14:anchorId="0C073D49">
                <v:shape id="_x0000_i1097" type="#_x0000_t75" style="width:31.2pt;height:15pt" o:ole="">
                  <v:imagedata r:id="rId57" o:title=""/>
                </v:shape>
                <o:OLEObject Type="Embed" ProgID="Equation.3" ShapeID="_x0000_i1097" DrawAspect="Content" ObjectID="_1577286876" r:id="rId120"/>
              </w:object>
            </w:r>
            <w:r w:rsidRPr="00E554B0">
              <w:rPr>
                <w:strike/>
                <w:color w:val="C00000"/>
              </w:rPr>
              <w:t>;</w:t>
            </w:r>
          </w:p>
          <w:p w14:paraId="602C2C24" w14:textId="77777777" w:rsidR="0080315D" w:rsidRPr="00E554B0" w:rsidRDefault="0080315D" w:rsidP="05FE66B3">
            <w:pPr>
              <w:rPr>
                <w:strike/>
                <w:color w:val="C00000"/>
              </w:rPr>
            </w:pPr>
            <w:r w:rsidRPr="00E554B0">
              <w:rPr>
                <w:strike/>
                <w:color w:val="C00000"/>
                <w:position w:val="-12"/>
              </w:rPr>
              <w:object w:dxaOrig="580" w:dyaOrig="320" w14:anchorId="0CC6D517">
                <v:shape id="_x0000_i1098" type="#_x0000_t75" style="width:28.8pt;height:16.2pt" o:ole="">
                  <v:imagedata r:id="rId59" o:title=""/>
                </v:shape>
                <o:OLEObject Type="Embed" ProgID="Equation.3" ShapeID="_x0000_i1098" DrawAspect="Content" ObjectID="_1577286877" r:id="rId121"/>
              </w:object>
            </w:r>
            <w:r w:rsidRPr="00E554B0">
              <w:rPr>
                <w:rStyle w:val="CommentReference"/>
                <w:strike/>
                <w:color w:val="C00000"/>
                <w:lang w:val="x-none"/>
              </w:rPr>
              <w:t xml:space="preserve"> i</w:t>
            </w:r>
            <w:r w:rsidRPr="00E554B0">
              <w:rPr>
                <w:strike/>
                <w:color w:val="C00000"/>
              </w:rPr>
              <w:t xml:space="preserve">s the number of CCEs, numbered from 0 to </w:t>
            </w:r>
            <w:r w:rsidRPr="00E554B0">
              <w:rPr>
                <w:strike/>
                <w:color w:val="C00000"/>
                <w:position w:val="-12"/>
              </w:rPr>
              <w:object w:dxaOrig="840" w:dyaOrig="320" w14:anchorId="42E99657">
                <v:shape id="_x0000_i1099" type="#_x0000_t75" style="width:42pt;height:16.2pt" o:ole="">
                  <v:imagedata r:id="rId61" o:title=""/>
                </v:shape>
                <o:OLEObject Type="Embed" ProgID="Equation.3" ShapeID="_x0000_i1099" DrawAspect="Content" ObjectID="_1577286878" r:id="rId122"/>
              </w:object>
            </w:r>
            <w:r w:rsidRPr="00E554B0">
              <w:rPr>
                <w:strike/>
                <w:color w:val="C00000"/>
              </w:rPr>
              <w:t xml:space="preserve">, in control resource set </w:t>
            </w:r>
            <w:r w:rsidRPr="00E554B0">
              <w:rPr>
                <w:strike/>
                <w:color w:val="C00000"/>
                <w:position w:val="-10"/>
              </w:rPr>
              <w:object w:dxaOrig="200" w:dyaOrig="240" w14:anchorId="16397048">
                <v:shape id="_x0000_i1100" type="#_x0000_t75" style="width:9.6pt;height:12pt" o:ole="">
                  <v:imagedata r:id="rId34" o:title=""/>
                </v:shape>
                <o:OLEObject Type="Embed" ProgID="Equation.3" ShapeID="_x0000_i1100" DrawAspect="Content" ObjectID="_1577286879" r:id="rId123"/>
              </w:object>
            </w:r>
            <w:r w:rsidRPr="00E554B0">
              <w:rPr>
                <w:strike/>
                <w:color w:val="C00000"/>
              </w:rPr>
              <w:t xml:space="preserve">; </w:t>
            </w:r>
          </w:p>
          <w:p w14:paraId="19A638D2" w14:textId="77777777" w:rsidR="0080315D" w:rsidRPr="00E554B0" w:rsidRDefault="0080315D" w:rsidP="05FE66B3">
            <w:pPr>
              <w:rPr>
                <w:strike/>
                <w:color w:val="C00000"/>
              </w:rPr>
            </w:pPr>
            <w:r w:rsidRPr="00E554B0">
              <w:rPr>
                <w:strike/>
                <w:color w:val="C00000"/>
                <w:position w:val="-14"/>
              </w:rPr>
              <w:object w:dxaOrig="2079" w:dyaOrig="400" w14:anchorId="34954A7B">
                <v:shape id="_x0000_i1101" type="#_x0000_t75" style="width:103.8pt;height:19.8pt" o:ole="">
                  <v:imagedata r:id="rId64" o:title=""/>
                </v:shape>
                <o:OLEObject Type="Embed" ProgID="Equation.3" ShapeID="_x0000_i1101" DrawAspect="Content" ObjectID="_1577286880" r:id="rId124"/>
              </w:object>
            </w:r>
            <w:r w:rsidRPr="00E554B0">
              <w:rPr>
                <w:strike/>
                <w:color w:val="C00000"/>
              </w:rPr>
              <w:t xml:space="preserve">, where </w:t>
            </w:r>
            <w:r w:rsidRPr="00E554B0">
              <w:rPr>
                <w:strike/>
                <w:color w:val="C00000"/>
                <w:position w:val="-14"/>
              </w:rPr>
              <w:object w:dxaOrig="620" w:dyaOrig="400" w14:anchorId="5E571FBB">
                <v:shape id="_x0000_i1102" type="#_x0000_t75" style="width:31.2pt;height:19.8pt" o:ole="">
                  <v:imagedata r:id="rId66" o:title=""/>
                </v:shape>
                <o:OLEObject Type="Embed" ProgID="Equation.3" ShapeID="_x0000_i1102" DrawAspect="Content" ObjectID="_1577286881" r:id="rId125"/>
              </w:object>
            </w:r>
            <w:r w:rsidRPr="00E554B0">
              <w:rPr>
                <w:strike/>
                <w:color w:val="C00000"/>
              </w:rPr>
              <w:t xml:space="preserve"> is the number of PDCCH</w:t>
            </w:r>
            <w:r w:rsidRPr="05FE66B3">
              <w:rPr>
                <w:strike/>
                <w:color w:val="C00000"/>
              </w:rPr>
              <w:t xml:space="preserve"> candidate</w:t>
            </w:r>
            <w:r w:rsidRPr="00E554B0">
              <w:rPr>
                <w:strike/>
                <w:color w:val="C00000"/>
              </w:rPr>
              <w:t>s</w:t>
            </w:r>
            <w:r w:rsidRPr="00E554B0" w:rsidDel="0005338E">
              <w:rPr>
                <w:strike/>
                <w:color w:val="C00000"/>
              </w:rPr>
              <w:t xml:space="preserve"> </w:t>
            </w:r>
            <w:r w:rsidRPr="00E554B0">
              <w:rPr>
                <w:strike/>
                <w:color w:val="C00000"/>
              </w:rPr>
              <w:t xml:space="preserve">the UE is configured to monitor for aggregation level </w:t>
            </w:r>
            <w:r w:rsidRPr="00E554B0">
              <w:rPr>
                <w:strike/>
                <w:color w:val="C00000"/>
                <w:position w:val="-4"/>
              </w:rPr>
              <w:object w:dxaOrig="200" w:dyaOrig="220" w14:anchorId="4F693AF9">
                <v:shape id="_x0000_i1103" type="#_x0000_t75" style="width:10.2pt;height:10.8pt" o:ole="">
                  <v:imagedata r:id="rId68" o:title=""/>
                </v:shape>
                <o:OLEObject Type="Embed" ProgID="Equation.3" ShapeID="_x0000_i1103" DrawAspect="Content" ObjectID="_1577286882" r:id="rId126"/>
              </w:object>
            </w:r>
            <w:r w:rsidRPr="00E554B0">
              <w:rPr>
                <w:strike/>
                <w:color w:val="C00000"/>
              </w:rPr>
              <w:t xml:space="preserve"> for a serving cell corresponding to </w:t>
            </w:r>
            <w:r w:rsidRPr="00E554B0">
              <w:rPr>
                <w:strike/>
                <w:color w:val="C00000"/>
                <w:position w:val="-10"/>
              </w:rPr>
              <w:object w:dxaOrig="320" w:dyaOrig="300" w14:anchorId="13084DD5">
                <v:shape id="_x0000_i1104" type="#_x0000_t75" style="width:16.2pt;height:15pt" o:ole="">
                  <v:imagedata r:id="rId38" o:title=""/>
                </v:shape>
                <o:OLEObject Type="Embed" ProgID="Equation.3" ShapeID="_x0000_i1104" DrawAspect="Content" ObjectID="_1577286883" r:id="rId127"/>
              </w:object>
            </w:r>
            <w:r w:rsidRPr="00E554B0">
              <w:rPr>
                <w:strike/>
                <w:color w:val="C00000"/>
              </w:rPr>
              <w:t xml:space="preserve">; </w:t>
            </w:r>
          </w:p>
          <w:p w14:paraId="18DE9EAB" w14:textId="77777777" w:rsidR="0080315D" w:rsidRPr="00E554B0" w:rsidRDefault="0080315D" w:rsidP="05FE66B3">
            <w:pPr>
              <w:rPr>
                <w:strike/>
                <w:color w:val="C00000"/>
              </w:rPr>
            </w:pPr>
            <w:r w:rsidRPr="00E554B0">
              <w:rPr>
                <w:strike/>
                <w:color w:val="C00000"/>
              </w:rPr>
              <w:t xml:space="preserve">for any common search space, </w:t>
            </w:r>
            <w:r w:rsidRPr="00E554B0">
              <w:rPr>
                <w:strike/>
                <w:color w:val="C00000"/>
                <w:position w:val="-14"/>
              </w:rPr>
              <w:object w:dxaOrig="1420" w:dyaOrig="400" w14:anchorId="409EA305">
                <v:shape id="_x0000_i1105" type="#_x0000_t75" style="width:70.8pt;height:19.8pt" o:ole="">
                  <v:imagedata r:id="rId71" o:title=""/>
                </v:shape>
                <o:OLEObject Type="Embed" ProgID="Equation.3" ShapeID="_x0000_i1105" DrawAspect="Content" ObjectID="_1577286884" r:id="rId128"/>
              </w:object>
            </w:r>
            <w:r w:rsidRPr="00E554B0">
              <w:rPr>
                <w:strike/>
                <w:color w:val="C00000"/>
              </w:rPr>
              <w:t xml:space="preserve">; </w:t>
            </w:r>
          </w:p>
          <w:p w14:paraId="2F79B973" w14:textId="11D107E1" w:rsidR="0080315D" w:rsidRPr="00E554B0" w:rsidRDefault="0080315D" w:rsidP="05FE66B3">
            <w:pPr>
              <w:rPr>
                <w:strike/>
                <w:color w:val="C00000"/>
              </w:rPr>
            </w:pPr>
            <w:r w:rsidRPr="00E554B0">
              <w:rPr>
                <w:strike/>
                <w:color w:val="C00000"/>
              </w:rPr>
              <w:t>for a UE-specific search space,</w:t>
            </w:r>
            <w:r w:rsidRPr="00E554B0">
              <w:rPr>
                <w:strike/>
                <w:color w:val="C00000"/>
                <w:position w:val="-14"/>
              </w:rPr>
              <w:object w:dxaOrig="660" w:dyaOrig="400" w14:anchorId="20E0CAF7">
                <v:shape id="_x0000_i1106" type="#_x0000_t75" style="width:33pt;height:19.8pt" o:ole="">
                  <v:imagedata r:id="rId73" o:title=""/>
                </v:shape>
                <o:OLEObject Type="Embed" ProgID="Equation.3" ShapeID="_x0000_i1106" DrawAspect="Content" ObjectID="_1577286885" r:id="rId129"/>
              </w:object>
            </w:r>
            <w:r w:rsidRPr="00E554B0">
              <w:rPr>
                <w:rFonts w:eastAsia="Malgun Gothic"/>
                <w:strike/>
                <w:color w:val="C00000"/>
                <w:lang w:eastAsia="ko-KR"/>
              </w:rPr>
              <w:t xml:space="preserve"> is the maximum of </w:t>
            </w:r>
            <w:r w:rsidRPr="00E554B0">
              <w:rPr>
                <w:strike/>
                <w:color w:val="C00000"/>
                <w:position w:val="-14"/>
              </w:rPr>
              <w:object w:dxaOrig="620" w:dyaOrig="400" w14:anchorId="6AD71888">
                <v:shape id="_x0000_i1107" type="#_x0000_t75" style="width:31.2pt;height:19.8pt" o:ole="">
                  <v:imagedata r:id="rId75" o:title=""/>
                </v:shape>
                <o:OLEObject Type="Embed" ProgID="Equation.3" ShapeID="_x0000_i1107" DrawAspect="Content" ObjectID="_1577286886" r:id="rId130"/>
              </w:object>
            </w:r>
            <w:r w:rsidRPr="00E554B0">
              <w:rPr>
                <w:strike/>
                <w:color w:val="C00000"/>
              </w:rPr>
              <w:t xml:space="preserve"> </w:t>
            </w:r>
            <w:r w:rsidRPr="00E554B0">
              <w:rPr>
                <w:rFonts w:eastAsia="Malgun Gothic"/>
                <w:strike/>
                <w:color w:val="C00000"/>
                <w:lang w:eastAsia="ko-KR"/>
              </w:rPr>
              <w:t xml:space="preserve">for all corresponding DCI formats over all configured </w:t>
            </w:r>
            <w:r w:rsidRPr="00E554B0">
              <w:rPr>
                <w:strike/>
                <w:color w:val="C00000"/>
                <w:position w:val="-10"/>
              </w:rPr>
              <w:object w:dxaOrig="320" w:dyaOrig="300" w14:anchorId="58D4F917">
                <v:shape id="_x0000_i1108" type="#_x0000_t75" style="width:16.2pt;height:15pt" o:ole="">
                  <v:imagedata r:id="rId38" o:title=""/>
                </v:shape>
                <o:OLEObject Type="Embed" ProgID="Equation.3" ShapeID="_x0000_i1108" DrawAspect="Content" ObjectID="_1577286887" r:id="rId131"/>
              </w:object>
            </w:r>
            <w:r w:rsidRPr="00E554B0">
              <w:rPr>
                <w:strike/>
                <w:color w:val="C00000"/>
              </w:rPr>
              <w:t xml:space="preserve"> values </w:t>
            </w:r>
            <w:r w:rsidRPr="00E554B0">
              <w:rPr>
                <w:rFonts w:eastAsia="Malgun Gothic"/>
                <w:strike/>
                <w:color w:val="C00000"/>
                <w:lang w:eastAsia="ko-KR"/>
              </w:rPr>
              <w:t xml:space="preserve">for a CCE aggregation level </w:t>
            </w:r>
            <w:r w:rsidRPr="00E554B0">
              <w:rPr>
                <w:strike/>
                <w:color w:val="C00000"/>
                <w:position w:val="-4"/>
              </w:rPr>
              <w:object w:dxaOrig="200" w:dyaOrig="220" w14:anchorId="7D64BF8B">
                <v:shape id="_x0000_i1109" type="#_x0000_t75" style="width:10.2pt;height:10.8pt" o:ole="">
                  <v:imagedata r:id="rId78" o:title=""/>
                </v:shape>
                <o:OLEObject Type="Embed" ProgID="Equation.3" ShapeID="_x0000_i1109" DrawAspect="Content" ObjectID="_1577286888" r:id="rId132"/>
              </w:object>
            </w:r>
            <w:r w:rsidRPr="00E554B0">
              <w:rPr>
                <w:rFonts w:eastAsia="Malgun Gothic"/>
                <w:strike/>
                <w:color w:val="C00000"/>
                <w:lang w:eastAsia="ko-KR"/>
              </w:rPr>
              <w:t xml:space="preserve"> in  search space set </w:t>
            </w:r>
            <w:r w:rsidRPr="05FE66B3">
              <w:rPr>
                <w:rFonts w:eastAsia="Malgun Gothic"/>
                <w:i/>
                <w:iCs/>
                <w:strike/>
                <w:color w:val="C00000"/>
                <w:lang w:eastAsia="ko-KR"/>
              </w:rPr>
              <w:t>s</w:t>
            </w:r>
            <w:r w:rsidRPr="00E554B0">
              <w:rPr>
                <w:rFonts w:eastAsia="Malgun Gothic"/>
                <w:strike/>
                <w:color w:val="C00000"/>
                <w:lang w:eastAsia="ko-KR"/>
              </w:rPr>
              <w:t xml:space="preserve"> in control resource set </w:t>
            </w:r>
            <w:r w:rsidRPr="00E554B0">
              <w:rPr>
                <w:strike/>
                <w:color w:val="C00000"/>
                <w:position w:val="-10"/>
              </w:rPr>
              <w:object w:dxaOrig="200" w:dyaOrig="240" w14:anchorId="1D152FAF">
                <v:shape id="_x0000_i1110" type="#_x0000_t75" style="width:9.6pt;height:12pt" o:ole="">
                  <v:imagedata r:id="rId34" o:title=""/>
                </v:shape>
                <o:OLEObject Type="Embed" ProgID="Equation.3" ShapeID="_x0000_i1110" DrawAspect="Content" ObjectID="_1577286889" r:id="rId133"/>
              </w:object>
            </w:r>
            <w:r w:rsidRPr="00E554B0">
              <w:rPr>
                <w:strike/>
                <w:color w:val="C00000"/>
              </w:rPr>
              <w:t>;</w:t>
            </w:r>
          </w:p>
          <w:p w14:paraId="6BCC3483" w14:textId="77777777" w:rsidR="0080315D" w:rsidRPr="00E554B0" w:rsidRDefault="0080315D" w:rsidP="05FE66B3">
            <w:pPr>
              <w:rPr>
                <w:rFonts w:eastAsia="MS Mincho"/>
                <w:strike/>
                <w:color w:val="C00000"/>
              </w:rPr>
            </w:pPr>
            <w:r w:rsidRPr="00E554B0">
              <w:rPr>
                <w:rFonts w:eastAsia="MS Mincho"/>
                <w:strike/>
                <w:color w:val="C00000"/>
              </w:rPr>
              <w:t xml:space="preserve">the RNTI value used for </w:t>
            </w:r>
            <w:r w:rsidRPr="00E554B0">
              <w:rPr>
                <w:strike/>
                <w:color w:val="C00000"/>
                <w:position w:val="-10"/>
              </w:rPr>
              <w:object w:dxaOrig="460" w:dyaOrig="300" w14:anchorId="50D30D89">
                <v:shape id="_x0000_i1111" type="#_x0000_t75" style="width:22.8pt;height:15pt" o:ole="">
                  <v:imagedata r:id="rId81" o:title=""/>
                </v:shape>
                <o:OLEObject Type="Embed" ProgID="Equation.3" ShapeID="_x0000_i1111" DrawAspect="Content" ObjectID="_1577286890" r:id="rId134"/>
              </w:object>
            </w:r>
            <w:r w:rsidRPr="00E554B0">
              <w:rPr>
                <w:rFonts w:eastAsia="MS Mincho"/>
                <w:strike/>
                <w:color w:val="C00000"/>
              </w:rPr>
              <w:t xml:space="preserve"> is defined in </w:t>
            </w:r>
            <w:r w:rsidRPr="00E554B0">
              <w:rPr>
                <w:strike/>
                <w:color w:val="C00000"/>
              </w:rPr>
              <w:t>[5, TS 38.212] and in [6, TS 38.214]</w:t>
            </w:r>
            <w:r w:rsidRPr="00E554B0">
              <w:rPr>
                <w:rFonts w:eastAsia="MS Mincho"/>
                <w:strike/>
                <w:color w:val="C00000"/>
              </w:rPr>
              <w:t>.</w:t>
            </w:r>
          </w:p>
          <w:p w14:paraId="4FFCFDA7" w14:textId="77777777" w:rsidR="0080315D" w:rsidRDefault="0080315D" w:rsidP="0080315D"/>
          <w:p w14:paraId="4E85DBF2" w14:textId="179BD311" w:rsidR="0080315D" w:rsidRPr="00E554B0" w:rsidRDefault="0080315D" w:rsidP="05FE66B3">
            <w:pPr>
              <w:rPr>
                <w:color w:val="C00000"/>
              </w:rPr>
            </w:pPr>
            <w:r w:rsidRPr="00E554B0">
              <w:rPr>
                <w:color w:val="C00000"/>
              </w:rPr>
              <w:t xml:space="preserve">For a search space set </w:t>
            </w:r>
            <w:r w:rsidRPr="05FE66B3">
              <w:rPr>
                <w:i/>
                <w:iCs/>
                <w:color w:val="C00000"/>
              </w:rPr>
              <w:t>s</w:t>
            </w:r>
            <w:r w:rsidRPr="00E554B0">
              <w:rPr>
                <w:color w:val="C00000"/>
              </w:rPr>
              <w:t xml:space="preserve">, the CCEs corresponding to PDCCH candidate </w:t>
            </w:r>
            <w:r w:rsidRPr="00E554B0">
              <w:rPr>
                <w:color w:val="C00000"/>
                <w:position w:val="-14"/>
              </w:rPr>
              <w:object w:dxaOrig="400" w:dyaOrig="340" w14:anchorId="4158B93D">
                <v:shape id="_x0000_i1112" type="#_x0000_t75" style="width:19.2pt;height:16.8pt" o:ole="">
                  <v:imagedata r:id="rId36" o:title=""/>
                </v:shape>
                <o:OLEObject Type="Embed" ProgID="Equation.3" ShapeID="_x0000_i1112" DrawAspect="Content" ObjectID="_1577286891" r:id="rId135"/>
              </w:object>
            </w:r>
            <w:r w:rsidRPr="05FE66B3">
              <w:rPr>
                <w:color w:val="C00000"/>
              </w:rPr>
              <w:t xml:space="preserve"> of the search space</w:t>
            </w:r>
            <w:r w:rsidRPr="00E554B0">
              <w:rPr>
                <w:color w:val="C00000"/>
              </w:rPr>
              <w:t xml:space="preserve"> for a serving cell corresponding to carrier indicator field value </w:t>
            </w:r>
            <w:r w:rsidRPr="00E554B0">
              <w:rPr>
                <w:color w:val="C00000"/>
                <w:position w:val="-10"/>
              </w:rPr>
              <w:object w:dxaOrig="320" w:dyaOrig="300" w14:anchorId="03C73EEB">
                <v:shape id="_x0000_i1113" type="#_x0000_t75" style="width:16.2pt;height:15pt" o:ole="">
                  <v:imagedata r:id="rId38" o:title=""/>
                </v:shape>
                <o:OLEObject Type="Embed" ProgID="Equation.3" ShapeID="_x0000_i1113" DrawAspect="Content" ObjectID="_1577286892" r:id="rId136"/>
              </w:object>
            </w:r>
            <w:r w:rsidRPr="00E554B0">
              <w:rPr>
                <w:color w:val="C00000"/>
              </w:rPr>
              <w:t xml:space="preserve"> </w:t>
            </w:r>
            <w:r w:rsidRPr="05FE66B3">
              <w:rPr>
                <w:color w:val="C00000"/>
              </w:rPr>
              <w:t>are</w:t>
            </w:r>
            <w:r w:rsidRPr="00E554B0">
              <w:rPr>
                <w:color w:val="C00000"/>
              </w:rPr>
              <w:t xml:space="preserve"> given by </w:t>
            </w:r>
          </w:p>
          <w:p w14:paraId="0053C303" w14:textId="05C5EA7C" w:rsidR="0080315D" w:rsidRPr="00E554B0" w:rsidRDefault="00A720B2" w:rsidP="05FE66B3">
            <w:pPr>
              <w:spacing w:after="0"/>
              <w:jc w:val="center"/>
              <w:rPr>
                <w:color w:val="C00000"/>
              </w:rPr>
            </w:pPr>
            <w:r w:rsidRPr="00E554B0">
              <w:rPr>
                <w:color w:val="C00000"/>
                <w:position w:val="-40"/>
              </w:rPr>
              <w:object w:dxaOrig="9200" w:dyaOrig="920" w14:anchorId="0DC5641D">
                <v:shape id="_x0000_i1114" type="#_x0000_t75" style="width:453.6pt;height:46.2pt" o:ole="">
                  <v:imagedata r:id="rId137" o:title=""/>
                </v:shape>
                <o:OLEObject Type="Embed" ProgID="Equation.3" ShapeID="_x0000_i1114" DrawAspect="Content" ObjectID="_1577286893" r:id="rId138"/>
              </w:object>
            </w:r>
            <w:r w:rsidR="0080315D" w:rsidRPr="00E554B0">
              <w:rPr>
                <w:color w:val="C00000"/>
              </w:rPr>
              <w:t>,</w:t>
            </w:r>
          </w:p>
          <w:p w14:paraId="286CF361" w14:textId="77777777" w:rsidR="0080315D" w:rsidRPr="00E554B0" w:rsidRDefault="05FE66B3" w:rsidP="05FE66B3">
            <w:pPr>
              <w:rPr>
                <w:color w:val="C00000"/>
              </w:rPr>
            </w:pPr>
            <w:r w:rsidRPr="05FE66B3">
              <w:rPr>
                <w:color w:val="C00000"/>
              </w:rPr>
              <w:t>where</w:t>
            </w:r>
          </w:p>
          <w:p w14:paraId="76C186EF" w14:textId="77777777" w:rsidR="0080315D" w:rsidRPr="00E554B0" w:rsidRDefault="0037594D" w:rsidP="05FE66B3">
            <w:pPr>
              <w:rPr>
                <w:color w:val="C00000"/>
              </w:rPr>
            </w:pPr>
            <m:oMath>
              <m:sSub>
                <m:sSubPr>
                  <m:ctrlPr>
                    <w:rPr>
                      <w:rFonts w:ascii="Cambria Math" w:hAnsi="Cambria Math"/>
                      <w:i/>
                      <w:color w:val="C00000"/>
                    </w:rPr>
                  </m:ctrlPr>
                </m:sSubPr>
                <m:e>
                  <m:r>
                    <m:rPr>
                      <m:nor/>
                    </m:rPr>
                    <w:rPr>
                      <w:rFonts w:ascii="Cambria Math" w:hAnsi="Cambria Math"/>
                      <w:color w:val="C00000"/>
                    </w:rPr>
                    <m:t>Z</m:t>
                  </m:r>
                </m:e>
                <m:sub>
                  <m:r>
                    <m:rPr>
                      <m:nor/>
                    </m:rPr>
                    <w:rPr>
                      <w:rFonts w:ascii="Cambria Math" w:hAnsi="Cambria Math"/>
                      <w:color w:val="C00000"/>
                    </w:rPr>
                    <m:t>p,</m:t>
                  </m:r>
                  <m:sSub>
                    <m:sSubPr>
                      <m:ctrlPr>
                        <w:rPr>
                          <w:rFonts w:ascii="Cambria Math" w:hAnsi="Cambria Math"/>
                          <w:i/>
                          <w:color w:val="C00000"/>
                        </w:rPr>
                      </m:ctrlPr>
                    </m:sSubPr>
                    <m:e>
                      <m:r>
                        <w:rPr>
                          <w:rFonts w:ascii="Cambria Math" w:hAnsi="Cambria Math"/>
                          <w:color w:val="C00000"/>
                        </w:rPr>
                        <m:t>k</m:t>
                      </m:r>
                    </m:e>
                    <m:sub>
                      <m:r>
                        <w:rPr>
                          <w:rFonts w:ascii="Cambria Math" w:hAnsi="Cambria Math"/>
                          <w:color w:val="C00000"/>
                        </w:rPr>
                        <m:t>p</m:t>
                      </m:r>
                    </m:sub>
                  </m:sSub>
                  <m:r>
                    <m:rPr>
                      <m:nor/>
                    </m:rPr>
                    <w:rPr>
                      <w:rFonts w:ascii="Cambria Math" w:hAnsi="Cambria Math"/>
                      <w:color w:val="C00000"/>
                    </w:rPr>
                    <m:t>,</m:t>
                  </m:r>
                  <m:sSub>
                    <m:sSubPr>
                      <m:ctrlPr>
                        <w:rPr>
                          <w:rFonts w:ascii="Cambria Math" w:hAnsi="Cambria Math"/>
                          <w:i/>
                          <w:color w:val="C00000"/>
                        </w:rPr>
                      </m:ctrlPr>
                    </m:sSubPr>
                    <m:e>
                      <m:r>
                        <w:rPr>
                          <w:rFonts w:ascii="Cambria Math" w:hAnsi="Cambria Math"/>
                          <w:color w:val="C00000"/>
                        </w:rPr>
                        <m:t>m</m:t>
                      </m:r>
                    </m:e>
                    <m:sub>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CI</m:t>
                          </m:r>
                        </m:sub>
                      </m:sSub>
                    </m:sub>
                  </m:sSub>
                </m:sub>
              </m:sSub>
              <m:r>
                <m:rPr>
                  <m:nor/>
                </m:rPr>
                <w:rPr>
                  <w:rFonts w:ascii="Cambria Math" w:hAnsi="Cambria Math"/>
                  <w:color w:val="C00000"/>
                </w:rPr>
                <m:t xml:space="preserve">= </m:t>
              </m:r>
              <m:sSub>
                <m:sSubPr>
                  <m:ctrlPr>
                    <w:rPr>
                      <w:rFonts w:ascii="Cambria Math" w:hAnsi="Cambria Math"/>
                      <w:i/>
                      <w:color w:val="C00000"/>
                    </w:rPr>
                  </m:ctrlPr>
                </m:sSubPr>
                <m:e>
                  <m:r>
                    <m:rPr>
                      <m:nor/>
                    </m:rPr>
                    <w:rPr>
                      <w:rFonts w:ascii="Cambria Math" w:hAnsi="Cambria Math"/>
                      <w:color w:val="C00000"/>
                    </w:rPr>
                    <m:t>Y</m:t>
                  </m:r>
                </m:e>
                <m:sub>
                  <m:r>
                    <m:rPr>
                      <m:nor/>
                    </m:rPr>
                    <w:rPr>
                      <w:rFonts w:ascii="Cambria Math" w:hAnsi="Cambria Math"/>
                      <w:color w:val="C00000"/>
                    </w:rPr>
                    <m:t>p,</m:t>
                  </m:r>
                  <m:sSub>
                    <m:sSubPr>
                      <m:ctrlPr>
                        <w:rPr>
                          <w:rFonts w:ascii="Cambria Math" w:hAnsi="Cambria Math"/>
                          <w:i/>
                          <w:color w:val="C00000"/>
                        </w:rPr>
                      </m:ctrlPr>
                    </m:sSubPr>
                    <m:e>
                      <m:r>
                        <w:rPr>
                          <w:rFonts w:ascii="Cambria Math" w:hAnsi="Cambria Math"/>
                          <w:color w:val="C00000"/>
                        </w:rPr>
                        <m:t>k</m:t>
                      </m:r>
                    </m:e>
                    <m:sub>
                      <m:r>
                        <w:rPr>
                          <w:rFonts w:ascii="Cambria Math" w:hAnsi="Cambria Math"/>
                          <w:color w:val="C00000"/>
                        </w:rPr>
                        <m:t>p</m:t>
                      </m:r>
                    </m:sub>
                  </m:sSub>
                </m:sub>
              </m:sSub>
            </m:oMath>
            <w:r w:rsidR="0080315D" w:rsidRPr="00E554B0">
              <w:rPr>
                <w:color w:val="C00000"/>
              </w:rPr>
              <w:t xml:space="preserve">  for </w:t>
            </w:r>
            <m:oMath>
              <m:sSub>
                <m:sSubPr>
                  <m:ctrlPr>
                    <w:rPr>
                      <w:rFonts w:ascii="Cambria Math" w:hAnsi="Cambria Math"/>
                      <w:i/>
                      <w:color w:val="C00000"/>
                    </w:rPr>
                  </m:ctrlPr>
                </m:sSubPr>
                <m:e>
                  <m:r>
                    <w:rPr>
                      <w:rFonts w:ascii="Cambria Math" w:hAnsi="Cambria Math"/>
                      <w:color w:val="C00000"/>
                    </w:rPr>
                    <m:t>m</m:t>
                  </m:r>
                </m:e>
                <m:sub>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CI</m:t>
                      </m:r>
                    </m:sub>
                  </m:sSub>
                </m:sub>
              </m:sSub>
              <m:r>
                <w:rPr>
                  <w:rFonts w:ascii="Cambria Math" w:hAnsi="Cambria Math"/>
                  <w:color w:val="C00000"/>
                </w:rPr>
                <m:t>=0</m:t>
              </m:r>
            </m:oMath>
            <w:r w:rsidR="0080315D" w:rsidRPr="00E554B0">
              <w:rPr>
                <w:color w:val="C00000"/>
              </w:rPr>
              <w:t>, and</w:t>
            </w:r>
          </w:p>
          <w:p w14:paraId="79627DF9" w14:textId="77777777" w:rsidR="0080315D" w:rsidRPr="00E554B0" w:rsidRDefault="0037594D" w:rsidP="05FE66B3">
            <w:pPr>
              <w:rPr>
                <w:color w:val="C00000"/>
              </w:rPr>
            </w:pPr>
            <m:oMath>
              <m:sSub>
                <m:sSubPr>
                  <m:ctrlPr>
                    <w:rPr>
                      <w:rFonts w:ascii="Cambria Math" w:hAnsi="Cambria Math"/>
                      <w:i/>
                      <w:color w:val="C00000"/>
                    </w:rPr>
                  </m:ctrlPr>
                </m:sSubPr>
                <m:e>
                  <m:r>
                    <m:rPr>
                      <m:nor/>
                    </m:rPr>
                    <w:rPr>
                      <w:rFonts w:ascii="Cambria Math" w:hAnsi="Cambria Math"/>
                      <w:color w:val="C00000"/>
                    </w:rPr>
                    <m:t>Z</m:t>
                  </m:r>
                </m:e>
                <m:sub>
                  <m:r>
                    <m:rPr>
                      <m:nor/>
                    </m:rPr>
                    <w:rPr>
                      <w:rFonts w:ascii="Cambria Math" w:hAnsi="Cambria Math"/>
                      <w:color w:val="C00000"/>
                    </w:rPr>
                    <m:t>p,</m:t>
                  </m:r>
                  <m:sSub>
                    <m:sSubPr>
                      <m:ctrlPr>
                        <w:rPr>
                          <w:rFonts w:ascii="Cambria Math" w:hAnsi="Cambria Math"/>
                          <w:i/>
                          <w:color w:val="C00000"/>
                        </w:rPr>
                      </m:ctrlPr>
                    </m:sSubPr>
                    <m:e>
                      <m:r>
                        <w:rPr>
                          <w:rFonts w:ascii="Cambria Math" w:hAnsi="Cambria Math"/>
                          <w:color w:val="C00000"/>
                        </w:rPr>
                        <m:t>k</m:t>
                      </m:r>
                    </m:e>
                    <m:sub>
                      <m:r>
                        <w:rPr>
                          <w:rFonts w:ascii="Cambria Math" w:hAnsi="Cambria Math"/>
                          <w:color w:val="C00000"/>
                        </w:rPr>
                        <m:t>p</m:t>
                      </m:r>
                    </m:sub>
                  </m:sSub>
                  <m:r>
                    <m:rPr>
                      <m:nor/>
                    </m:rPr>
                    <w:rPr>
                      <w:rFonts w:ascii="Cambria Math" w:hAnsi="Cambria Math"/>
                      <w:color w:val="C00000"/>
                    </w:rPr>
                    <m:t>,</m:t>
                  </m:r>
                  <m:sSub>
                    <m:sSubPr>
                      <m:ctrlPr>
                        <w:rPr>
                          <w:rFonts w:ascii="Cambria Math" w:hAnsi="Cambria Math"/>
                          <w:i/>
                          <w:color w:val="C00000"/>
                        </w:rPr>
                      </m:ctrlPr>
                    </m:sSubPr>
                    <m:e>
                      <m:r>
                        <w:rPr>
                          <w:rFonts w:ascii="Cambria Math" w:hAnsi="Cambria Math"/>
                          <w:color w:val="C00000"/>
                        </w:rPr>
                        <m:t>m</m:t>
                      </m:r>
                    </m:e>
                    <m:sub>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CI</m:t>
                          </m:r>
                        </m:sub>
                      </m:sSub>
                    </m:sub>
                  </m:sSub>
                </m:sub>
              </m:sSub>
              <m:r>
                <m:rPr>
                  <m:nor/>
                </m:rPr>
                <w:rPr>
                  <w:rFonts w:ascii="Cambria Math" w:hAnsi="Cambria Math"/>
                  <w:color w:val="C00000"/>
                  <w:lang w:val="en-US"/>
                </w:rPr>
                <m:t>=</m:t>
              </m:r>
              <m:sSub>
                <m:sSubPr>
                  <m:ctrlPr>
                    <w:rPr>
                      <w:rFonts w:ascii="Cambria Math" w:hAnsi="Cambria Math"/>
                      <w:i/>
                      <w:color w:val="C00000"/>
                    </w:rPr>
                  </m:ctrlPr>
                </m:sSubPr>
                <m:e>
                  <m:r>
                    <w:rPr>
                      <w:rFonts w:ascii="Cambria Math" w:hAnsi="Cambria Math"/>
                      <w:color w:val="C00000"/>
                    </w:rPr>
                    <m:t>(</m:t>
                  </m:r>
                  <m:sSup>
                    <m:sSupPr>
                      <m:ctrlPr>
                        <w:rPr>
                          <w:rFonts w:ascii="Cambria Math" w:hAnsi="Cambria Math"/>
                          <w:i/>
                          <w:color w:val="C00000"/>
                        </w:rPr>
                      </m:ctrlPr>
                    </m:sSupPr>
                    <m:e>
                      <m:sSub>
                        <m:sSubPr>
                          <m:ctrlPr>
                            <w:rPr>
                              <w:rFonts w:ascii="Cambria Math" w:hAnsi="Cambria Math"/>
                              <w:i/>
                              <w:color w:val="C00000"/>
                            </w:rPr>
                          </m:ctrlPr>
                        </m:sSubPr>
                        <m:e>
                          <m:r>
                            <w:rPr>
                              <w:rFonts w:ascii="Cambria Math" w:hAnsi="Cambria Math"/>
                              <w:color w:val="C00000"/>
                            </w:rPr>
                            <m:t>A</m:t>
                          </m:r>
                        </m:e>
                        <m:sub>
                          <m:r>
                            <w:rPr>
                              <w:rFonts w:ascii="Cambria Math" w:hAnsi="Cambria Math"/>
                              <w:color w:val="C00000"/>
                            </w:rPr>
                            <m:t>p</m:t>
                          </m:r>
                        </m:sub>
                      </m:sSub>
                    </m:e>
                    <m:sup>
                      <m:r>
                        <w:rPr>
                          <w:rFonts w:ascii="Cambria Math" w:hAnsi="Cambria Math"/>
                          <w:color w:val="C00000"/>
                        </w:rPr>
                        <m:t>'</m:t>
                      </m:r>
                    </m:sup>
                  </m:sSup>
                  <m:r>
                    <w:rPr>
                      <w:rFonts w:ascii="Cambria Math" w:hAnsi="Cambria Math"/>
                      <w:color w:val="C00000"/>
                    </w:rPr>
                    <m:t>Z</m:t>
                  </m:r>
                </m:e>
                <m:sub>
                  <m:r>
                    <w:rPr>
                      <w:rFonts w:ascii="Cambria Math" w:hAnsi="Cambria Math"/>
                      <w:color w:val="C00000"/>
                    </w:rPr>
                    <m:t>p,</m:t>
                  </m:r>
                  <m:sSub>
                    <m:sSubPr>
                      <m:ctrlPr>
                        <w:rPr>
                          <w:rFonts w:ascii="Cambria Math" w:hAnsi="Cambria Math"/>
                          <w:i/>
                          <w:color w:val="C00000"/>
                        </w:rPr>
                      </m:ctrlPr>
                    </m:sSubPr>
                    <m:e>
                      <m:r>
                        <w:rPr>
                          <w:rFonts w:ascii="Cambria Math" w:hAnsi="Cambria Math"/>
                          <w:color w:val="C00000"/>
                        </w:rPr>
                        <m:t>k</m:t>
                      </m:r>
                    </m:e>
                    <m:sub>
                      <m:r>
                        <w:rPr>
                          <w:rFonts w:ascii="Cambria Math" w:hAnsi="Cambria Math"/>
                          <w:color w:val="C00000"/>
                        </w:rPr>
                        <m:t>p</m:t>
                      </m:r>
                    </m:sub>
                  </m:sSub>
                  <m:r>
                    <w:rPr>
                      <w:rFonts w:ascii="Cambria Math" w:hAnsi="Cambria Math"/>
                      <w:color w:val="C00000"/>
                      <w:lang w:val="en-US"/>
                    </w:rPr>
                    <m:t>,</m:t>
                  </m:r>
                  <m:sSub>
                    <m:sSubPr>
                      <m:ctrlPr>
                        <w:rPr>
                          <w:rFonts w:ascii="Cambria Math" w:hAnsi="Cambria Math"/>
                          <w:i/>
                          <w:color w:val="C00000"/>
                        </w:rPr>
                      </m:ctrlPr>
                    </m:sSubPr>
                    <m:e>
                      <m:r>
                        <w:rPr>
                          <w:rFonts w:ascii="Cambria Math" w:hAnsi="Cambria Math"/>
                          <w:color w:val="C00000"/>
                        </w:rPr>
                        <m:t>m</m:t>
                      </m:r>
                    </m:e>
                    <m:sub>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CI</m:t>
                          </m:r>
                        </m:sub>
                      </m:sSub>
                    </m:sub>
                  </m:sSub>
                  <m:r>
                    <w:rPr>
                      <w:rFonts w:ascii="Cambria Math" w:hAnsi="Cambria Math"/>
                      <w:color w:val="C00000"/>
                      <w:lang w:val="en-US"/>
                    </w:rPr>
                    <m:t>-1</m:t>
                  </m:r>
                </m:sub>
              </m:sSub>
              <m:r>
                <m:rPr>
                  <m:nor/>
                </m:rPr>
                <w:rPr>
                  <w:rFonts w:ascii="Cambria Math" w:hAnsi="Cambria Math"/>
                  <w:color w:val="C00000"/>
                  <w:lang w:val="en-US"/>
                </w:rPr>
                <m:t>)mod</m:t>
              </m:r>
              <m:r>
                <w:rPr>
                  <w:rFonts w:ascii="Cambria Math" w:hAnsi="Cambria Math"/>
                  <w:color w:val="C00000"/>
                </w:rPr>
                <m:t>D</m:t>
              </m:r>
            </m:oMath>
            <w:r w:rsidR="0080315D" w:rsidRPr="00E554B0">
              <w:rPr>
                <w:color w:val="C00000"/>
              </w:rPr>
              <w:t xml:space="preserve">,  </w:t>
            </w:r>
            <w:r w:rsidR="0080315D" w:rsidRPr="00E554B0">
              <w:rPr>
                <w:color w:val="C00000"/>
                <w:position w:val="-12"/>
              </w:rPr>
              <w:object w:dxaOrig="1180" w:dyaOrig="360" w14:anchorId="689E5C7D">
                <v:shape id="_x0000_i1115" type="#_x0000_t75" style="width:59.4pt;height:18pt" o:ole="">
                  <v:imagedata r:id="rId139" o:title=""/>
                </v:shape>
                <o:OLEObject Type="Embed" ProgID="Equation.3" ShapeID="_x0000_i1115" DrawAspect="Content" ObjectID="_1577286894" r:id="rId140"/>
              </w:object>
            </w:r>
            <w:r w:rsidR="0080315D" w:rsidRPr="00E554B0">
              <w:rPr>
                <w:color w:val="C00000"/>
              </w:rPr>
              <w:t xml:space="preserve">, </w:t>
            </w:r>
            <w:r w:rsidR="0080315D" w:rsidRPr="00E554B0">
              <w:rPr>
                <w:color w:val="C00000"/>
                <w:position w:val="-10"/>
              </w:rPr>
              <w:object w:dxaOrig="1160" w:dyaOrig="340" w14:anchorId="1E4F0AD8">
                <v:shape id="_x0000_i1116" type="#_x0000_t75" style="width:57.6pt;height:16.8pt" o:ole="">
                  <v:imagedata r:id="rId141" o:title=""/>
                </v:shape>
                <o:OLEObject Type="Embed" ProgID="Equation.3" ShapeID="_x0000_i1116" DrawAspect="Content" ObjectID="_1577286895" r:id="rId142"/>
              </w:object>
            </w:r>
            <w:r w:rsidR="0080315D" w:rsidRPr="00E554B0">
              <w:rPr>
                <w:color w:val="C00000"/>
              </w:rPr>
              <w:t xml:space="preserve">, and </w:t>
            </w:r>
            <w:r w:rsidR="0080315D" w:rsidRPr="00E554B0">
              <w:rPr>
                <w:color w:val="C00000"/>
                <w:position w:val="-6"/>
              </w:rPr>
              <w:object w:dxaOrig="1100" w:dyaOrig="279" w14:anchorId="595FB55E">
                <v:shape id="_x0000_i1117" type="#_x0000_t75" style="width:54.6pt;height:14.4pt" o:ole="">
                  <v:imagedata r:id="rId143" o:title=""/>
                </v:shape>
                <o:OLEObject Type="Embed" ProgID="Equation.3" ShapeID="_x0000_i1117" DrawAspect="Content" ObjectID="_1577286896" r:id="rId144"/>
              </w:object>
            </w:r>
            <w:r w:rsidR="0080315D" w:rsidRPr="00E554B0">
              <w:rPr>
                <w:color w:val="C00000"/>
              </w:rPr>
              <w:t>, else;</w:t>
            </w:r>
          </w:p>
          <w:p w14:paraId="5287C319" w14:textId="77777777" w:rsidR="0080315D" w:rsidRPr="00E554B0" w:rsidRDefault="0080315D" w:rsidP="05FE66B3">
            <w:pPr>
              <w:rPr>
                <w:color w:val="C00000"/>
              </w:rPr>
            </w:pPr>
            <w:r w:rsidRPr="00E554B0">
              <w:rPr>
                <w:color w:val="C00000"/>
              </w:rPr>
              <w:t>for any common search space,</w:t>
            </w:r>
            <w:r w:rsidRPr="00E554B0">
              <w:rPr>
                <w:color w:val="C00000"/>
                <w:position w:val="-16"/>
              </w:rPr>
              <w:object w:dxaOrig="760" w:dyaOrig="360" w14:anchorId="47BDBA21">
                <v:shape id="_x0000_i1118" type="#_x0000_t75" style="width:37.8pt;height:18pt" o:ole="">
                  <v:imagedata r:id="rId42" o:title=""/>
                </v:shape>
                <o:OLEObject Type="Embed" ProgID="Equation.3" ShapeID="_x0000_i1118" DrawAspect="Content" ObjectID="_1577286897" r:id="rId145"/>
              </w:object>
            </w:r>
            <w:r w:rsidRPr="00E554B0">
              <w:rPr>
                <w:color w:val="C00000"/>
              </w:rPr>
              <w:t xml:space="preserve">; </w:t>
            </w:r>
          </w:p>
          <w:p w14:paraId="3D5489D9" w14:textId="77777777" w:rsidR="0080315D" w:rsidRPr="00E554B0" w:rsidRDefault="0080315D" w:rsidP="05FE66B3">
            <w:pPr>
              <w:rPr>
                <w:color w:val="C00000"/>
              </w:rPr>
            </w:pPr>
            <w:r w:rsidRPr="00E554B0">
              <w:rPr>
                <w:color w:val="C00000"/>
              </w:rPr>
              <w:t>for a UE-specific search space,</w:t>
            </w:r>
            <w:r w:rsidRPr="00E554B0">
              <w:rPr>
                <w:color w:val="C00000"/>
                <w:position w:val="-16"/>
              </w:rPr>
              <w:object w:dxaOrig="2120" w:dyaOrig="360" w14:anchorId="549A5BCE">
                <v:shape id="_x0000_i1119" type="#_x0000_t75" style="width:106.2pt;height:18pt" o:ole="">
                  <v:imagedata r:id="rId44" o:title=""/>
                </v:shape>
                <o:OLEObject Type="Embed" ProgID="Equation.3" ShapeID="_x0000_i1119" DrawAspect="Content" ObjectID="_1577286898" r:id="rId146"/>
              </w:object>
            </w:r>
            <w:r w:rsidRPr="00E554B0">
              <w:rPr>
                <w:color w:val="C00000"/>
              </w:rPr>
              <w:t xml:space="preserve">, </w:t>
            </w:r>
            <w:r w:rsidRPr="00E554B0">
              <w:rPr>
                <w:color w:val="C00000"/>
                <w:position w:val="-12"/>
              </w:rPr>
              <w:object w:dxaOrig="1359" w:dyaOrig="320" w14:anchorId="40C0C32E">
                <v:shape id="_x0000_i1120" type="#_x0000_t75" style="width:67.8pt;height:16.2pt" o:ole="">
                  <v:imagedata r:id="rId46" o:title=""/>
                </v:shape>
                <o:OLEObject Type="Embed" ProgID="Equation.3" ShapeID="_x0000_i1120" DrawAspect="Content" ObjectID="_1577286899" r:id="rId147"/>
              </w:object>
            </w:r>
            <w:r w:rsidRPr="00E554B0">
              <w:rPr>
                <w:color w:val="C00000"/>
              </w:rPr>
              <w:t xml:space="preserve">, </w:t>
            </w:r>
            <w:r w:rsidRPr="00E554B0">
              <w:rPr>
                <w:color w:val="C00000"/>
                <w:position w:val="-12"/>
              </w:rPr>
              <w:object w:dxaOrig="1160" w:dyaOrig="360" w14:anchorId="3E0C9148">
                <v:shape id="_x0000_i1121" type="#_x0000_t75" style="width:58.2pt;height:18pt" o:ole="">
                  <v:imagedata r:id="rId148" o:title=""/>
                </v:shape>
                <o:OLEObject Type="Embed" ProgID="Equation.3" ShapeID="_x0000_i1121" DrawAspect="Content" ObjectID="_1577286900" r:id="rId149"/>
              </w:object>
            </w:r>
            <w:r w:rsidRPr="00E554B0">
              <w:rPr>
                <w:color w:val="C00000"/>
              </w:rPr>
              <w:t xml:space="preserve">, </w:t>
            </w:r>
            <w:r w:rsidRPr="00E554B0">
              <w:rPr>
                <w:color w:val="C00000"/>
                <w:position w:val="-10"/>
              </w:rPr>
              <w:object w:dxaOrig="1140" w:dyaOrig="340" w14:anchorId="032E3B45">
                <v:shape id="_x0000_i1122" type="#_x0000_t75" style="width:57pt;height:16.8pt" o:ole="">
                  <v:imagedata r:id="rId150" o:title=""/>
                </v:shape>
                <o:OLEObject Type="Embed" ProgID="Equation.3" ShapeID="_x0000_i1122" DrawAspect="Content" ObjectID="_1577286901" r:id="rId151"/>
              </w:object>
            </w:r>
            <w:r w:rsidRPr="00E554B0">
              <w:rPr>
                <w:color w:val="C00000"/>
              </w:rPr>
              <w:t xml:space="preserve">, and </w:t>
            </w:r>
            <w:r w:rsidRPr="00E554B0">
              <w:rPr>
                <w:color w:val="C00000"/>
                <w:position w:val="-6"/>
              </w:rPr>
              <w:object w:dxaOrig="1100" w:dyaOrig="279" w14:anchorId="1FA47DD1">
                <v:shape id="_x0000_i1123" type="#_x0000_t75" style="width:54.6pt;height:14.4pt" o:ole="">
                  <v:imagedata r:id="rId152" o:title=""/>
                </v:shape>
                <o:OLEObject Type="Embed" ProgID="Equation.3" ShapeID="_x0000_i1123" DrawAspect="Content" ObjectID="_1577286902" r:id="rId153"/>
              </w:object>
            </w:r>
            <w:r w:rsidRPr="00E554B0">
              <w:rPr>
                <w:color w:val="C00000"/>
              </w:rPr>
              <w:t>;</w:t>
            </w:r>
          </w:p>
          <w:p w14:paraId="6F3915A8" w14:textId="77777777" w:rsidR="0080315D" w:rsidRPr="00E554B0" w:rsidRDefault="0080315D" w:rsidP="05FE66B3">
            <w:pPr>
              <w:rPr>
                <w:color w:val="C00000"/>
              </w:rPr>
            </w:pPr>
            <w:r w:rsidRPr="00E554B0">
              <w:rPr>
                <w:color w:val="C00000"/>
                <w:position w:val="-10"/>
              </w:rPr>
              <w:object w:dxaOrig="1120" w:dyaOrig="279" w14:anchorId="047B73CD">
                <v:shape id="_x0000_i1124" type="#_x0000_t75" style="width:55.8pt;height:13.8pt" o:ole="">
                  <v:imagedata r:id="rId54" o:title=""/>
                </v:shape>
                <o:OLEObject Type="Embed" ProgID="Equation.3" ShapeID="_x0000_i1124" DrawAspect="Content" ObjectID="_1577286903" r:id="rId154"/>
              </w:object>
            </w:r>
            <w:r w:rsidRPr="00E554B0">
              <w:rPr>
                <w:color w:val="C00000"/>
              </w:rPr>
              <w:t>;</w:t>
            </w:r>
          </w:p>
          <w:p w14:paraId="7C00C756" w14:textId="77777777" w:rsidR="0080315D" w:rsidRPr="00E554B0" w:rsidRDefault="0080315D" w:rsidP="05FE66B3">
            <w:pPr>
              <w:rPr>
                <w:color w:val="C00000"/>
              </w:rPr>
            </w:pPr>
            <w:r w:rsidRPr="00E554B0">
              <w:rPr>
                <w:color w:val="C00000"/>
                <w:position w:val="-10"/>
              </w:rPr>
              <w:object w:dxaOrig="320" w:dyaOrig="300" w14:anchorId="0F1644C9">
                <v:shape id="_x0000_i1125" type="#_x0000_t75" style="width:16.2pt;height:15pt" o:ole="">
                  <v:imagedata r:id="rId38" o:title=""/>
                </v:shape>
                <o:OLEObject Type="Embed" ProgID="Equation.3" ShapeID="_x0000_i1125" DrawAspect="Content" ObjectID="_1577286904" r:id="rId155"/>
              </w:object>
            </w:r>
            <w:r w:rsidRPr="00E554B0">
              <w:rPr>
                <w:color w:val="C00000"/>
              </w:rPr>
              <w:t xml:space="preserve"> is the carrier indicator field value if the UE is configured with a carrier indicator field for the serving cell on which PDCCH is monitored; otherwise, including for any common search space, </w:t>
            </w:r>
            <w:r w:rsidRPr="00E554B0">
              <w:rPr>
                <w:color w:val="C00000"/>
                <w:position w:val="-10"/>
              </w:rPr>
              <w:object w:dxaOrig="620" w:dyaOrig="300" w14:anchorId="6459872B">
                <v:shape id="_x0000_i1126" type="#_x0000_t75" style="width:31.2pt;height:15pt" o:ole="">
                  <v:imagedata r:id="rId57" o:title=""/>
                </v:shape>
                <o:OLEObject Type="Embed" ProgID="Equation.3" ShapeID="_x0000_i1126" DrawAspect="Content" ObjectID="_1577286905" r:id="rId156"/>
              </w:object>
            </w:r>
            <w:r w:rsidRPr="00E554B0">
              <w:rPr>
                <w:color w:val="C00000"/>
              </w:rPr>
              <w:t>;</w:t>
            </w:r>
          </w:p>
          <w:p w14:paraId="44EC3171" w14:textId="77777777" w:rsidR="0080315D" w:rsidRPr="00E554B0" w:rsidRDefault="0080315D" w:rsidP="05FE66B3">
            <w:pPr>
              <w:rPr>
                <w:color w:val="C00000"/>
              </w:rPr>
            </w:pPr>
            <w:r w:rsidRPr="00E554B0">
              <w:rPr>
                <w:color w:val="C00000"/>
                <w:position w:val="-12"/>
              </w:rPr>
              <w:object w:dxaOrig="580" w:dyaOrig="320" w14:anchorId="59A366A5">
                <v:shape id="_x0000_i1127" type="#_x0000_t75" style="width:28.8pt;height:16.2pt" o:ole="">
                  <v:imagedata r:id="rId59" o:title=""/>
                </v:shape>
                <o:OLEObject Type="Embed" ProgID="Equation.3" ShapeID="_x0000_i1127" DrawAspect="Content" ObjectID="_1577286906" r:id="rId157"/>
              </w:object>
            </w:r>
            <w:r w:rsidRPr="00E554B0">
              <w:rPr>
                <w:rStyle w:val="CommentReference"/>
                <w:color w:val="C00000"/>
                <w:lang w:val="x-none"/>
              </w:rPr>
              <w:t xml:space="preserve"> </w:t>
            </w:r>
            <w:r w:rsidRPr="00E554B0">
              <w:rPr>
                <w:color w:val="C00000"/>
              </w:rPr>
              <w:t xml:space="preserve">is the number of CCEs, numbered from 0 to </w:t>
            </w:r>
            <w:r w:rsidRPr="00E554B0">
              <w:rPr>
                <w:color w:val="C00000"/>
                <w:position w:val="-12"/>
              </w:rPr>
              <w:object w:dxaOrig="840" w:dyaOrig="320" w14:anchorId="6CA5A29A">
                <v:shape id="_x0000_i1128" type="#_x0000_t75" style="width:42pt;height:16.2pt" o:ole="">
                  <v:imagedata r:id="rId61" o:title=""/>
                </v:shape>
                <o:OLEObject Type="Embed" ProgID="Equation.3" ShapeID="_x0000_i1128" DrawAspect="Content" ObjectID="_1577286907" r:id="rId158"/>
              </w:object>
            </w:r>
            <w:r w:rsidRPr="00E554B0">
              <w:rPr>
                <w:color w:val="C00000"/>
              </w:rPr>
              <w:t xml:space="preserve">, in control resource set </w:t>
            </w:r>
            <w:r w:rsidRPr="00E554B0">
              <w:rPr>
                <w:color w:val="C00000"/>
                <w:position w:val="-10"/>
              </w:rPr>
              <w:object w:dxaOrig="200" w:dyaOrig="240" w14:anchorId="295BE5E8">
                <v:shape id="_x0000_i1129" type="#_x0000_t75" style="width:9.6pt;height:12pt" o:ole="">
                  <v:imagedata r:id="rId34" o:title=""/>
                </v:shape>
                <o:OLEObject Type="Embed" ProgID="Equation.3" ShapeID="_x0000_i1129" DrawAspect="Content" ObjectID="_1577286908" r:id="rId159"/>
              </w:object>
            </w:r>
            <w:r w:rsidRPr="00E554B0">
              <w:rPr>
                <w:color w:val="C00000"/>
              </w:rPr>
              <w:t xml:space="preserve">; </w:t>
            </w:r>
          </w:p>
          <w:p w14:paraId="343197FD" w14:textId="77777777" w:rsidR="0080315D" w:rsidRPr="00E554B0" w:rsidRDefault="0080315D" w:rsidP="05FE66B3">
            <w:pPr>
              <w:rPr>
                <w:color w:val="C00000"/>
              </w:rPr>
            </w:pPr>
            <w:r w:rsidRPr="00E554B0">
              <w:rPr>
                <w:color w:val="C00000"/>
                <w:position w:val="-14"/>
              </w:rPr>
              <w:object w:dxaOrig="2079" w:dyaOrig="400" w14:anchorId="458FC7C7">
                <v:shape id="_x0000_i1130" type="#_x0000_t75" style="width:103.8pt;height:19.8pt" o:ole="">
                  <v:imagedata r:id="rId64" o:title=""/>
                </v:shape>
                <o:OLEObject Type="Embed" ProgID="Equation.3" ShapeID="_x0000_i1130" DrawAspect="Content" ObjectID="_1577286909" r:id="rId160"/>
              </w:object>
            </w:r>
            <w:r w:rsidRPr="00E554B0">
              <w:rPr>
                <w:color w:val="C00000"/>
              </w:rPr>
              <w:t xml:space="preserve">, where </w:t>
            </w:r>
            <w:r w:rsidRPr="00E554B0">
              <w:rPr>
                <w:color w:val="C00000"/>
                <w:position w:val="-14"/>
              </w:rPr>
              <w:object w:dxaOrig="620" w:dyaOrig="400" w14:anchorId="37EFF69C">
                <v:shape id="_x0000_i1131" type="#_x0000_t75" style="width:31.2pt;height:19.8pt" o:ole="">
                  <v:imagedata r:id="rId66" o:title=""/>
                </v:shape>
                <o:OLEObject Type="Embed" ProgID="Equation.3" ShapeID="_x0000_i1131" DrawAspect="Content" ObjectID="_1577286910" r:id="rId161"/>
              </w:object>
            </w:r>
            <w:r w:rsidRPr="00E554B0">
              <w:rPr>
                <w:color w:val="C00000"/>
              </w:rPr>
              <w:t xml:space="preserve"> is the number of PDCCH</w:t>
            </w:r>
            <w:r w:rsidRPr="05FE66B3">
              <w:rPr>
                <w:color w:val="C00000"/>
              </w:rPr>
              <w:t xml:space="preserve"> candidate</w:t>
            </w:r>
            <w:r w:rsidRPr="00E554B0">
              <w:rPr>
                <w:color w:val="C00000"/>
              </w:rPr>
              <w:t>s</w:t>
            </w:r>
            <w:r w:rsidRPr="00E554B0" w:rsidDel="0005338E">
              <w:rPr>
                <w:color w:val="C00000"/>
              </w:rPr>
              <w:t xml:space="preserve"> </w:t>
            </w:r>
            <w:r w:rsidRPr="00E554B0">
              <w:rPr>
                <w:color w:val="C00000"/>
              </w:rPr>
              <w:t xml:space="preserve">the UE is configured to monitor for aggregation level </w:t>
            </w:r>
            <w:r w:rsidRPr="00E554B0">
              <w:rPr>
                <w:color w:val="C00000"/>
                <w:position w:val="-4"/>
              </w:rPr>
              <w:object w:dxaOrig="200" w:dyaOrig="220" w14:anchorId="0BD485EF">
                <v:shape id="_x0000_i1132" type="#_x0000_t75" style="width:10.2pt;height:10.8pt" o:ole="">
                  <v:imagedata r:id="rId68" o:title=""/>
                </v:shape>
                <o:OLEObject Type="Embed" ProgID="Equation.3" ShapeID="_x0000_i1132" DrawAspect="Content" ObjectID="_1577286911" r:id="rId162"/>
              </w:object>
            </w:r>
            <w:r w:rsidRPr="00E554B0">
              <w:rPr>
                <w:color w:val="C00000"/>
              </w:rPr>
              <w:t xml:space="preserve"> for a serving cell corresponding to </w:t>
            </w:r>
            <w:r w:rsidRPr="00E554B0">
              <w:rPr>
                <w:color w:val="C00000"/>
                <w:position w:val="-10"/>
              </w:rPr>
              <w:object w:dxaOrig="320" w:dyaOrig="300" w14:anchorId="7322CB55">
                <v:shape id="_x0000_i1133" type="#_x0000_t75" style="width:16.2pt;height:15pt" o:ole="">
                  <v:imagedata r:id="rId38" o:title=""/>
                </v:shape>
                <o:OLEObject Type="Embed" ProgID="Equation.3" ShapeID="_x0000_i1133" DrawAspect="Content" ObjectID="_1577286912" r:id="rId163"/>
              </w:object>
            </w:r>
            <w:r w:rsidRPr="00E554B0">
              <w:rPr>
                <w:color w:val="C00000"/>
              </w:rPr>
              <w:t xml:space="preserve">; </w:t>
            </w:r>
          </w:p>
          <w:p w14:paraId="6DA099E0" w14:textId="77777777" w:rsidR="0080315D" w:rsidRPr="00E554B0" w:rsidRDefault="0080315D" w:rsidP="05FE66B3">
            <w:pPr>
              <w:rPr>
                <w:color w:val="C00000"/>
              </w:rPr>
            </w:pPr>
            <w:r w:rsidRPr="00E554B0">
              <w:rPr>
                <w:color w:val="C00000"/>
                <w:position w:val="-16"/>
              </w:rPr>
              <w:object w:dxaOrig="3220" w:dyaOrig="420" w14:anchorId="18DF6DD9">
                <v:shape id="_x0000_i1134" type="#_x0000_t75" style="width:160.8pt;height:21pt" o:ole="">
                  <v:imagedata r:id="rId164" o:title=""/>
                </v:shape>
                <o:OLEObject Type="Embed" ProgID="Equation.3" ShapeID="_x0000_i1134" DrawAspect="Content" ObjectID="_1577286913" r:id="rId165"/>
              </w:object>
            </w:r>
            <w:r w:rsidRPr="00E554B0">
              <w:rPr>
                <w:color w:val="C00000"/>
              </w:rPr>
              <w:t>;</w:t>
            </w:r>
          </w:p>
          <w:p w14:paraId="402C63FC" w14:textId="77777777" w:rsidR="0080315D" w:rsidRPr="00E554B0" w:rsidRDefault="0080315D" w:rsidP="05FE66B3">
            <w:pPr>
              <w:rPr>
                <w:color w:val="C00000"/>
              </w:rPr>
            </w:pPr>
            <w:r w:rsidRPr="00E554B0">
              <w:rPr>
                <w:color w:val="C00000"/>
              </w:rPr>
              <w:t xml:space="preserve">for any common search space, </w:t>
            </w:r>
            <w:r w:rsidRPr="00E554B0">
              <w:rPr>
                <w:color w:val="C00000"/>
                <w:position w:val="-14"/>
              </w:rPr>
              <w:object w:dxaOrig="1420" w:dyaOrig="400" w14:anchorId="1DE9310F">
                <v:shape id="_x0000_i1135" type="#_x0000_t75" style="width:70.8pt;height:19.8pt" o:ole="">
                  <v:imagedata r:id="rId71" o:title=""/>
                </v:shape>
                <o:OLEObject Type="Embed" ProgID="Equation.3" ShapeID="_x0000_i1135" DrawAspect="Content" ObjectID="_1577286914" r:id="rId166"/>
              </w:object>
            </w:r>
            <w:r w:rsidRPr="00E554B0">
              <w:rPr>
                <w:color w:val="C00000"/>
              </w:rPr>
              <w:t xml:space="preserve">; </w:t>
            </w:r>
          </w:p>
          <w:p w14:paraId="02048016" w14:textId="77777777" w:rsidR="0080315D" w:rsidRPr="00E554B0" w:rsidRDefault="0080315D" w:rsidP="05FE66B3">
            <w:pPr>
              <w:rPr>
                <w:color w:val="C00000"/>
              </w:rPr>
            </w:pPr>
            <w:r w:rsidRPr="00E554B0">
              <w:rPr>
                <w:color w:val="C00000"/>
              </w:rPr>
              <w:t>for a UE-specific search space,</w:t>
            </w:r>
            <w:r w:rsidRPr="00E554B0">
              <w:rPr>
                <w:color w:val="C00000"/>
                <w:position w:val="-14"/>
              </w:rPr>
              <w:object w:dxaOrig="660" w:dyaOrig="400" w14:anchorId="160BC686">
                <v:shape id="_x0000_i1136" type="#_x0000_t75" style="width:33pt;height:19.8pt" o:ole="">
                  <v:imagedata r:id="rId73" o:title=""/>
                </v:shape>
                <o:OLEObject Type="Embed" ProgID="Equation.3" ShapeID="_x0000_i1136" DrawAspect="Content" ObjectID="_1577286915" r:id="rId167"/>
              </w:object>
            </w:r>
            <w:r w:rsidRPr="00E554B0">
              <w:rPr>
                <w:rFonts w:eastAsia="Malgun Gothic"/>
                <w:color w:val="C00000"/>
                <w:lang w:eastAsia="ko-KR"/>
              </w:rPr>
              <w:t xml:space="preserve"> is the maximum of </w:t>
            </w:r>
            <w:r w:rsidRPr="00E554B0">
              <w:rPr>
                <w:color w:val="C00000"/>
                <w:position w:val="-14"/>
              </w:rPr>
              <w:object w:dxaOrig="620" w:dyaOrig="400" w14:anchorId="5CCBAD63">
                <v:shape id="_x0000_i1137" type="#_x0000_t75" style="width:31.2pt;height:19.8pt" o:ole="">
                  <v:imagedata r:id="rId75" o:title=""/>
                </v:shape>
                <o:OLEObject Type="Embed" ProgID="Equation.3" ShapeID="_x0000_i1137" DrawAspect="Content" ObjectID="_1577286916" r:id="rId168"/>
              </w:object>
            </w:r>
            <w:r w:rsidRPr="00E554B0">
              <w:rPr>
                <w:color w:val="C00000"/>
              </w:rPr>
              <w:t xml:space="preserve"> </w:t>
            </w:r>
            <w:r w:rsidRPr="00E554B0">
              <w:rPr>
                <w:rFonts w:eastAsia="Malgun Gothic"/>
                <w:color w:val="C00000"/>
                <w:lang w:eastAsia="ko-KR"/>
              </w:rPr>
              <w:t xml:space="preserve">for all corresponding DCI formats over all configured </w:t>
            </w:r>
            <w:r w:rsidRPr="00E554B0">
              <w:rPr>
                <w:color w:val="C00000"/>
                <w:position w:val="-10"/>
              </w:rPr>
              <w:object w:dxaOrig="320" w:dyaOrig="300" w14:anchorId="0CC79D56">
                <v:shape id="_x0000_i1138" type="#_x0000_t75" style="width:16.2pt;height:15pt" o:ole="">
                  <v:imagedata r:id="rId38" o:title=""/>
                </v:shape>
                <o:OLEObject Type="Embed" ProgID="Equation.3" ShapeID="_x0000_i1138" DrawAspect="Content" ObjectID="_1577286917" r:id="rId169"/>
              </w:object>
            </w:r>
            <w:r w:rsidRPr="00E554B0">
              <w:rPr>
                <w:color w:val="C00000"/>
              </w:rPr>
              <w:t xml:space="preserve"> values </w:t>
            </w:r>
            <w:r w:rsidRPr="00E554B0">
              <w:rPr>
                <w:rFonts w:eastAsia="Malgun Gothic"/>
                <w:color w:val="C00000"/>
                <w:lang w:eastAsia="ko-KR"/>
              </w:rPr>
              <w:t xml:space="preserve">for a CCE aggregation level </w:t>
            </w:r>
            <w:r w:rsidRPr="00E554B0">
              <w:rPr>
                <w:color w:val="C00000"/>
                <w:position w:val="-4"/>
              </w:rPr>
              <w:object w:dxaOrig="200" w:dyaOrig="220" w14:anchorId="60EBB512">
                <v:shape id="_x0000_i1139" type="#_x0000_t75" style="width:10.2pt;height:10.8pt" o:ole="">
                  <v:imagedata r:id="rId78" o:title=""/>
                </v:shape>
                <o:OLEObject Type="Embed" ProgID="Equation.3" ShapeID="_x0000_i1139" DrawAspect="Content" ObjectID="_1577286918" r:id="rId170"/>
              </w:object>
            </w:r>
            <w:r w:rsidRPr="00E554B0">
              <w:rPr>
                <w:rFonts w:eastAsia="Malgun Gothic"/>
                <w:color w:val="C00000"/>
                <w:lang w:eastAsia="ko-KR"/>
              </w:rPr>
              <w:t xml:space="preserve"> in search space set </w:t>
            </w:r>
            <w:r w:rsidRPr="05FE66B3">
              <w:rPr>
                <w:rFonts w:eastAsia="Malgun Gothic"/>
                <w:i/>
                <w:iCs/>
                <w:color w:val="C00000"/>
                <w:lang w:eastAsia="ko-KR"/>
              </w:rPr>
              <w:t>s</w:t>
            </w:r>
            <w:r w:rsidRPr="00E554B0">
              <w:rPr>
                <w:rFonts w:eastAsia="Malgun Gothic"/>
                <w:color w:val="C00000"/>
                <w:lang w:eastAsia="ko-KR"/>
              </w:rPr>
              <w:t xml:space="preserve"> in control resource set </w:t>
            </w:r>
            <w:r w:rsidRPr="00E554B0">
              <w:rPr>
                <w:color w:val="C00000"/>
                <w:position w:val="-10"/>
              </w:rPr>
              <w:object w:dxaOrig="200" w:dyaOrig="240" w14:anchorId="4D8E62A8">
                <v:shape id="_x0000_i1140" type="#_x0000_t75" style="width:9.6pt;height:12pt" o:ole="">
                  <v:imagedata r:id="rId34" o:title=""/>
                </v:shape>
                <o:OLEObject Type="Embed" ProgID="Equation.3" ShapeID="_x0000_i1140" DrawAspect="Content" ObjectID="_1577286919" r:id="rId171"/>
              </w:object>
            </w:r>
            <w:r w:rsidRPr="00E554B0">
              <w:rPr>
                <w:color w:val="C00000"/>
              </w:rPr>
              <w:t>;</w:t>
            </w:r>
          </w:p>
          <w:p w14:paraId="01B26EB0" w14:textId="77777777" w:rsidR="0080315D" w:rsidRPr="00E554B0" w:rsidRDefault="0080315D" w:rsidP="05FE66B3">
            <w:pPr>
              <w:rPr>
                <w:color w:val="C00000"/>
              </w:rPr>
            </w:pPr>
            <w:r w:rsidRPr="00E554B0">
              <w:rPr>
                <w:rFonts w:eastAsia="MS Mincho"/>
                <w:color w:val="C00000"/>
              </w:rPr>
              <w:t xml:space="preserve">the RNTI value used for </w:t>
            </w:r>
            <w:r w:rsidRPr="00E554B0">
              <w:rPr>
                <w:color w:val="C00000"/>
                <w:position w:val="-10"/>
              </w:rPr>
              <w:object w:dxaOrig="460" w:dyaOrig="300" w14:anchorId="6A6BAF2E">
                <v:shape id="_x0000_i1141" type="#_x0000_t75" style="width:22.8pt;height:15pt" o:ole="">
                  <v:imagedata r:id="rId81" o:title=""/>
                </v:shape>
                <o:OLEObject Type="Embed" ProgID="Equation.3" ShapeID="_x0000_i1141" DrawAspect="Content" ObjectID="_1577286920" r:id="rId172"/>
              </w:object>
            </w:r>
            <w:r w:rsidRPr="00E554B0">
              <w:rPr>
                <w:rFonts w:eastAsia="MS Mincho"/>
                <w:color w:val="C00000"/>
              </w:rPr>
              <w:t xml:space="preserve"> is defined in </w:t>
            </w:r>
            <w:r w:rsidRPr="00E554B0">
              <w:rPr>
                <w:color w:val="C00000"/>
              </w:rPr>
              <w:t>[5, TS 38.212] and in [6, TS 38.214]</w:t>
            </w:r>
            <w:r w:rsidRPr="00E554B0">
              <w:rPr>
                <w:rFonts w:eastAsia="MS Mincho"/>
                <w:color w:val="C00000"/>
              </w:rPr>
              <w:t>.</w:t>
            </w:r>
          </w:p>
          <w:p w14:paraId="45A0BD4B" w14:textId="77777777" w:rsidR="0080315D" w:rsidRDefault="0080315D" w:rsidP="0080315D">
            <w:pPr>
              <w:rPr>
                <w:b/>
                <w:lang w:val="en-US"/>
              </w:rPr>
            </w:pPr>
          </w:p>
        </w:tc>
      </w:tr>
    </w:tbl>
    <w:p w14:paraId="1F9CBE0D" w14:textId="77777777" w:rsidR="0080315D" w:rsidRPr="0080315D" w:rsidRDefault="0080315D" w:rsidP="0080315D">
      <w:pPr>
        <w:rPr>
          <w:b/>
          <w:lang w:val="en-US"/>
        </w:rPr>
      </w:pPr>
    </w:p>
    <w:p w14:paraId="0D827FAF" w14:textId="5DA480AE" w:rsidR="0034111C" w:rsidRPr="00A51522" w:rsidRDefault="05FE66B3" w:rsidP="05FE66B3">
      <w:pPr>
        <w:pStyle w:val="Heading1"/>
        <w:rPr>
          <w:color w:val="000000" w:themeColor="text1"/>
        </w:rPr>
      </w:pPr>
      <w:r w:rsidRPr="05FE66B3">
        <w:rPr>
          <w:color w:val="000000" w:themeColor="text1"/>
        </w:rPr>
        <w:t>Conclusions</w:t>
      </w:r>
    </w:p>
    <w:p w14:paraId="626917E1" w14:textId="07A48AC5" w:rsidR="00731B79" w:rsidRDefault="05FE66B3" w:rsidP="006060C2">
      <w:pPr>
        <w:spacing w:after="120"/>
        <w:jc w:val="both"/>
        <w:rPr>
          <w:bCs/>
        </w:rPr>
      </w:pPr>
      <w:r>
        <w:t>In this contribution, we have discussed remaining details of search space design for NR-PDCCH. Based on the discussion, we make the following observations and proposals:</w:t>
      </w:r>
    </w:p>
    <w:p w14:paraId="126C7195" w14:textId="77777777" w:rsidR="0078091F" w:rsidRDefault="0078091F" w:rsidP="0078091F">
      <w:pPr>
        <w:jc w:val="both"/>
      </w:pPr>
      <w:r w:rsidRPr="05FE66B3">
        <w:rPr>
          <w:b/>
          <w:bCs/>
        </w:rPr>
        <w:t>Observation #1:</w:t>
      </w:r>
      <w:r>
        <w:t xml:space="preserve"> </w:t>
      </w:r>
      <w:r w:rsidRPr="05FE66B3">
        <w:rPr>
          <w:i/>
          <w:iCs/>
        </w:rPr>
        <w:t xml:space="preserve">When a </w:t>
      </w:r>
      <w:proofErr w:type="spellStart"/>
      <w:r w:rsidRPr="05FE66B3">
        <w:rPr>
          <w:i/>
          <w:iCs/>
        </w:rPr>
        <w:t>gNB</w:t>
      </w:r>
      <w:proofErr w:type="spellEnd"/>
      <w:r w:rsidRPr="05FE66B3">
        <w:rPr>
          <w:i/>
          <w:iCs/>
        </w:rPr>
        <w:t xml:space="preserve"> serves multiple services with different PDCCH monitoring periodicity, the infrequent monitoring peaks may occur. The </w:t>
      </w:r>
      <w:proofErr w:type="spellStart"/>
      <w:r w:rsidRPr="05FE66B3">
        <w:rPr>
          <w:i/>
          <w:iCs/>
        </w:rPr>
        <w:t>gNB</w:t>
      </w:r>
      <w:proofErr w:type="spellEnd"/>
      <w:r w:rsidRPr="05FE66B3">
        <w:rPr>
          <w:i/>
          <w:iCs/>
        </w:rPr>
        <w:t xml:space="preserve"> should be allowed to over-book BDs during these infrequent peaks, to avoid BD restrictions in other monitoring occasions</w:t>
      </w:r>
      <w:r>
        <w:t xml:space="preserve">.   </w:t>
      </w:r>
    </w:p>
    <w:p w14:paraId="1AE7AA7C" w14:textId="77777777" w:rsidR="0078091F" w:rsidRPr="001206E5" w:rsidRDefault="0078091F" w:rsidP="0078091F">
      <w:pPr>
        <w:spacing w:after="0"/>
        <w:jc w:val="both"/>
        <w:rPr>
          <w:i/>
          <w:iCs/>
        </w:rPr>
      </w:pPr>
      <w:r w:rsidRPr="05FE66B3">
        <w:rPr>
          <w:b/>
          <w:bCs/>
          <w:i/>
          <w:iCs/>
        </w:rPr>
        <w:t xml:space="preserve">Observation #2: </w:t>
      </w:r>
      <w:r w:rsidRPr="05FE66B3">
        <w:rPr>
          <w:i/>
          <w:iCs/>
        </w:rPr>
        <w:t xml:space="preserve">If CCE overbooking would not be allowed and CCE limitation would be set to 48 CCE, </w:t>
      </w:r>
      <w:proofErr w:type="spellStart"/>
      <w:r w:rsidRPr="05FE66B3">
        <w:rPr>
          <w:i/>
          <w:iCs/>
        </w:rPr>
        <w:t>gNB</w:t>
      </w:r>
      <w:proofErr w:type="spellEnd"/>
      <w:r w:rsidRPr="05FE66B3">
        <w:rPr>
          <w:i/>
          <w:iCs/>
        </w:rPr>
        <w:t xml:space="preserve"> would not be able to configure single CSS (0, 0, 4, 2, 0) and single USS (6, 6, 2, 2, 0) in a CORESETs larger than 48CCE. </w:t>
      </w:r>
    </w:p>
    <w:p w14:paraId="6D31D7DB" w14:textId="092B4B3A" w:rsidR="00A643E0" w:rsidRDefault="00A643E0" w:rsidP="00D90C06">
      <w:pPr>
        <w:spacing w:after="0"/>
        <w:jc w:val="both"/>
        <w:rPr>
          <w:b/>
          <w:i/>
        </w:rPr>
      </w:pPr>
    </w:p>
    <w:p w14:paraId="47224539" w14:textId="77777777" w:rsidR="0078091F" w:rsidRDefault="0078091F" w:rsidP="0078091F">
      <w:pPr>
        <w:spacing w:after="0"/>
        <w:jc w:val="both"/>
        <w:rPr>
          <w:i/>
          <w:iCs/>
        </w:rPr>
      </w:pPr>
      <w:r w:rsidRPr="05FE66B3">
        <w:rPr>
          <w:b/>
          <w:bCs/>
          <w:i/>
          <w:iCs/>
        </w:rPr>
        <w:t>Observation #3:</w:t>
      </w:r>
      <w:r>
        <w:t xml:space="preserve"> </w:t>
      </w:r>
      <w:r w:rsidRPr="05FE66B3">
        <w:rPr>
          <w:i/>
          <w:iCs/>
        </w:rPr>
        <w:t xml:space="preserve">The proposed hashing function is a refinement of the hashing function of LTE EPDCCH. </w:t>
      </w:r>
    </w:p>
    <w:p w14:paraId="5CF1A08C" w14:textId="4EC1D65E" w:rsidR="0078091F" w:rsidRDefault="0078091F" w:rsidP="00D90C06">
      <w:pPr>
        <w:spacing w:after="0"/>
        <w:jc w:val="both"/>
        <w:rPr>
          <w:b/>
          <w:i/>
        </w:rPr>
      </w:pPr>
    </w:p>
    <w:p w14:paraId="67C994A2" w14:textId="77777777" w:rsidR="0078091F" w:rsidRPr="00DD4D01" w:rsidRDefault="0078091F" w:rsidP="0078091F">
      <w:pPr>
        <w:spacing w:after="0"/>
        <w:jc w:val="both"/>
        <w:rPr>
          <w:i/>
          <w:iCs/>
        </w:rPr>
      </w:pPr>
      <w:r w:rsidRPr="05FE66B3">
        <w:rPr>
          <w:b/>
          <w:bCs/>
          <w:i/>
          <w:iCs/>
        </w:rPr>
        <w:t xml:space="preserve">Observation #4: </w:t>
      </w:r>
      <w:r w:rsidRPr="05FE66B3">
        <w:rPr>
          <w:i/>
          <w:iCs/>
        </w:rPr>
        <w:t>For typical CORESET sizes, the proposed hashing function outperforms the hashing function of LTE EPDCCH by about one-two orders of magnitude in blocking probability.</w:t>
      </w:r>
    </w:p>
    <w:p w14:paraId="3B57FE2B" w14:textId="77777777" w:rsidR="0078091F" w:rsidRDefault="0078091F" w:rsidP="0078091F">
      <w:pPr>
        <w:spacing w:after="0"/>
        <w:jc w:val="both"/>
      </w:pPr>
    </w:p>
    <w:p w14:paraId="39BE8001" w14:textId="77777777" w:rsidR="0078091F" w:rsidRPr="001206E5" w:rsidRDefault="0078091F" w:rsidP="0078091F">
      <w:pPr>
        <w:spacing w:after="0"/>
        <w:jc w:val="both"/>
        <w:rPr>
          <w:i/>
          <w:iCs/>
        </w:rPr>
      </w:pPr>
      <w:r w:rsidRPr="05FE66B3">
        <w:rPr>
          <w:b/>
          <w:bCs/>
          <w:i/>
          <w:iCs/>
        </w:rPr>
        <w:t xml:space="preserve">Observation #5: </w:t>
      </w:r>
      <w:r w:rsidRPr="05FE66B3">
        <w:rPr>
          <w:i/>
          <w:iCs/>
        </w:rPr>
        <w:t>For a targeted PDCCH blocking probability, the proposed hashing function allows to reduce the CORESET size by about 40% as compared to using the hashing function of LTE EPDCCH.</w:t>
      </w:r>
    </w:p>
    <w:p w14:paraId="5C416BAC" w14:textId="77777777" w:rsidR="0078091F" w:rsidRPr="00DC36D9" w:rsidRDefault="0078091F" w:rsidP="0078091F">
      <w:pPr>
        <w:spacing w:after="0"/>
        <w:jc w:val="both"/>
      </w:pPr>
    </w:p>
    <w:p w14:paraId="54CC7FFF" w14:textId="77777777" w:rsidR="0078091F" w:rsidRPr="001206E5" w:rsidRDefault="0078091F" w:rsidP="0078091F">
      <w:pPr>
        <w:spacing w:after="0"/>
        <w:jc w:val="both"/>
        <w:rPr>
          <w:i/>
          <w:iCs/>
        </w:rPr>
      </w:pPr>
      <w:r w:rsidRPr="05FE66B3">
        <w:rPr>
          <w:b/>
          <w:bCs/>
          <w:i/>
          <w:iCs/>
        </w:rPr>
        <w:t xml:space="preserve">Observation #6: </w:t>
      </w:r>
      <w:r w:rsidRPr="05FE66B3">
        <w:rPr>
          <w:i/>
          <w:iCs/>
        </w:rPr>
        <w:t>For a targeted PDCCH blocking probability, the proposed hashing function allows to reduce the number of blind decodes per USS per slot by about 50% and the number of channel estimates per USS per slot by about 30% as compared to using the hashing function of LTE EPDCCH.</w:t>
      </w:r>
    </w:p>
    <w:p w14:paraId="7D49A272" w14:textId="65E74AF2" w:rsidR="0078091F" w:rsidRDefault="0078091F" w:rsidP="00D90C06">
      <w:pPr>
        <w:spacing w:after="0"/>
        <w:jc w:val="both"/>
        <w:rPr>
          <w:b/>
          <w:i/>
        </w:rPr>
      </w:pPr>
    </w:p>
    <w:p w14:paraId="75B049C7" w14:textId="77777777" w:rsidR="0078091F" w:rsidRPr="00547495" w:rsidRDefault="0078091F" w:rsidP="0078091F">
      <w:pPr>
        <w:spacing w:after="0"/>
        <w:jc w:val="both"/>
      </w:pPr>
      <w:r w:rsidRPr="05FE66B3">
        <w:rPr>
          <w:b/>
          <w:bCs/>
          <w:i/>
          <w:iCs/>
        </w:rPr>
        <w:lastRenderedPageBreak/>
        <w:t xml:space="preserve">Proposal #1: </w:t>
      </w:r>
      <w:r w:rsidRPr="05FE66B3">
        <w:rPr>
          <w:i/>
          <w:iCs/>
        </w:rPr>
        <w:t>NR supports search-space-set configurations that may result in over-booking BDs and CCEs in a slot.</w:t>
      </w:r>
    </w:p>
    <w:p w14:paraId="070B3CC0" w14:textId="77777777" w:rsidR="0078091F" w:rsidRPr="00EC440C" w:rsidRDefault="0078091F" w:rsidP="0078091F">
      <w:pPr>
        <w:pStyle w:val="ListParagraph"/>
        <w:numPr>
          <w:ilvl w:val="0"/>
          <w:numId w:val="4"/>
        </w:numPr>
        <w:jc w:val="both"/>
        <w:rPr>
          <w:i/>
          <w:iCs/>
          <w:lang w:val="en-US"/>
        </w:rPr>
      </w:pPr>
      <w:r w:rsidRPr="05FE66B3">
        <w:rPr>
          <w:i/>
          <w:iCs/>
          <w:sz w:val="20"/>
          <w:szCs w:val="20"/>
          <w:lang w:val="en-US"/>
        </w:rPr>
        <w:t>FFS: How to</w:t>
      </w:r>
      <w:r w:rsidRPr="05FE66B3">
        <w:rPr>
          <w:sz w:val="20"/>
          <w:szCs w:val="20"/>
          <w:lang w:val="en-US"/>
        </w:rPr>
        <w:t xml:space="preserve"> </w:t>
      </w:r>
      <w:r w:rsidRPr="05FE66B3">
        <w:rPr>
          <w:i/>
          <w:iCs/>
          <w:sz w:val="20"/>
          <w:szCs w:val="20"/>
          <w:lang w:val="en-US"/>
        </w:rPr>
        <w:t xml:space="preserve">reduce the PDCCH BDs down to the allowed level for over-booked monitoring occasions.  </w:t>
      </w:r>
    </w:p>
    <w:p w14:paraId="4B3CC722" w14:textId="77777777" w:rsidR="0078091F" w:rsidRDefault="0078091F" w:rsidP="0078091F">
      <w:pPr>
        <w:pStyle w:val="NormalWeb"/>
        <w:spacing w:before="0" w:beforeAutospacing="0" w:after="0" w:afterAutospacing="0"/>
        <w:rPr>
          <w:b/>
          <w:bCs/>
          <w:i/>
          <w:iCs/>
          <w:sz w:val="22"/>
          <w:szCs w:val="22"/>
        </w:rPr>
      </w:pPr>
    </w:p>
    <w:p w14:paraId="5D8C1AA5" w14:textId="6A048A5B" w:rsidR="0078091F" w:rsidRDefault="0078091F" w:rsidP="0078091F">
      <w:pPr>
        <w:pStyle w:val="NormalWeb"/>
        <w:spacing w:before="0" w:beforeAutospacing="0" w:after="0" w:afterAutospacing="0"/>
        <w:rPr>
          <w:i/>
          <w:iCs/>
          <w:sz w:val="22"/>
          <w:szCs w:val="22"/>
        </w:rPr>
      </w:pPr>
      <w:r w:rsidRPr="05FE66B3">
        <w:rPr>
          <w:b/>
          <w:bCs/>
          <w:i/>
          <w:iCs/>
          <w:sz w:val="22"/>
          <w:szCs w:val="22"/>
        </w:rPr>
        <w:t>Proposal #2:</w:t>
      </w:r>
      <w:r w:rsidRPr="05FE66B3">
        <w:rPr>
          <w:i/>
          <w:iCs/>
          <w:sz w:val="22"/>
          <w:szCs w:val="22"/>
        </w:rPr>
        <w:t xml:space="preserve"> BD dropping in a serving cell is based on the predefined rules and it should not introduce additional RRC signaling.</w:t>
      </w:r>
    </w:p>
    <w:p w14:paraId="62E70C86" w14:textId="77777777" w:rsidR="0078091F" w:rsidRDefault="0078091F" w:rsidP="0078091F">
      <w:pPr>
        <w:pStyle w:val="NormalWeb"/>
        <w:spacing w:before="0" w:beforeAutospacing="0" w:after="0" w:afterAutospacing="0"/>
        <w:rPr>
          <w:i/>
          <w:sz w:val="22"/>
        </w:rPr>
      </w:pPr>
    </w:p>
    <w:p w14:paraId="54D84FB0" w14:textId="77777777" w:rsidR="0078091F" w:rsidRDefault="0078091F" w:rsidP="0078091F">
      <w:pPr>
        <w:pStyle w:val="NormalWeb"/>
        <w:spacing w:before="0" w:beforeAutospacing="0" w:after="0" w:afterAutospacing="0"/>
        <w:rPr>
          <w:i/>
          <w:iCs/>
          <w:sz w:val="22"/>
          <w:szCs w:val="22"/>
        </w:rPr>
      </w:pPr>
      <w:r w:rsidRPr="05FE66B3">
        <w:rPr>
          <w:b/>
          <w:bCs/>
          <w:i/>
          <w:iCs/>
          <w:sz w:val="22"/>
          <w:szCs w:val="22"/>
        </w:rPr>
        <w:t>Proposal #3:</w:t>
      </w:r>
      <w:r w:rsidRPr="05FE66B3">
        <w:rPr>
          <w:i/>
          <w:iCs/>
          <w:sz w:val="22"/>
          <w:szCs w:val="22"/>
        </w:rPr>
        <w:t xml:space="preserve"> BD dropping in a serving cell is applied only for UE-specific search space sets</w:t>
      </w:r>
    </w:p>
    <w:p w14:paraId="0975F912" w14:textId="77777777" w:rsidR="0078091F" w:rsidRDefault="0078091F" w:rsidP="0078091F">
      <w:pPr>
        <w:pStyle w:val="NormalWeb"/>
        <w:spacing w:before="0" w:beforeAutospacing="0" w:after="0" w:afterAutospacing="0"/>
        <w:rPr>
          <w:i/>
          <w:sz w:val="22"/>
        </w:rPr>
      </w:pPr>
    </w:p>
    <w:p w14:paraId="0DE0CAC2" w14:textId="77777777" w:rsidR="0078091F" w:rsidRPr="00464B56" w:rsidRDefault="0078091F" w:rsidP="0078091F">
      <w:pPr>
        <w:rPr>
          <w:sz w:val="32"/>
          <w:szCs w:val="32"/>
          <w:lang w:val="en-US"/>
        </w:rPr>
      </w:pPr>
      <w:r w:rsidRPr="05FE66B3">
        <w:rPr>
          <w:b/>
          <w:bCs/>
          <w:i/>
          <w:iCs/>
          <w:sz w:val="22"/>
          <w:szCs w:val="22"/>
        </w:rPr>
        <w:t>Proposal #4:</w:t>
      </w:r>
      <w:r w:rsidRPr="05FE66B3">
        <w:rPr>
          <w:i/>
          <w:iCs/>
          <w:sz w:val="22"/>
          <w:szCs w:val="22"/>
        </w:rPr>
        <w:t xml:space="preserve"> BD dropping in a serving cell is based on predefined BD priority number </w:t>
      </w:r>
      <m:oMath>
        <m:sSub>
          <m:sSubPr>
            <m:ctrlPr>
              <w:rPr>
                <w:rFonts w:ascii="Cambria Math" w:hAnsi="Cambria Math" w:cs="Arial"/>
                <w:i/>
                <w:lang w:val="en-US"/>
              </w:rPr>
            </m:ctrlPr>
          </m:sSubPr>
          <m:e>
            <m:r>
              <w:rPr>
                <w:rFonts w:ascii="Cambria Math" w:hAnsi="Cambria Math" w:cs="Arial"/>
                <w:lang w:val="en-US"/>
              </w:rPr>
              <m:t>ρ</m:t>
            </m:r>
          </m:e>
          <m:sub>
            <m:r>
              <w:rPr>
                <w:rFonts w:ascii="Cambria Math" w:hAnsi="Cambria Math" w:cs="Arial"/>
                <w:vertAlign w:val="subscript"/>
                <w:lang w:val="en-US"/>
              </w:rPr>
              <m:t>BD</m:t>
            </m:r>
          </m:sub>
        </m:sSub>
        <m:r>
          <m:rPr>
            <m:sty m:val="p"/>
          </m:rPr>
          <w:rPr>
            <w:rFonts w:ascii="Cambria Math" w:hAnsi="Cambria Math" w:cs="Arial"/>
            <w:lang w:val="en-US"/>
          </w:rPr>
          <m:t xml:space="preserve"> </m:t>
        </m:r>
        <m:r>
          <w:rPr>
            <w:rFonts w:ascii="Cambria Math" w:hAnsi="Cambria Math" w:cs="Arial"/>
            <w:lang w:val="en-US"/>
          </w:rPr>
          <m:t>(s,L,m)=</m:t>
        </m:r>
        <m:r>
          <w:rPr>
            <w:rFonts w:ascii="Cambria Math" w:hAnsi="Cambria Math" w:cs="Cambria Math"/>
            <w:lang w:val="en-US"/>
          </w:rPr>
          <m:t>m/</m:t>
        </m:r>
        <m:sSubSup>
          <m:sSubSupPr>
            <m:ctrlPr>
              <w:rPr>
                <w:rFonts w:ascii="Cambria Math" w:hAnsi="Cambria Math" w:cs="Cambria Math"/>
                <w:i/>
                <w:lang w:val="en-US"/>
              </w:rPr>
            </m:ctrlPr>
          </m:sSubSupPr>
          <m:e>
            <m:r>
              <m:rPr>
                <m:sty m:val="p"/>
              </m:rPr>
              <w:rPr>
                <w:rFonts w:ascii="Cambria Math" w:hAnsi="Cambria Math"/>
              </w:rPr>
              <m:t>M</m:t>
            </m:r>
            <m:ctrlPr>
              <w:rPr>
                <w:rFonts w:ascii="Cambria Math" w:hAnsi="Cambria Math"/>
              </w:rPr>
            </m:ctrlPr>
          </m:e>
          <m:sub>
            <m:r>
              <w:rPr>
                <w:rFonts w:ascii="Cambria Math" w:hAnsi="Cambria Math"/>
              </w:rPr>
              <m:t>s</m:t>
            </m:r>
            <m:ctrlPr>
              <w:rPr>
                <w:rFonts w:ascii="Cambria Math" w:hAnsi="Cambria Math"/>
              </w:rPr>
            </m:ctrlPr>
          </m:sub>
          <m:sup>
            <m:r>
              <w:rPr>
                <w:rFonts w:ascii="Cambria Math" w:hAnsi="Cambria Math"/>
              </w:rPr>
              <m:t>(L)</m:t>
            </m:r>
          </m:sup>
        </m:sSubSup>
      </m:oMath>
      <w:r w:rsidRPr="05FE66B3">
        <w:rPr>
          <w:i/>
          <w:iCs/>
          <w:lang w:val="en-US"/>
        </w:rPr>
        <w:t>.</w:t>
      </w:r>
    </w:p>
    <w:p w14:paraId="03CF3631" w14:textId="77777777" w:rsidR="0078091F" w:rsidRDefault="0078091F" w:rsidP="0078091F">
      <w:pPr>
        <w:pStyle w:val="ListParagraph"/>
        <w:ind w:left="1440"/>
        <w:jc w:val="both"/>
        <w:rPr>
          <w:sz w:val="20"/>
          <w:szCs w:val="20"/>
          <w:lang w:val="en-US"/>
        </w:rPr>
      </w:pPr>
    </w:p>
    <w:p w14:paraId="3F5EB4BE" w14:textId="77777777" w:rsidR="0078091F" w:rsidRPr="00797CE1" w:rsidRDefault="0078091F" w:rsidP="0078091F">
      <w:pPr>
        <w:pStyle w:val="NormalWeb"/>
        <w:spacing w:before="0" w:beforeAutospacing="0" w:after="0" w:afterAutospacing="0"/>
        <w:rPr>
          <w:sz w:val="20"/>
          <w:szCs w:val="20"/>
        </w:rPr>
      </w:pPr>
      <w:r w:rsidRPr="05FE66B3">
        <w:rPr>
          <w:b/>
          <w:bCs/>
          <w:i/>
          <w:iCs/>
          <w:sz w:val="22"/>
          <w:szCs w:val="22"/>
        </w:rPr>
        <w:t>Proposal #5:</w:t>
      </w:r>
      <w:r w:rsidRPr="05FE66B3">
        <w:rPr>
          <w:i/>
          <w:iCs/>
          <w:sz w:val="22"/>
          <w:szCs w:val="22"/>
        </w:rPr>
        <w:t xml:space="preserve"> When there is a need for BD dropping in a slot, </w:t>
      </w:r>
      <w:r w:rsidRPr="05FE66B3">
        <w:rPr>
          <w:i/>
          <w:iCs/>
          <w:sz w:val="20"/>
          <w:szCs w:val="20"/>
        </w:rPr>
        <w:t xml:space="preserve">PDCCH candidates to be dropped are defined according to the smallest </w:t>
      </w:r>
      <m:oMath>
        <m:sSub>
          <m:sSubPr>
            <m:ctrlPr>
              <w:rPr>
                <w:rFonts w:ascii="Cambria Math" w:hAnsi="Cambria Math" w:cs="Arial"/>
                <w:i/>
                <w:sz w:val="20"/>
                <w:szCs w:val="20"/>
              </w:rPr>
            </m:ctrlPr>
          </m:sSubPr>
          <m:e>
            <m:r>
              <w:rPr>
                <w:rFonts w:ascii="Cambria Math" w:hAnsi="Cambria Math" w:cs="Arial"/>
                <w:sz w:val="20"/>
                <w:szCs w:val="20"/>
              </w:rPr>
              <m:t>ρ</m:t>
            </m:r>
          </m:e>
          <m:sub>
            <m:r>
              <w:rPr>
                <w:rFonts w:ascii="Cambria Math" w:hAnsi="Cambria Math" w:cs="Arial"/>
                <w:sz w:val="20"/>
                <w:szCs w:val="20"/>
                <w:vertAlign w:val="subscript"/>
              </w:rPr>
              <m:t>BD</m:t>
            </m:r>
          </m:sub>
        </m:sSub>
        <m:r>
          <m:rPr>
            <m:sty m:val="p"/>
          </m:rPr>
          <w:rPr>
            <w:rFonts w:ascii="Cambria Math" w:hAnsi="Cambria Math" w:cs="Arial"/>
            <w:sz w:val="20"/>
            <w:szCs w:val="20"/>
          </w:rPr>
          <m:t xml:space="preserve"> </m:t>
        </m:r>
        <m:r>
          <w:rPr>
            <w:rFonts w:ascii="Cambria Math" w:hAnsi="Cambria Math" w:cs="Arial"/>
            <w:sz w:val="20"/>
            <w:szCs w:val="20"/>
          </w:rPr>
          <m:t>(s,L,m)</m:t>
        </m:r>
      </m:oMath>
      <w:r w:rsidRPr="05FE66B3">
        <w:rPr>
          <w:rFonts w:cs="Arial"/>
          <w:i/>
          <w:iCs/>
        </w:rPr>
        <w:t xml:space="preserve"> </w:t>
      </w:r>
      <w:r w:rsidRPr="05FE66B3">
        <w:rPr>
          <w:i/>
          <w:iCs/>
          <w:sz w:val="20"/>
          <w:szCs w:val="20"/>
        </w:rPr>
        <w:t>within all the involved search space sets subject to BD dropping. If multiple PDCCH candidates have the same priority, dropping order is defined according to the predefined priorities:</w:t>
      </w:r>
    </w:p>
    <w:p w14:paraId="2F48A6AE" w14:textId="77777777" w:rsidR="0078091F" w:rsidRPr="007236F8" w:rsidRDefault="0078091F" w:rsidP="0078091F">
      <w:pPr>
        <w:pStyle w:val="ListParagraph"/>
        <w:numPr>
          <w:ilvl w:val="0"/>
          <w:numId w:val="9"/>
        </w:numPr>
        <w:jc w:val="both"/>
        <w:rPr>
          <w:i/>
          <w:iCs/>
          <w:sz w:val="20"/>
          <w:szCs w:val="20"/>
          <w:lang w:val="en-US"/>
        </w:rPr>
      </w:pPr>
      <w:r w:rsidRPr="05FE66B3">
        <w:rPr>
          <w:i/>
          <w:iCs/>
          <w:sz w:val="20"/>
          <w:szCs w:val="20"/>
          <w:lang w:val="en-US"/>
        </w:rPr>
        <w:t>PDCCH candidate with a lowest AL L is dropped first</w:t>
      </w:r>
    </w:p>
    <w:p w14:paraId="112F29E5" w14:textId="5077200E" w:rsidR="0078091F" w:rsidRDefault="0078091F" w:rsidP="0078091F">
      <w:pPr>
        <w:pStyle w:val="ListParagraph"/>
        <w:numPr>
          <w:ilvl w:val="0"/>
          <w:numId w:val="9"/>
        </w:numPr>
        <w:jc w:val="both"/>
        <w:rPr>
          <w:i/>
          <w:iCs/>
          <w:sz w:val="20"/>
          <w:szCs w:val="20"/>
          <w:lang w:val="en-US"/>
        </w:rPr>
      </w:pPr>
      <w:r w:rsidRPr="05FE66B3">
        <w:rPr>
          <w:i/>
          <w:iCs/>
          <w:sz w:val="20"/>
          <w:szCs w:val="20"/>
          <w:lang w:val="en-US"/>
        </w:rPr>
        <w:t>PDCCH candidate with a lowest search space set priority is dropped first. Search space set priority is derived implicitly from the search space set ID s.</w:t>
      </w:r>
    </w:p>
    <w:p w14:paraId="05159AB9" w14:textId="63DE0174" w:rsidR="0078091F" w:rsidRDefault="0078091F" w:rsidP="0078091F">
      <w:pPr>
        <w:jc w:val="both"/>
        <w:rPr>
          <w:i/>
          <w:iCs/>
          <w:lang w:val="en-US"/>
        </w:rPr>
      </w:pPr>
    </w:p>
    <w:p w14:paraId="01B67E74" w14:textId="01962571" w:rsidR="0078091F" w:rsidRDefault="0078091F" w:rsidP="0078091F">
      <w:pPr>
        <w:rPr>
          <w:i/>
          <w:iCs/>
          <w:sz w:val="22"/>
          <w:szCs w:val="22"/>
          <w:lang w:val="en-US"/>
        </w:rPr>
      </w:pPr>
      <w:r w:rsidRPr="05FE66B3">
        <w:rPr>
          <w:b/>
          <w:bCs/>
          <w:i/>
          <w:iCs/>
          <w:sz w:val="22"/>
          <w:szCs w:val="22"/>
          <w:lang w:val="en-US"/>
        </w:rPr>
        <w:t>Proposal #</w:t>
      </w:r>
      <w:r>
        <w:rPr>
          <w:b/>
          <w:bCs/>
          <w:i/>
          <w:iCs/>
          <w:sz w:val="22"/>
          <w:szCs w:val="22"/>
          <w:lang w:val="en-US"/>
        </w:rPr>
        <w:t>6</w:t>
      </w:r>
      <w:r w:rsidRPr="05FE66B3">
        <w:rPr>
          <w:b/>
          <w:bCs/>
          <w:i/>
          <w:iCs/>
          <w:sz w:val="22"/>
          <w:szCs w:val="22"/>
          <w:lang w:val="en-US"/>
        </w:rPr>
        <w:t>:</w:t>
      </w:r>
      <w:r w:rsidRPr="05FE66B3">
        <w:rPr>
          <w:i/>
          <w:iCs/>
          <w:sz w:val="22"/>
          <w:szCs w:val="22"/>
          <w:lang w:val="en-US"/>
        </w:rPr>
        <w:t xml:space="preserve"> If CCE reduction scheme is defined according to Opt1, strive for a common solution for BD reduction and CCE reduction.</w:t>
      </w:r>
    </w:p>
    <w:p w14:paraId="0CE02255" w14:textId="77777777" w:rsidR="0078091F" w:rsidRPr="00525E27" w:rsidRDefault="0078091F" w:rsidP="0078091F">
      <w:pPr>
        <w:spacing w:after="0"/>
        <w:rPr>
          <w:i/>
          <w:iCs/>
          <w:lang w:val="en-US"/>
        </w:rPr>
      </w:pPr>
      <w:r w:rsidRPr="05FE66B3">
        <w:rPr>
          <w:b/>
          <w:bCs/>
          <w:i/>
          <w:iCs/>
          <w:sz w:val="22"/>
          <w:szCs w:val="22"/>
          <w:lang w:val="en-US"/>
        </w:rPr>
        <w:t>Proposal #</w:t>
      </w:r>
      <w:r>
        <w:rPr>
          <w:b/>
          <w:bCs/>
          <w:i/>
          <w:iCs/>
          <w:sz w:val="22"/>
          <w:szCs w:val="22"/>
          <w:lang w:val="en-US"/>
        </w:rPr>
        <w:t>7</w:t>
      </w:r>
      <w:r w:rsidRPr="05FE66B3">
        <w:rPr>
          <w:b/>
          <w:bCs/>
          <w:i/>
          <w:iCs/>
          <w:sz w:val="22"/>
          <w:szCs w:val="22"/>
          <w:lang w:val="en-US"/>
        </w:rPr>
        <w:t>:</w:t>
      </w:r>
      <w:r w:rsidRPr="05FE66B3">
        <w:rPr>
          <w:i/>
          <w:iCs/>
          <w:sz w:val="22"/>
          <w:szCs w:val="22"/>
          <w:lang w:val="en-US"/>
        </w:rPr>
        <w:t xml:space="preserve"> In the proposed CCE reduction scheme, UE drops one PDCCH candidate after another according to the BD priority number, until the CCE cap is reached. </w:t>
      </w:r>
      <w:r w:rsidRPr="05FE66B3">
        <w:rPr>
          <w:i/>
          <w:iCs/>
          <w:lang w:val="en-US"/>
        </w:rPr>
        <w:t>If CCEs of selected candidate is dropped, also other candidates fully or partially overlapping with the CCE(s) are dropped.  </w:t>
      </w:r>
    </w:p>
    <w:p w14:paraId="0D91DAD8" w14:textId="77777777" w:rsidR="0078091F" w:rsidRDefault="0078091F" w:rsidP="0078091F">
      <w:pPr>
        <w:overflowPunct/>
        <w:autoSpaceDE/>
        <w:autoSpaceDN/>
        <w:adjustRightInd/>
        <w:spacing w:after="0"/>
        <w:ind w:left="720"/>
        <w:textAlignment w:val="auto"/>
        <w:rPr>
          <w:lang w:val="en-US"/>
        </w:rPr>
      </w:pPr>
    </w:p>
    <w:p w14:paraId="2F853A48" w14:textId="77777777" w:rsidR="0078091F" w:rsidRPr="00525E27" w:rsidRDefault="0078091F" w:rsidP="0078091F">
      <w:pPr>
        <w:spacing w:after="0"/>
        <w:rPr>
          <w:i/>
          <w:iCs/>
          <w:lang w:val="en-US"/>
        </w:rPr>
      </w:pPr>
      <w:r w:rsidRPr="05FE66B3">
        <w:rPr>
          <w:b/>
          <w:bCs/>
          <w:i/>
          <w:iCs/>
          <w:sz w:val="22"/>
          <w:szCs w:val="22"/>
          <w:lang w:val="en-US"/>
        </w:rPr>
        <w:t>Proposal #</w:t>
      </w:r>
      <w:r>
        <w:rPr>
          <w:b/>
          <w:bCs/>
          <w:i/>
          <w:iCs/>
          <w:sz w:val="22"/>
          <w:szCs w:val="22"/>
          <w:lang w:val="en-US"/>
        </w:rPr>
        <w:t>8</w:t>
      </w:r>
      <w:r w:rsidRPr="05FE66B3">
        <w:rPr>
          <w:b/>
          <w:bCs/>
          <w:i/>
          <w:iCs/>
          <w:sz w:val="22"/>
          <w:szCs w:val="22"/>
          <w:lang w:val="en-US"/>
        </w:rPr>
        <w:t>:</w:t>
      </w:r>
      <w:r w:rsidRPr="05FE66B3">
        <w:rPr>
          <w:i/>
          <w:iCs/>
          <w:sz w:val="22"/>
          <w:szCs w:val="22"/>
          <w:lang w:val="en-US"/>
        </w:rPr>
        <w:t xml:space="preserve"> Consider a rule where predefined CCEs such as CCEs </w:t>
      </w:r>
      <w:r w:rsidRPr="05FE66B3">
        <w:rPr>
          <w:i/>
          <w:iCs/>
        </w:rPr>
        <w:t>belonging to TYPE0 and TYPE0A are never dropped.</w:t>
      </w:r>
    </w:p>
    <w:p w14:paraId="6880E3B3" w14:textId="77777777" w:rsidR="0078091F" w:rsidRDefault="0078091F" w:rsidP="0078091F">
      <w:pPr>
        <w:spacing w:after="0"/>
        <w:rPr>
          <w:b/>
          <w:bCs/>
          <w:i/>
          <w:iCs/>
          <w:sz w:val="22"/>
          <w:szCs w:val="22"/>
          <w:lang w:val="en-US"/>
        </w:rPr>
      </w:pPr>
    </w:p>
    <w:p w14:paraId="365076F4" w14:textId="47F04B2D" w:rsidR="0078091F" w:rsidRPr="00525E27" w:rsidRDefault="0078091F" w:rsidP="0078091F">
      <w:pPr>
        <w:spacing w:after="0"/>
        <w:rPr>
          <w:i/>
          <w:iCs/>
          <w:lang w:val="en-US"/>
        </w:rPr>
      </w:pPr>
      <w:r w:rsidRPr="05FE66B3">
        <w:rPr>
          <w:b/>
          <w:bCs/>
          <w:i/>
          <w:iCs/>
          <w:sz w:val="22"/>
          <w:szCs w:val="22"/>
          <w:lang w:val="en-US"/>
        </w:rPr>
        <w:t>Proposal #</w:t>
      </w:r>
      <w:r>
        <w:rPr>
          <w:b/>
          <w:bCs/>
          <w:i/>
          <w:iCs/>
          <w:sz w:val="22"/>
          <w:szCs w:val="22"/>
          <w:lang w:val="en-US"/>
        </w:rPr>
        <w:t>9</w:t>
      </w:r>
      <w:r w:rsidRPr="05FE66B3">
        <w:rPr>
          <w:b/>
          <w:bCs/>
          <w:i/>
          <w:iCs/>
          <w:sz w:val="22"/>
          <w:szCs w:val="22"/>
          <w:lang w:val="en-US"/>
        </w:rPr>
        <w:t>:</w:t>
      </w:r>
      <w:r w:rsidRPr="05FE66B3">
        <w:rPr>
          <w:i/>
          <w:iCs/>
          <w:sz w:val="22"/>
          <w:szCs w:val="22"/>
          <w:lang w:val="en-US"/>
        </w:rPr>
        <w:t xml:space="preserve"> In the cases when the need for CCE reduction exists at the same time with the need for BD reduction, perform BD reduction first</w:t>
      </w:r>
      <w:r w:rsidRPr="05FE66B3">
        <w:rPr>
          <w:i/>
          <w:iCs/>
        </w:rPr>
        <w:t>.</w:t>
      </w:r>
    </w:p>
    <w:p w14:paraId="678D5937" w14:textId="77777777" w:rsidR="0078091F" w:rsidRDefault="0078091F" w:rsidP="0078091F">
      <w:pPr>
        <w:spacing w:after="0"/>
        <w:jc w:val="both"/>
        <w:rPr>
          <w:b/>
          <w:bCs/>
          <w:i/>
          <w:iCs/>
        </w:rPr>
      </w:pPr>
    </w:p>
    <w:p w14:paraId="53FECF9E" w14:textId="716FC2B4" w:rsidR="0078091F" w:rsidRPr="001E55FB" w:rsidRDefault="0078091F" w:rsidP="0078091F">
      <w:pPr>
        <w:spacing w:after="0"/>
        <w:jc w:val="both"/>
        <w:rPr>
          <w:i/>
          <w:iCs/>
        </w:rPr>
      </w:pPr>
      <w:r w:rsidRPr="05FE66B3">
        <w:rPr>
          <w:b/>
          <w:bCs/>
          <w:i/>
          <w:iCs/>
        </w:rPr>
        <w:t>Proposal #</w:t>
      </w:r>
      <w:r>
        <w:rPr>
          <w:b/>
          <w:bCs/>
          <w:i/>
          <w:iCs/>
        </w:rPr>
        <w:t>10</w:t>
      </w:r>
      <w:r w:rsidRPr="05FE66B3">
        <w:rPr>
          <w:b/>
          <w:bCs/>
          <w:i/>
          <w:iCs/>
        </w:rPr>
        <w:t>:</w:t>
      </w:r>
      <w:r>
        <w:t xml:space="preserve"> </w:t>
      </w:r>
      <w:r w:rsidRPr="05FE66B3">
        <w:rPr>
          <w:i/>
          <w:iCs/>
        </w:rPr>
        <w:t>To reduce the number of needed PDCCH candidates, size of needed CORESET, number of needed overall CCEs to achieve given blocking probability, adopt the hash function for NR-PDCCH given by equation (1).</w:t>
      </w:r>
    </w:p>
    <w:p w14:paraId="42D2182C" w14:textId="6AB96B74" w:rsidR="0078091F" w:rsidRDefault="0078091F" w:rsidP="00D90C06">
      <w:pPr>
        <w:spacing w:after="0"/>
        <w:jc w:val="both"/>
        <w:rPr>
          <w:b/>
          <w:i/>
        </w:rPr>
      </w:pPr>
    </w:p>
    <w:p w14:paraId="665C3D98" w14:textId="77777777" w:rsidR="00BC55EF" w:rsidRDefault="00BC55EF" w:rsidP="00D90C06">
      <w:pPr>
        <w:spacing w:after="0"/>
        <w:jc w:val="both"/>
        <w:rPr>
          <w:b/>
          <w:i/>
        </w:rPr>
      </w:pPr>
    </w:p>
    <w:p w14:paraId="4039797B" w14:textId="6BE5F881" w:rsidR="0078091F" w:rsidRDefault="0078091F" w:rsidP="00D90C06">
      <w:pPr>
        <w:spacing w:after="0"/>
        <w:jc w:val="both"/>
      </w:pPr>
      <w:r>
        <w:t xml:space="preserve">In addition to observations and proposals, we have two text proposals to capture the proposals </w:t>
      </w:r>
      <w:r w:rsidR="00BC55EF">
        <w:t xml:space="preserve">in TS </w:t>
      </w:r>
      <w:r w:rsidR="00BC55EF" w:rsidRPr="05FE66B3">
        <w:rPr>
          <w:b/>
          <w:bCs/>
          <w:lang w:val="en-US"/>
        </w:rPr>
        <w:t xml:space="preserve">38.213 </w:t>
      </w:r>
      <w:r w:rsidR="00BC55EF">
        <w:t>(see Section 2)</w:t>
      </w:r>
      <w:r>
        <w:t>.</w:t>
      </w:r>
    </w:p>
    <w:p w14:paraId="21564E1F" w14:textId="77777777" w:rsidR="0078091F" w:rsidRDefault="0078091F" w:rsidP="00D90C06">
      <w:pPr>
        <w:spacing w:after="0"/>
        <w:jc w:val="both"/>
        <w:rPr>
          <w:b/>
          <w:i/>
        </w:rPr>
      </w:pPr>
    </w:p>
    <w:p w14:paraId="2F0729C1" w14:textId="77777777" w:rsidR="0034111C" w:rsidRPr="00A51522" w:rsidRDefault="05FE66B3">
      <w:pPr>
        <w:pStyle w:val="Heading1"/>
      </w:pPr>
      <w:r>
        <w:t xml:space="preserve">References </w:t>
      </w:r>
    </w:p>
    <w:p w14:paraId="06003FB5" w14:textId="4987F09A" w:rsidR="00A720B2" w:rsidRPr="005F365F" w:rsidRDefault="05FE66B3" w:rsidP="05FE66B3">
      <w:pPr>
        <w:numPr>
          <w:ilvl w:val="0"/>
          <w:numId w:val="1"/>
        </w:numPr>
        <w:rPr>
          <w:lang w:val="en-US"/>
        </w:rPr>
      </w:pPr>
      <w:bookmarkStart w:id="3" w:name="_Ref494639617"/>
      <w:r w:rsidRPr="05FE66B3">
        <w:rPr>
          <w:lang w:val="en-US"/>
        </w:rPr>
        <w:t>RAN1 Chairman’s Note, 3GPP TSG RAN WG1 Meeting #91, 3GPP</w:t>
      </w:r>
      <w:bookmarkEnd w:id="3"/>
    </w:p>
    <w:p w14:paraId="1DD24679" w14:textId="7E8A5113" w:rsidR="00153A0F" w:rsidRDefault="00153A0F" w:rsidP="00EC440C">
      <w:pPr>
        <w:rPr>
          <w:sz w:val="18"/>
        </w:rPr>
      </w:pPr>
    </w:p>
    <w:p w14:paraId="1B5547E8" w14:textId="474BA0E2" w:rsidR="0078091F" w:rsidRDefault="0078091F" w:rsidP="00EC440C">
      <w:pPr>
        <w:rPr>
          <w:sz w:val="18"/>
        </w:rPr>
      </w:pPr>
    </w:p>
    <w:p w14:paraId="3B67E8E0" w14:textId="509BB2D8" w:rsidR="0078091F" w:rsidRDefault="0078091F" w:rsidP="00EC440C">
      <w:pPr>
        <w:rPr>
          <w:sz w:val="18"/>
        </w:rPr>
      </w:pPr>
    </w:p>
    <w:p w14:paraId="0028EBFA" w14:textId="1A709E15" w:rsidR="0078091F" w:rsidRDefault="0078091F" w:rsidP="00EC440C">
      <w:pPr>
        <w:rPr>
          <w:sz w:val="18"/>
        </w:rPr>
      </w:pPr>
    </w:p>
    <w:p w14:paraId="6D6D4CD0" w14:textId="69975928" w:rsidR="0078091F" w:rsidRDefault="0078091F" w:rsidP="00EC440C">
      <w:pPr>
        <w:rPr>
          <w:sz w:val="18"/>
        </w:rPr>
      </w:pPr>
    </w:p>
    <w:p w14:paraId="6E443563" w14:textId="3F680139" w:rsidR="0078091F" w:rsidRDefault="0078091F" w:rsidP="00EC440C">
      <w:pPr>
        <w:rPr>
          <w:sz w:val="18"/>
        </w:rPr>
      </w:pPr>
    </w:p>
    <w:p w14:paraId="1403AE4B" w14:textId="77777777" w:rsidR="0078091F" w:rsidRDefault="0078091F" w:rsidP="00EC440C">
      <w:pPr>
        <w:rPr>
          <w:sz w:val="18"/>
        </w:rPr>
      </w:pPr>
    </w:p>
    <w:p w14:paraId="0E047BB2" w14:textId="503244AD" w:rsidR="002C4A24" w:rsidRPr="00A51522" w:rsidRDefault="05FE66B3" w:rsidP="05FE66B3">
      <w:pPr>
        <w:pStyle w:val="Heading1"/>
        <w:rPr>
          <w:color w:val="000000" w:themeColor="text1"/>
        </w:rPr>
      </w:pPr>
      <w:r w:rsidRPr="05FE66B3">
        <w:rPr>
          <w:color w:val="000000" w:themeColor="text1"/>
        </w:rPr>
        <w:lastRenderedPageBreak/>
        <w:t>Appendix A – Impact of hashing function design on PDCCH blocking</w:t>
      </w:r>
    </w:p>
    <w:p w14:paraId="6C210462" w14:textId="594A7C6F" w:rsidR="002C4A24" w:rsidRDefault="05FE66B3" w:rsidP="002C4A24">
      <w:pPr>
        <w:spacing w:after="0"/>
        <w:jc w:val="both"/>
      </w:pPr>
      <w:r>
        <w:t xml:space="preserve">The PDCCH blocking probability was assessed by means of exhaustive search for different hashing functions. The number of users allocated within the CORESET is predefined (either 2, 3, 4, or 5 users) and the RNTIs are selected randomly. For either of the selected users, an aggregation level is selected randomly for a period of 10 subframes. (The term subframe may here refer to a subframe in LTE or a slot in NR.) It is assumed that a single DCI is transmitted per user per subframe with the selected aggregation level, and the occurrence of blocking is checked separately for all the subframe indices </w:t>
      </w:r>
      <w:r w:rsidRPr="05FE66B3">
        <w:rPr>
          <w:i/>
          <w:iCs/>
        </w:rPr>
        <w:t>k</w:t>
      </w:r>
      <w:r>
        <w:t xml:space="preserve"> = 0, 1, …, 9. Blocking occurs for the selected users within a subframe if after exhaustive search over all allocation options at least two PDCCH candidates have at least partial overlap. The results provide a lower bound of the PDCCH blocking probability, assuming a smart strategy to allocate the PDCCH candidates by </w:t>
      </w:r>
      <w:proofErr w:type="spellStart"/>
      <w:r>
        <w:t>gNB</w:t>
      </w:r>
      <w:proofErr w:type="spellEnd"/>
      <w:r>
        <w:t xml:space="preserve">. In a practical network implementation, the PDCCH blocking probability may be higher, depending on the candidate allocation algorithms implemented by </w:t>
      </w:r>
      <w:proofErr w:type="spellStart"/>
      <w:r>
        <w:t>gNB</w:t>
      </w:r>
      <w:proofErr w:type="spellEnd"/>
      <w:r>
        <w:t xml:space="preserve">. The presented results do not </w:t>
      </w:r>
      <w:proofErr w:type="gramStart"/>
      <w:r>
        <w:t>take into account</w:t>
      </w:r>
      <w:proofErr w:type="gramEnd"/>
      <w:r>
        <w:t xml:space="preserve"> the possibility that a user transmits multiple DCIs within a subframe. The presented results on PDCCH blocking probability extend the previous results provided in [8], the results presented in this document also include the possibility to fall back to a higher aggregation level in the case of blocking.</w:t>
      </w:r>
    </w:p>
    <w:p w14:paraId="49B206F5" w14:textId="77777777" w:rsidR="002C4A24" w:rsidRDefault="002C4A24" w:rsidP="002C4A24">
      <w:pPr>
        <w:spacing w:after="0"/>
        <w:jc w:val="both"/>
      </w:pPr>
    </w:p>
    <w:p w14:paraId="4DC1B973" w14:textId="77777777" w:rsidR="002C4A24" w:rsidRDefault="05FE66B3" w:rsidP="002C4A24">
      <w:pPr>
        <w:spacing w:after="0"/>
        <w:jc w:val="both"/>
      </w:pPr>
      <w:r>
        <w:t>We use the following default settings:</w:t>
      </w:r>
    </w:p>
    <w:p w14:paraId="1BF43F74" w14:textId="270E6A9F" w:rsidR="002C4A24" w:rsidRPr="00266072" w:rsidRDefault="05FE66B3" w:rsidP="002F287F">
      <w:pPr>
        <w:pStyle w:val="ListParagraph"/>
        <w:numPr>
          <w:ilvl w:val="0"/>
          <w:numId w:val="2"/>
        </w:numPr>
        <w:jc w:val="both"/>
      </w:pPr>
      <w:r w:rsidRPr="05FE66B3">
        <w:rPr>
          <w:sz w:val="20"/>
          <w:szCs w:val="20"/>
          <w:lang w:val="en-GB" w:eastAsia="en-US"/>
        </w:rPr>
        <w:t>CORESET size of 32,64,96 CCEs,</w:t>
      </w:r>
    </w:p>
    <w:p w14:paraId="04331458" w14:textId="77777777" w:rsidR="002C4A24" w:rsidRPr="00DC36D9" w:rsidRDefault="05FE66B3" w:rsidP="05FE66B3">
      <w:pPr>
        <w:pStyle w:val="ListParagraph"/>
        <w:numPr>
          <w:ilvl w:val="0"/>
          <w:numId w:val="2"/>
        </w:numPr>
        <w:jc w:val="both"/>
        <w:rPr>
          <w:lang w:val="en-US"/>
        </w:rPr>
      </w:pPr>
      <w:r w:rsidRPr="05FE66B3">
        <w:rPr>
          <w:sz w:val="20"/>
          <w:szCs w:val="20"/>
          <w:lang w:val="en-GB" w:eastAsia="en-US"/>
        </w:rPr>
        <w:t>Aggregation levels (1, 2, 4, 8) with probabilities of occurrence given by (0.4, 0.3, 0.2, 0.1) [9],</w:t>
      </w:r>
    </w:p>
    <w:p w14:paraId="36A02738" w14:textId="77777777" w:rsidR="002C4A24" w:rsidRPr="00DC36D9" w:rsidRDefault="05FE66B3" w:rsidP="05FE66B3">
      <w:pPr>
        <w:pStyle w:val="ListParagraph"/>
        <w:numPr>
          <w:ilvl w:val="0"/>
          <w:numId w:val="2"/>
        </w:numPr>
        <w:jc w:val="both"/>
        <w:rPr>
          <w:lang w:val="en-US"/>
        </w:rPr>
      </w:pPr>
      <w:r w:rsidRPr="05FE66B3">
        <w:rPr>
          <w:sz w:val="20"/>
          <w:szCs w:val="20"/>
          <w:lang w:val="en-GB" w:eastAsia="en-US"/>
        </w:rPr>
        <w:t xml:space="preserve">Number </w:t>
      </w:r>
      <w:r w:rsidRPr="05FE66B3">
        <w:rPr>
          <w:i/>
          <w:iCs/>
          <w:sz w:val="20"/>
          <w:szCs w:val="20"/>
          <w:lang w:val="en-GB" w:eastAsia="en-US"/>
        </w:rPr>
        <w:t>M</w:t>
      </w:r>
      <w:r w:rsidRPr="05FE66B3">
        <w:rPr>
          <w:sz w:val="20"/>
          <w:szCs w:val="20"/>
          <w:lang w:val="en-GB" w:eastAsia="en-US"/>
        </w:rPr>
        <w:t xml:space="preserve"> of candidates for aggregation levels (1, 2, 4, 8) is (6, 6, 2, 2) as with LTE PDCCH [8],</w:t>
      </w:r>
    </w:p>
    <w:p w14:paraId="390D727A" w14:textId="77777777" w:rsidR="002C4A24" w:rsidRPr="00DC36D9" w:rsidRDefault="05FE66B3" w:rsidP="05FE66B3">
      <w:pPr>
        <w:pStyle w:val="ListParagraph"/>
        <w:numPr>
          <w:ilvl w:val="0"/>
          <w:numId w:val="2"/>
        </w:numPr>
        <w:jc w:val="both"/>
        <w:rPr>
          <w:lang w:val="en-US"/>
        </w:rPr>
      </w:pPr>
      <w:r w:rsidRPr="05FE66B3">
        <w:rPr>
          <w:sz w:val="20"/>
          <w:szCs w:val="20"/>
          <w:lang w:val="en-GB" w:eastAsia="en-US"/>
        </w:rPr>
        <w:t xml:space="preserve">Hashing functions of LTE PDCCH, LTE EPDCCH, as well as randomized allocation in </w:t>
      </w:r>
      <w:r w:rsidRPr="05FE66B3">
        <w:rPr>
          <w:i/>
          <w:iCs/>
          <w:sz w:val="20"/>
          <w:szCs w:val="20"/>
          <w:lang w:val="en-GB" w:eastAsia="en-US"/>
        </w:rPr>
        <w:t>M</w:t>
      </w:r>
      <w:r w:rsidRPr="05FE66B3">
        <w:rPr>
          <w:sz w:val="20"/>
          <w:szCs w:val="20"/>
          <w:lang w:val="en-GB" w:eastAsia="en-US"/>
        </w:rPr>
        <w:t xml:space="preserve"> </w:t>
      </w:r>
      <w:proofErr w:type="spellStart"/>
      <w:r w:rsidRPr="05FE66B3">
        <w:rPr>
          <w:sz w:val="20"/>
          <w:szCs w:val="20"/>
          <w:lang w:val="en-GB" w:eastAsia="en-US"/>
        </w:rPr>
        <w:t>subbands</w:t>
      </w:r>
      <w:proofErr w:type="spellEnd"/>
      <w:r w:rsidRPr="05FE66B3">
        <w:rPr>
          <w:sz w:val="20"/>
          <w:szCs w:val="20"/>
          <w:lang w:val="en-GB" w:eastAsia="en-US"/>
        </w:rPr>
        <w:t xml:space="preserve"> according to equation (1).</w:t>
      </w:r>
    </w:p>
    <w:p w14:paraId="53ED71B5" w14:textId="77777777" w:rsidR="002C4A24" w:rsidRDefault="002C4A24" w:rsidP="002C4A24">
      <w:pPr>
        <w:spacing w:after="0"/>
        <w:jc w:val="both"/>
      </w:pPr>
    </w:p>
    <w:p w14:paraId="57302038" w14:textId="77777777" w:rsidR="002C4A24" w:rsidRDefault="002C4A24" w:rsidP="002C4A24">
      <w:pPr>
        <w:spacing w:after="0"/>
        <w:jc w:val="both"/>
        <w:rPr>
          <w:lang w:val="en-US"/>
        </w:rPr>
      </w:pPr>
    </w:p>
    <w:p w14:paraId="6C50DAA9" w14:textId="419B6572" w:rsidR="002C4A24" w:rsidRPr="00893AC9" w:rsidRDefault="05FE66B3" w:rsidP="002C4A24">
      <w:pPr>
        <w:spacing w:after="0"/>
        <w:jc w:val="both"/>
      </w:pPr>
      <w:bookmarkStart w:id="4" w:name="_GoBack"/>
      <w:r>
        <w:t xml:space="preserve">Figures </w:t>
      </w:r>
      <w:r w:rsidR="00BC55EF">
        <w:t>3</w:t>
      </w:r>
      <w:r>
        <w:t xml:space="preserve">, </w:t>
      </w:r>
      <w:r w:rsidR="00BC55EF">
        <w:t>4</w:t>
      </w:r>
      <w:r>
        <w:t xml:space="preserve"> and </w:t>
      </w:r>
      <w:r w:rsidR="00BC55EF">
        <w:t>5</w:t>
      </w:r>
      <w:bookmarkEnd w:id="4"/>
      <w:r>
        <w:t xml:space="preserve"> depict the simulated PDCCH blocking probabilities with CORESETs comprising 32, 64 and 96 CCEs, respectively, both without (solid) and with (dashed) fall-back to a higher aggregation level in the case of blocking. Apart from the CORESET sizes, the default simulation assumptions are applied.</w:t>
      </w:r>
    </w:p>
    <w:p w14:paraId="74E168D2" w14:textId="77777777" w:rsidR="002C4A24" w:rsidRPr="00893AC9" w:rsidRDefault="002C4A24" w:rsidP="002C4A24">
      <w:pPr>
        <w:spacing w:after="0"/>
        <w:jc w:val="both"/>
      </w:pPr>
    </w:p>
    <w:p w14:paraId="067F41FE" w14:textId="77777777" w:rsidR="002C4A24" w:rsidRDefault="05FE66B3" w:rsidP="002C4A24">
      <w:pPr>
        <w:spacing w:after="0"/>
        <w:jc w:val="both"/>
      </w:pPr>
      <w:proofErr w:type="gramStart"/>
      <w:r>
        <w:t>It can be seen that applying</w:t>
      </w:r>
      <w:proofErr w:type="gramEnd"/>
      <w:r>
        <w:t xml:space="preserve"> fall-back to a higher aggregation level significantly decreases the PDCCH blocking probabilities, with the improvement depending on the hashing function and on the CORESET size. It can further be seen that with fall back to a higher aggregation level, the hashing function of LTE EPDCCH results in highest blocking probabilities among the investigated hashing functions, while the proposed hashing function of equation (1) outperforms the hashing function of LTE EPDCCH by ~1-2 orders of magnitude in blocking probability, the gains increasing with increasing CORESET size.</w:t>
      </w:r>
    </w:p>
    <w:p w14:paraId="5B1370EF" w14:textId="77777777" w:rsidR="002C4A24" w:rsidRDefault="002C4A24" w:rsidP="002C4A24">
      <w:pPr>
        <w:spacing w:after="0"/>
        <w:jc w:val="both"/>
      </w:pPr>
    </w:p>
    <w:p w14:paraId="13E05B7E" w14:textId="77777777" w:rsidR="002C4A24" w:rsidRDefault="05FE66B3" w:rsidP="002C4A24">
      <w:pPr>
        <w:spacing w:after="0"/>
        <w:jc w:val="both"/>
      </w:pPr>
      <w:r>
        <w:t>It should be noted that such significant reduction in blocking probability can reduce control signalling overhead, since for a targeted PDCCH blocking probability the CORESET size can be reduced. For example, to achieve a blocking probability of 0.1% with 5 users (one DCI per user), the hashing function of LTE EPDCCH would require the configuration of a CORESET comprising 96 CCEs. With the hashing function of equation (1), in contrast, the CORESET would require about 56 CCEs, thus reducing the CORESET size by ~40%. The reduction of the CORESET size may further reduce battery consumption of the UE since less channel estimates for PDCCH blind decoding are required.</w:t>
      </w:r>
    </w:p>
    <w:p w14:paraId="21229C02" w14:textId="77777777" w:rsidR="002C4A24" w:rsidRDefault="002C4A24" w:rsidP="002C4A24">
      <w:pPr>
        <w:spacing w:after="0"/>
        <w:jc w:val="both"/>
      </w:pPr>
    </w:p>
    <w:p w14:paraId="47C7CB26" w14:textId="77777777" w:rsidR="002C4A24" w:rsidRDefault="002C4A24" w:rsidP="002C4A24">
      <w:pPr>
        <w:spacing w:after="0"/>
        <w:jc w:val="both"/>
      </w:pPr>
    </w:p>
    <w:p w14:paraId="56C94326" w14:textId="77777777" w:rsidR="002C4A24" w:rsidRDefault="002C4A24" w:rsidP="002C4A24">
      <w:pPr>
        <w:pStyle w:val="Caption"/>
        <w:jc w:val="center"/>
      </w:pPr>
      <w:r w:rsidRPr="00145761">
        <w:rPr>
          <w:noProof/>
          <w:lang w:val="de-DE" w:eastAsia="de-DE"/>
        </w:rPr>
        <w:lastRenderedPageBreak/>
        <w:drawing>
          <wp:inline distT="0" distB="0" distL="0" distR="0" wp14:anchorId="43925E17" wp14:editId="6130732B">
            <wp:extent cx="3557151" cy="28523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3585095" cy="2874790"/>
                    </a:xfrm>
                    <a:prstGeom prst="rect">
                      <a:avLst/>
                    </a:prstGeom>
                    <a:noFill/>
                    <a:ln>
                      <a:noFill/>
                    </a:ln>
                  </pic:spPr>
                </pic:pic>
              </a:graphicData>
            </a:graphic>
          </wp:inline>
        </w:drawing>
      </w:r>
    </w:p>
    <w:p w14:paraId="0221FA8D" w14:textId="25A1B9D9" w:rsidR="002C4A24" w:rsidRDefault="00BC55EF" w:rsidP="0028443D">
      <w:pPr>
        <w:pStyle w:val="Caption"/>
      </w:pPr>
      <w:r>
        <w:t>Figure 3</w:t>
      </w:r>
      <w:r w:rsidR="002C4A24">
        <w:t>: PDCCH blocking probabilities with CORESET comprising 32 CCEs, without (solid) and with (dashed) fall-back to a higher aggregation level in the case of blocking.</w:t>
      </w:r>
    </w:p>
    <w:p w14:paraId="6C959C5B" w14:textId="77777777" w:rsidR="002C4A24" w:rsidRPr="00E215CE" w:rsidRDefault="002C4A24" w:rsidP="0028443D"/>
    <w:p w14:paraId="429C448C" w14:textId="77777777" w:rsidR="002C4A24" w:rsidRPr="00893AC9" w:rsidRDefault="002C4A24" w:rsidP="002C4A24">
      <w:pPr>
        <w:jc w:val="center"/>
      </w:pPr>
      <w:r w:rsidRPr="00667EC3">
        <w:rPr>
          <w:noProof/>
          <w:lang w:val="de-DE" w:eastAsia="de-DE"/>
        </w:rPr>
        <w:drawing>
          <wp:inline distT="0" distB="0" distL="0" distR="0" wp14:anchorId="1ABF1828" wp14:editId="300E80B6">
            <wp:extent cx="3418764" cy="274141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3437033" cy="2756062"/>
                    </a:xfrm>
                    <a:prstGeom prst="rect">
                      <a:avLst/>
                    </a:prstGeom>
                    <a:noFill/>
                    <a:ln>
                      <a:noFill/>
                    </a:ln>
                  </pic:spPr>
                </pic:pic>
              </a:graphicData>
            </a:graphic>
          </wp:inline>
        </w:drawing>
      </w:r>
    </w:p>
    <w:p w14:paraId="7FFE9894" w14:textId="58561F74" w:rsidR="002C4A24" w:rsidRDefault="00BC55EF" w:rsidP="0028443D">
      <w:pPr>
        <w:pStyle w:val="Caption"/>
      </w:pPr>
      <w:r>
        <w:t>Figure 4</w:t>
      </w:r>
      <w:r w:rsidR="002C4A24">
        <w:t>: PDCCH blocking probabilities with CORESET comprising 64 CCEs, without (solid) and with (dashed) fall-back to a higher aggregation level in the case of blocking.</w:t>
      </w:r>
    </w:p>
    <w:p w14:paraId="65307148" w14:textId="77777777" w:rsidR="002C4A24" w:rsidRDefault="002C4A24" w:rsidP="002C4A24"/>
    <w:p w14:paraId="0E76B964" w14:textId="77777777" w:rsidR="002C4A24" w:rsidRPr="00893AC9" w:rsidRDefault="002C4A24" w:rsidP="002C4A24">
      <w:pPr>
        <w:jc w:val="center"/>
      </w:pPr>
      <w:r w:rsidRPr="005661BF">
        <w:rPr>
          <w:noProof/>
          <w:lang w:val="de-DE" w:eastAsia="de-DE"/>
        </w:rPr>
        <w:lastRenderedPageBreak/>
        <w:drawing>
          <wp:inline distT="0" distB="0" distL="0" distR="0" wp14:anchorId="376C9937" wp14:editId="5C3E9750">
            <wp:extent cx="3760012" cy="30150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3773939" cy="3026217"/>
                    </a:xfrm>
                    <a:prstGeom prst="rect">
                      <a:avLst/>
                    </a:prstGeom>
                    <a:noFill/>
                    <a:ln>
                      <a:noFill/>
                    </a:ln>
                  </pic:spPr>
                </pic:pic>
              </a:graphicData>
            </a:graphic>
          </wp:inline>
        </w:drawing>
      </w:r>
    </w:p>
    <w:p w14:paraId="7BB2E9D2" w14:textId="6F8863FA" w:rsidR="002C4A24" w:rsidRDefault="00BC55EF" w:rsidP="05FE66B3">
      <w:pPr>
        <w:pStyle w:val="Caption"/>
        <w:rPr>
          <w:lang w:val="en-US"/>
        </w:rPr>
      </w:pPr>
      <w:r>
        <w:t>Figure 5</w:t>
      </w:r>
      <w:r w:rsidR="002C4A24">
        <w:t>: PDCCH blocking probabilities with CORESET comprising 96 CCEs, without (solid) and with (dashed) fall-back to a higher aggregation level in the case of blocking.</w:t>
      </w:r>
    </w:p>
    <w:p w14:paraId="19C11BD8" w14:textId="77777777" w:rsidR="002C4A24" w:rsidRDefault="002C4A24" w:rsidP="002C4A24">
      <w:pPr>
        <w:spacing w:after="0"/>
        <w:jc w:val="both"/>
        <w:rPr>
          <w:lang w:val="en-US"/>
        </w:rPr>
      </w:pPr>
    </w:p>
    <w:p w14:paraId="2055FF5E" w14:textId="77777777" w:rsidR="002C4A24" w:rsidRDefault="002C4A24" w:rsidP="002C4A24">
      <w:pPr>
        <w:spacing w:after="0"/>
        <w:jc w:val="both"/>
        <w:rPr>
          <w:lang w:val="en-US"/>
        </w:rPr>
      </w:pPr>
    </w:p>
    <w:p w14:paraId="1E328115" w14:textId="3E1CE043" w:rsidR="002C4A24" w:rsidRPr="00893AC9" w:rsidRDefault="002C4A24" w:rsidP="002C4A24">
      <w:pPr>
        <w:spacing w:after="0"/>
        <w:jc w:val="both"/>
      </w:pPr>
      <w:r>
        <w:rPr>
          <w:lang w:val="en-US"/>
        </w:rPr>
        <w:t>The gains in blocking probability obtained with the proposed hashing function can also be used for reducing the number of blind decodes and channel estimates performed by the UE per slot. As an example,</w:t>
      </w:r>
      <w:r w:rsidR="00BC55EF">
        <w:rPr>
          <w:lang w:val="en-US"/>
        </w:rPr>
        <w:t xml:space="preserve"> Figure </w:t>
      </w:r>
      <w:r w:rsidR="00FB1383">
        <w:rPr>
          <w:lang w:val="en-US"/>
        </w:rPr>
        <w:t>6</w:t>
      </w:r>
      <w:r w:rsidR="00BC55EF">
        <w:rPr>
          <w:lang w:val="en-US"/>
        </w:rPr>
        <w:t xml:space="preserve"> </w:t>
      </w:r>
      <w:r>
        <w:rPr>
          <w:lang w:val="en-US"/>
        </w:rPr>
        <w:t>depicts the</w:t>
      </w:r>
      <w:r w:rsidRPr="00893AC9">
        <w:t xml:space="preserve"> </w:t>
      </w:r>
      <w:r>
        <w:t>simulated PDCCH b</w:t>
      </w:r>
      <w:r w:rsidRPr="00893AC9">
        <w:t>locking probabilities with fall-back to a higher aggregation level in the case of blocking</w:t>
      </w:r>
      <w:r>
        <w:t xml:space="preserve">. In </w:t>
      </w:r>
      <w:r w:rsidR="00BC55EF">
        <w:t xml:space="preserve">Figure </w:t>
      </w:r>
      <w:r w:rsidR="00FB1383">
        <w:t>6</w:t>
      </w:r>
      <w:r>
        <w:t xml:space="preserve">, the number </w:t>
      </w:r>
      <w:r w:rsidRPr="05FE66B3">
        <w:rPr>
          <w:i/>
          <w:iCs/>
        </w:rPr>
        <w:t>M</w:t>
      </w:r>
      <w:r>
        <w:t xml:space="preserve"> of candidates for a</w:t>
      </w:r>
      <w:r w:rsidRPr="00266072">
        <w:t>ggregation levels (1, 2, 4, 8)</w:t>
      </w:r>
      <w:r>
        <w:t xml:space="preserve"> is set to (6, 6, 2, 2) (solid) and (2, 2, 2, 2) (dashed). Apart from the number of candidates, the default simulation assumptions are applied. </w:t>
      </w:r>
      <w:proofErr w:type="gramStart"/>
      <w:r>
        <w:t>It can be seen that the</w:t>
      </w:r>
      <w:proofErr w:type="gramEnd"/>
      <w:r>
        <w:t xml:space="preserve"> proposed hashing function outperforms the hashing function of LTE EPDCCH by about one order of magnitude</w:t>
      </w:r>
      <w:r w:rsidR="00312E44">
        <w:t xml:space="preserve"> in blocking probability</w:t>
      </w:r>
      <w:r>
        <w:t>, also when reducing the number of blind decodes for USS per slot by ~50% (16 vs. 32), and the number of channel estimates for USS per slot by ~30% (30 vs. 42).</w:t>
      </w:r>
    </w:p>
    <w:p w14:paraId="128EC47E" w14:textId="77777777" w:rsidR="002C4A24" w:rsidRDefault="002C4A24" w:rsidP="002C4A24">
      <w:pPr>
        <w:spacing w:after="0"/>
        <w:jc w:val="both"/>
        <w:rPr>
          <w:lang w:val="en-US"/>
        </w:rPr>
      </w:pPr>
    </w:p>
    <w:p w14:paraId="0A14E2A7" w14:textId="77777777" w:rsidR="002C4A24" w:rsidRDefault="002C4A24" w:rsidP="0028443D">
      <w:pPr>
        <w:spacing w:after="0"/>
        <w:jc w:val="center"/>
        <w:rPr>
          <w:b/>
          <w:i/>
        </w:rPr>
      </w:pPr>
      <w:r w:rsidRPr="00120B4F">
        <w:rPr>
          <w:noProof/>
          <w:lang w:val="de-DE" w:eastAsia="de-DE"/>
        </w:rPr>
        <w:drawing>
          <wp:inline distT="0" distB="0" distL="0" distR="0" wp14:anchorId="683FCB13" wp14:editId="725E9122">
            <wp:extent cx="3716121" cy="297957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3718296" cy="2981317"/>
                    </a:xfrm>
                    <a:prstGeom prst="rect">
                      <a:avLst/>
                    </a:prstGeom>
                    <a:noFill/>
                    <a:ln>
                      <a:noFill/>
                    </a:ln>
                  </pic:spPr>
                </pic:pic>
              </a:graphicData>
            </a:graphic>
          </wp:inline>
        </w:drawing>
      </w:r>
    </w:p>
    <w:p w14:paraId="5E47E214" w14:textId="77777777" w:rsidR="002C4A24" w:rsidRDefault="002C4A24" w:rsidP="002C4A24">
      <w:pPr>
        <w:spacing w:after="0"/>
        <w:jc w:val="both"/>
        <w:rPr>
          <w:b/>
          <w:i/>
        </w:rPr>
      </w:pPr>
    </w:p>
    <w:p w14:paraId="099293E4" w14:textId="0B854A33" w:rsidR="004B1484" w:rsidRDefault="00BC55EF" w:rsidP="0037594D">
      <w:pPr>
        <w:pStyle w:val="Caption"/>
        <w:jc w:val="both"/>
        <w:rPr>
          <w:sz w:val="18"/>
        </w:rPr>
      </w:pPr>
      <w:r>
        <w:t xml:space="preserve">Figure </w:t>
      </w:r>
      <w:r w:rsidR="00FB1383">
        <w:t>6</w:t>
      </w:r>
      <w:r w:rsidR="002C4A24">
        <w:t>: PDCCH blocking probabilities with CORESET comprising 64 CCEs, with fall-back to a higher aggregation level in the case of blocking, and with numbers (6, 6, 2, 2) (solid) and (2, 2, 2, 2) (dashed) for aggregation levels (1, 2, 4, 8).</w:t>
      </w:r>
    </w:p>
    <w:p w14:paraId="6F74963A" w14:textId="3233D883" w:rsidR="00663BF2" w:rsidRPr="008D4B8A" w:rsidRDefault="00663BF2" w:rsidP="007730D8">
      <w:pPr>
        <w:ind w:left="378" w:hanging="378"/>
        <w:rPr>
          <w:sz w:val="18"/>
        </w:rPr>
      </w:pPr>
    </w:p>
    <w:sectPr w:rsidR="00663BF2" w:rsidRPr="008D4B8A" w:rsidSect="00663EAE">
      <w:headerReference w:type="default" r:id="rId177"/>
      <w:footerReference w:type="default" r:id="rId17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3A250" w14:textId="77777777" w:rsidR="00E74453" w:rsidRDefault="00E74453">
      <w:r>
        <w:separator/>
      </w:r>
    </w:p>
  </w:endnote>
  <w:endnote w:type="continuationSeparator" w:id="0">
    <w:p w14:paraId="7B7CB7B3" w14:textId="77777777" w:rsidR="00E74453" w:rsidRDefault="00E74453">
      <w:r>
        <w:continuationSeparator/>
      </w:r>
    </w:p>
  </w:endnote>
  <w:endnote w:type="continuationNotice" w:id="1">
    <w:p w14:paraId="6FA744A1" w14:textId="77777777" w:rsidR="00E74453" w:rsidRDefault="00E744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37594D" w:rsidRDefault="00375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9A316" w14:textId="77777777" w:rsidR="00E74453" w:rsidRDefault="00E74453">
      <w:r>
        <w:separator/>
      </w:r>
    </w:p>
  </w:footnote>
  <w:footnote w:type="continuationSeparator" w:id="0">
    <w:p w14:paraId="76636431" w14:textId="77777777" w:rsidR="00E74453" w:rsidRDefault="00E74453">
      <w:r>
        <w:continuationSeparator/>
      </w:r>
    </w:p>
  </w:footnote>
  <w:footnote w:type="continuationNotice" w:id="1">
    <w:p w14:paraId="63C3BDB2" w14:textId="77777777" w:rsidR="00E74453" w:rsidRDefault="00E744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37594D" w:rsidRDefault="00375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0D0D33"/>
    <w:multiLevelType w:val="hybridMultilevel"/>
    <w:tmpl w:val="27C658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520250D"/>
    <w:multiLevelType w:val="hybridMultilevel"/>
    <w:tmpl w:val="2984FC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46CF3604"/>
    <w:multiLevelType w:val="hybridMultilevel"/>
    <w:tmpl w:val="DDEE85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9E9363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ED486D"/>
    <w:multiLevelType w:val="hybridMultilevel"/>
    <w:tmpl w:val="A3DCA476"/>
    <w:lvl w:ilvl="0" w:tplc="040B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CD322DD"/>
    <w:multiLevelType w:val="hybridMultilevel"/>
    <w:tmpl w:val="61F440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7"/>
  </w:num>
  <w:num w:numId="5">
    <w:abstractNumId w:val="9"/>
  </w:num>
  <w:num w:numId="6">
    <w:abstractNumId w:val="6"/>
  </w:num>
  <w:num w:numId="7">
    <w:abstractNumId w:val="10"/>
  </w:num>
  <w:num w:numId="8">
    <w:abstractNumId w:val="0"/>
  </w:num>
  <w:num w:numId="9">
    <w:abstractNumId w:val="4"/>
  </w:num>
  <w:num w:numId="10">
    <w:abstractNumId w:val="5"/>
  </w:num>
  <w:num w:numId="1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13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3742"/>
    <w:rsid w:val="00024AEF"/>
    <w:rsid w:val="00025970"/>
    <w:rsid w:val="00026C65"/>
    <w:rsid w:val="00027755"/>
    <w:rsid w:val="00030048"/>
    <w:rsid w:val="0003072D"/>
    <w:rsid w:val="000314CD"/>
    <w:rsid w:val="00033544"/>
    <w:rsid w:val="0003479E"/>
    <w:rsid w:val="0003484F"/>
    <w:rsid w:val="00035691"/>
    <w:rsid w:val="00035CA8"/>
    <w:rsid w:val="0004132D"/>
    <w:rsid w:val="00041358"/>
    <w:rsid w:val="00044CFA"/>
    <w:rsid w:val="000459C7"/>
    <w:rsid w:val="00046630"/>
    <w:rsid w:val="00046C80"/>
    <w:rsid w:val="00047FFA"/>
    <w:rsid w:val="00050112"/>
    <w:rsid w:val="00050466"/>
    <w:rsid w:val="000505CC"/>
    <w:rsid w:val="00050EB9"/>
    <w:rsid w:val="000511F9"/>
    <w:rsid w:val="0005230E"/>
    <w:rsid w:val="00052850"/>
    <w:rsid w:val="000528A2"/>
    <w:rsid w:val="00052BBA"/>
    <w:rsid w:val="00052C0A"/>
    <w:rsid w:val="00052E2B"/>
    <w:rsid w:val="00054D9D"/>
    <w:rsid w:val="00055676"/>
    <w:rsid w:val="00056544"/>
    <w:rsid w:val="00056949"/>
    <w:rsid w:val="00060269"/>
    <w:rsid w:val="00060D8E"/>
    <w:rsid w:val="00062159"/>
    <w:rsid w:val="00062ABB"/>
    <w:rsid w:val="000631B7"/>
    <w:rsid w:val="00063D9E"/>
    <w:rsid w:val="00064AD3"/>
    <w:rsid w:val="00065088"/>
    <w:rsid w:val="000652D3"/>
    <w:rsid w:val="000654A0"/>
    <w:rsid w:val="00067D46"/>
    <w:rsid w:val="00067FFB"/>
    <w:rsid w:val="000703BB"/>
    <w:rsid w:val="000707CA"/>
    <w:rsid w:val="000707FF"/>
    <w:rsid w:val="0007208A"/>
    <w:rsid w:val="00072BBA"/>
    <w:rsid w:val="00072FF5"/>
    <w:rsid w:val="00075FDA"/>
    <w:rsid w:val="000762E8"/>
    <w:rsid w:val="00076386"/>
    <w:rsid w:val="00076D82"/>
    <w:rsid w:val="00081EC2"/>
    <w:rsid w:val="000823FE"/>
    <w:rsid w:val="00083800"/>
    <w:rsid w:val="00083C3D"/>
    <w:rsid w:val="00084886"/>
    <w:rsid w:val="00084A65"/>
    <w:rsid w:val="0009185A"/>
    <w:rsid w:val="00091A92"/>
    <w:rsid w:val="00093C49"/>
    <w:rsid w:val="00095A80"/>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2282"/>
    <w:rsid w:val="000B2A11"/>
    <w:rsid w:val="000B2A5B"/>
    <w:rsid w:val="000B2B69"/>
    <w:rsid w:val="000B3B91"/>
    <w:rsid w:val="000B4701"/>
    <w:rsid w:val="000B5AC9"/>
    <w:rsid w:val="000B5F0A"/>
    <w:rsid w:val="000C1D59"/>
    <w:rsid w:val="000C3D66"/>
    <w:rsid w:val="000C501D"/>
    <w:rsid w:val="000C74BA"/>
    <w:rsid w:val="000C7531"/>
    <w:rsid w:val="000C7C3F"/>
    <w:rsid w:val="000D0BD6"/>
    <w:rsid w:val="000D0C61"/>
    <w:rsid w:val="000D21EA"/>
    <w:rsid w:val="000D27AD"/>
    <w:rsid w:val="000D29D1"/>
    <w:rsid w:val="000D2B0A"/>
    <w:rsid w:val="000D3286"/>
    <w:rsid w:val="000D344D"/>
    <w:rsid w:val="000D3FBC"/>
    <w:rsid w:val="000D40E7"/>
    <w:rsid w:val="000D47F3"/>
    <w:rsid w:val="000D584F"/>
    <w:rsid w:val="000E071E"/>
    <w:rsid w:val="000E248B"/>
    <w:rsid w:val="000E27AA"/>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C4F"/>
    <w:rsid w:val="00102C9F"/>
    <w:rsid w:val="001036C8"/>
    <w:rsid w:val="00105DB7"/>
    <w:rsid w:val="001068D2"/>
    <w:rsid w:val="00107CC5"/>
    <w:rsid w:val="0011035C"/>
    <w:rsid w:val="001103BD"/>
    <w:rsid w:val="00111208"/>
    <w:rsid w:val="00111808"/>
    <w:rsid w:val="0011339F"/>
    <w:rsid w:val="00114E96"/>
    <w:rsid w:val="00115828"/>
    <w:rsid w:val="0011644A"/>
    <w:rsid w:val="001167B3"/>
    <w:rsid w:val="00117332"/>
    <w:rsid w:val="001204DD"/>
    <w:rsid w:val="001206E5"/>
    <w:rsid w:val="00120B4F"/>
    <w:rsid w:val="00122839"/>
    <w:rsid w:val="001237AC"/>
    <w:rsid w:val="00123A30"/>
    <w:rsid w:val="00123FC0"/>
    <w:rsid w:val="00124665"/>
    <w:rsid w:val="00124E12"/>
    <w:rsid w:val="0012673D"/>
    <w:rsid w:val="001269B8"/>
    <w:rsid w:val="00127099"/>
    <w:rsid w:val="00130783"/>
    <w:rsid w:val="00132B71"/>
    <w:rsid w:val="00133579"/>
    <w:rsid w:val="0013427A"/>
    <w:rsid w:val="001362C2"/>
    <w:rsid w:val="00136955"/>
    <w:rsid w:val="00136E19"/>
    <w:rsid w:val="001371B2"/>
    <w:rsid w:val="00137381"/>
    <w:rsid w:val="00137873"/>
    <w:rsid w:val="00137930"/>
    <w:rsid w:val="00137D78"/>
    <w:rsid w:val="001409A0"/>
    <w:rsid w:val="00140B7C"/>
    <w:rsid w:val="00141F08"/>
    <w:rsid w:val="00141FF2"/>
    <w:rsid w:val="0014287A"/>
    <w:rsid w:val="00142DE2"/>
    <w:rsid w:val="00144C87"/>
    <w:rsid w:val="00145761"/>
    <w:rsid w:val="001467B1"/>
    <w:rsid w:val="00150175"/>
    <w:rsid w:val="001502C8"/>
    <w:rsid w:val="0015052C"/>
    <w:rsid w:val="00150B49"/>
    <w:rsid w:val="0015130F"/>
    <w:rsid w:val="00153A0F"/>
    <w:rsid w:val="001540E4"/>
    <w:rsid w:val="00154DA4"/>
    <w:rsid w:val="00155464"/>
    <w:rsid w:val="00155BFD"/>
    <w:rsid w:val="00157390"/>
    <w:rsid w:val="00160998"/>
    <w:rsid w:val="00160CD6"/>
    <w:rsid w:val="0016316A"/>
    <w:rsid w:val="00163E1B"/>
    <w:rsid w:val="00164171"/>
    <w:rsid w:val="00164E58"/>
    <w:rsid w:val="00165033"/>
    <w:rsid w:val="00165B18"/>
    <w:rsid w:val="001670EA"/>
    <w:rsid w:val="001674A0"/>
    <w:rsid w:val="00170A50"/>
    <w:rsid w:val="00171F0C"/>
    <w:rsid w:val="00174FFD"/>
    <w:rsid w:val="001759CA"/>
    <w:rsid w:val="0017702A"/>
    <w:rsid w:val="0017726A"/>
    <w:rsid w:val="00177D03"/>
    <w:rsid w:val="00177DD3"/>
    <w:rsid w:val="00180278"/>
    <w:rsid w:val="00181296"/>
    <w:rsid w:val="001818A7"/>
    <w:rsid w:val="00182725"/>
    <w:rsid w:val="001829C8"/>
    <w:rsid w:val="00182CA0"/>
    <w:rsid w:val="00184098"/>
    <w:rsid w:val="00186904"/>
    <w:rsid w:val="00186B0A"/>
    <w:rsid w:val="00186C5C"/>
    <w:rsid w:val="001905BD"/>
    <w:rsid w:val="00192FE6"/>
    <w:rsid w:val="00193986"/>
    <w:rsid w:val="00193B08"/>
    <w:rsid w:val="00194570"/>
    <w:rsid w:val="00194DA6"/>
    <w:rsid w:val="00195EC5"/>
    <w:rsid w:val="00196BF4"/>
    <w:rsid w:val="001972DA"/>
    <w:rsid w:val="001976A4"/>
    <w:rsid w:val="001976AA"/>
    <w:rsid w:val="001A02F6"/>
    <w:rsid w:val="001A15C6"/>
    <w:rsid w:val="001A3E60"/>
    <w:rsid w:val="001A5E19"/>
    <w:rsid w:val="001A5E1A"/>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226F"/>
    <w:rsid w:val="001C52F3"/>
    <w:rsid w:val="001C54B2"/>
    <w:rsid w:val="001C5BB2"/>
    <w:rsid w:val="001C66AC"/>
    <w:rsid w:val="001C6754"/>
    <w:rsid w:val="001C77F0"/>
    <w:rsid w:val="001D04AA"/>
    <w:rsid w:val="001D2EF5"/>
    <w:rsid w:val="001D46A0"/>
    <w:rsid w:val="001D4E22"/>
    <w:rsid w:val="001D7CA4"/>
    <w:rsid w:val="001D7E58"/>
    <w:rsid w:val="001E1CF8"/>
    <w:rsid w:val="001E30A0"/>
    <w:rsid w:val="001E3F75"/>
    <w:rsid w:val="001E4331"/>
    <w:rsid w:val="001E4D4F"/>
    <w:rsid w:val="001E55FB"/>
    <w:rsid w:val="001E57CF"/>
    <w:rsid w:val="001E5981"/>
    <w:rsid w:val="001E74BA"/>
    <w:rsid w:val="001E7587"/>
    <w:rsid w:val="001E7B9F"/>
    <w:rsid w:val="001F01FB"/>
    <w:rsid w:val="001F0658"/>
    <w:rsid w:val="001F0E92"/>
    <w:rsid w:val="001F1987"/>
    <w:rsid w:val="001F23BD"/>
    <w:rsid w:val="001F28AA"/>
    <w:rsid w:val="001F34DA"/>
    <w:rsid w:val="001F4136"/>
    <w:rsid w:val="001F4DAC"/>
    <w:rsid w:val="001F4DD3"/>
    <w:rsid w:val="001F5019"/>
    <w:rsid w:val="001F650F"/>
    <w:rsid w:val="001F67AA"/>
    <w:rsid w:val="001F7599"/>
    <w:rsid w:val="00200C62"/>
    <w:rsid w:val="0020189F"/>
    <w:rsid w:val="00203CB3"/>
    <w:rsid w:val="00204B3A"/>
    <w:rsid w:val="0020535A"/>
    <w:rsid w:val="00205642"/>
    <w:rsid w:val="00205C16"/>
    <w:rsid w:val="00206955"/>
    <w:rsid w:val="00207860"/>
    <w:rsid w:val="00210309"/>
    <w:rsid w:val="00212B70"/>
    <w:rsid w:val="00212FB8"/>
    <w:rsid w:val="00213709"/>
    <w:rsid w:val="002149AF"/>
    <w:rsid w:val="00214A86"/>
    <w:rsid w:val="00215AAA"/>
    <w:rsid w:val="0021683C"/>
    <w:rsid w:val="00221985"/>
    <w:rsid w:val="00221EC5"/>
    <w:rsid w:val="00222A7A"/>
    <w:rsid w:val="002234D9"/>
    <w:rsid w:val="00224A2C"/>
    <w:rsid w:val="002256D9"/>
    <w:rsid w:val="00225882"/>
    <w:rsid w:val="00225FFF"/>
    <w:rsid w:val="0022687C"/>
    <w:rsid w:val="002269C0"/>
    <w:rsid w:val="002272DB"/>
    <w:rsid w:val="00227BDA"/>
    <w:rsid w:val="002306F8"/>
    <w:rsid w:val="002312F4"/>
    <w:rsid w:val="002313A2"/>
    <w:rsid w:val="00231FC7"/>
    <w:rsid w:val="00232930"/>
    <w:rsid w:val="00232A95"/>
    <w:rsid w:val="00232DD9"/>
    <w:rsid w:val="00233403"/>
    <w:rsid w:val="00233440"/>
    <w:rsid w:val="00233D0E"/>
    <w:rsid w:val="0023487D"/>
    <w:rsid w:val="002353CB"/>
    <w:rsid w:val="00236450"/>
    <w:rsid w:val="0023765A"/>
    <w:rsid w:val="00237921"/>
    <w:rsid w:val="00241311"/>
    <w:rsid w:val="002419BC"/>
    <w:rsid w:val="00241F82"/>
    <w:rsid w:val="00242E22"/>
    <w:rsid w:val="0024336B"/>
    <w:rsid w:val="0024424F"/>
    <w:rsid w:val="00244595"/>
    <w:rsid w:val="00244D28"/>
    <w:rsid w:val="00245720"/>
    <w:rsid w:val="00245A6F"/>
    <w:rsid w:val="00245FD5"/>
    <w:rsid w:val="002465E4"/>
    <w:rsid w:val="002477DF"/>
    <w:rsid w:val="00250E05"/>
    <w:rsid w:val="00251AD6"/>
    <w:rsid w:val="002524B6"/>
    <w:rsid w:val="00252BBC"/>
    <w:rsid w:val="00252C17"/>
    <w:rsid w:val="0025307F"/>
    <w:rsid w:val="002551BD"/>
    <w:rsid w:val="002568D0"/>
    <w:rsid w:val="00256B73"/>
    <w:rsid w:val="00262661"/>
    <w:rsid w:val="0026299C"/>
    <w:rsid w:val="00262ADA"/>
    <w:rsid w:val="002632DF"/>
    <w:rsid w:val="0026400A"/>
    <w:rsid w:val="002640BA"/>
    <w:rsid w:val="00264CF2"/>
    <w:rsid w:val="00266462"/>
    <w:rsid w:val="00267587"/>
    <w:rsid w:val="00270822"/>
    <w:rsid w:val="00271222"/>
    <w:rsid w:val="00271589"/>
    <w:rsid w:val="00273177"/>
    <w:rsid w:val="00274775"/>
    <w:rsid w:val="00274EEF"/>
    <w:rsid w:val="00275074"/>
    <w:rsid w:val="002763E9"/>
    <w:rsid w:val="00276736"/>
    <w:rsid w:val="0028443D"/>
    <w:rsid w:val="00284C7E"/>
    <w:rsid w:val="00284E32"/>
    <w:rsid w:val="002851EB"/>
    <w:rsid w:val="00285510"/>
    <w:rsid w:val="00285DE2"/>
    <w:rsid w:val="0028616D"/>
    <w:rsid w:val="002865E2"/>
    <w:rsid w:val="00286965"/>
    <w:rsid w:val="002869D5"/>
    <w:rsid w:val="00286AE7"/>
    <w:rsid w:val="00290E58"/>
    <w:rsid w:val="0029136E"/>
    <w:rsid w:val="00292399"/>
    <w:rsid w:val="00293D90"/>
    <w:rsid w:val="00294445"/>
    <w:rsid w:val="00294B4D"/>
    <w:rsid w:val="00294E53"/>
    <w:rsid w:val="002960D5"/>
    <w:rsid w:val="00296371"/>
    <w:rsid w:val="00297546"/>
    <w:rsid w:val="00297CC6"/>
    <w:rsid w:val="002A1062"/>
    <w:rsid w:val="002A2012"/>
    <w:rsid w:val="002A2413"/>
    <w:rsid w:val="002A2F5E"/>
    <w:rsid w:val="002A352A"/>
    <w:rsid w:val="002A607D"/>
    <w:rsid w:val="002B0878"/>
    <w:rsid w:val="002B132E"/>
    <w:rsid w:val="002B257E"/>
    <w:rsid w:val="002B2813"/>
    <w:rsid w:val="002B2D29"/>
    <w:rsid w:val="002B4C6C"/>
    <w:rsid w:val="002B5DA0"/>
    <w:rsid w:val="002C0C4B"/>
    <w:rsid w:val="002C1EEA"/>
    <w:rsid w:val="002C47AD"/>
    <w:rsid w:val="002C4A24"/>
    <w:rsid w:val="002C6034"/>
    <w:rsid w:val="002C613E"/>
    <w:rsid w:val="002C635B"/>
    <w:rsid w:val="002C7CFF"/>
    <w:rsid w:val="002D0BC6"/>
    <w:rsid w:val="002D11F7"/>
    <w:rsid w:val="002D17C5"/>
    <w:rsid w:val="002D365F"/>
    <w:rsid w:val="002D406E"/>
    <w:rsid w:val="002D4127"/>
    <w:rsid w:val="002D78C2"/>
    <w:rsid w:val="002D7C86"/>
    <w:rsid w:val="002E0692"/>
    <w:rsid w:val="002E1D74"/>
    <w:rsid w:val="002E2943"/>
    <w:rsid w:val="002E2CF1"/>
    <w:rsid w:val="002E34AF"/>
    <w:rsid w:val="002E4AAC"/>
    <w:rsid w:val="002E53DE"/>
    <w:rsid w:val="002E563B"/>
    <w:rsid w:val="002E62D2"/>
    <w:rsid w:val="002E74AF"/>
    <w:rsid w:val="002E758C"/>
    <w:rsid w:val="002F048F"/>
    <w:rsid w:val="002F1038"/>
    <w:rsid w:val="002F1B80"/>
    <w:rsid w:val="002F1CDB"/>
    <w:rsid w:val="002F22FF"/>
    <w:rsid w:val="002F287F"/>
    <w:rsid w:val="002F2D8F"/>
    <w:rsid w:val="002F695B"/>
    <w:rsid w:val="002F72DA"/>
    <w:rsid w:val="002F76B1"/>
    <w:rsid w:val="002F7CC8"/>
    <w:rsid w:val="002F7D66"/>
    <w:rsid w:val="002F7DBE"/>
    <w:rsid w:val="0030055E"/>
    <w:rsid w:val="0030090B"/>
    <w:rsid w:val="00302AE8"/>
    <w:rsid w:val="00302BB1"/>
    <w:rsid w:val="00303A23"/>
    <w:rsid w:val="00303FA9"/>
    <w:rsid w:val="00304210"/>
    <w:rsid w:val="003048D7"/>
    <w:rsid w:val="00304A1B"/>
    <w:rsid w:val="00304AD2"/>
    <w:rsid w:val="003062E6"/>
    <w:rsid w:val="003068B6"/>
    <w:rsid w:val="003071F6"/>
    <w:rsid w:val="00307FE0"/>
    <w:rsid w:val="00311C08"/>
    <w:rsid w:val="00312567"/>
    <w:rsid w:val="00312E44"/>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B55"/>
    <w:rsid w:val="00335EA8"/>
    <w:rsid w:val="003363DD"/>
    <w:rsid w:val="00336B9B"/>
    <w:rsid w:val="00340361"/>
    <w:rsid w:val="00340795"/>
    <w:rsid w:val="0034111C"/>
    <w:rsid w:val="0034114A"/>
    <w:rsid w:val="00341E60"/>
    <w:rsid w:val="0034217F"/>
    <w:rsid w:val="00342AD2"/>
    <w:rsid w:val="00342DBB"/>
    <w:rsid w:val="00343954"/>
    <w:rsid w:val="00345405"/>
    <w:rsid w:val="00345DDD"/>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70F8"/>
    <w:rsid w:val="00367337"/>
    <w:rsid w:val="00367367"/>
    <w:rsid w:val="00367FD8"/>
    <w:rsid w:val="00370B63"/>
    <w:rsid w:val="00370FCC"/>
    <w:rsid w:val="003711AF"/>
    <w:rsid w:val="00371EF8"/>
    <w:rsid w:val="00374848"/>
    <w:rsid w:val="0037594D"/>
    <w:rsid w:val="00375D09"/>
    <w:rsid w:val="0037739D"/>
    <w:rsid w:val="0037751C"/>
    <w:rsid w:val="00380F3F"/>
    <w:rsid w:val="00382232"/>
    <w:rsid w:val="00382F1A"/>
    <w:rsid w:val="00383282"/>
    <w:rsid w:val="00383658"/>
    <w:rsid w:val="0038412E"/>
    <w:rsid w:val="00384968"/>
    <w:rsid w:val="00386053"/>
    <w:rsid w:val="0038771D"/>
    <w:rsid w:val="0039201F"/>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5C41"/>
    <w:rsid w:val="003C7461"/>
    <w:rsid w:val="003D0788"/>
    <w:rsid w:val="003D132A"/>
    <w:rsid w:val="003D1517"/>
    <w:rsid w:val="003D2938"/>
    <w:rsid w:val="003D2C75"/>
    <w:rsid w:val="003D3211"/>
    <w:rsid w:val="003D3216"/>
    <w:rsid w:val="003D3FBA"/>
    <w:rsid w:val="003D402B"/>
    <w:rsid w:val="003D6E9D"/>
    <w:rsid w:val="003D764F"/>
    <w:rsid w:val="003D7D81"/>
    <w:rsid w:val="003E0667"/>
    <w:rsid w:val="003E0BCE"/>
    <w:rsid w:val="003E13E0"/>
    <w:rsid w:val="003E1660"/>
    <w:rsid w:val="003E1C09"/>
    <w:rsid w:val="003E1CD1"/>
    <w:rsid w:val="003E2A2D"/>
    <w:rsid w:val="003E3497"/>
    <w:rsid w:val="003E504D"/>
    <w:rsid w:val="003E521F"/>
    <w:rsid w:val="003E5606"/>
    <w:rsid w:val="003E64A9"/>
    <w:rsid w:val="003E7002"/>
    <w:rsid w:val="003E7905"/>
    <w:rsid w:val="003F0336"/>
    <w:rsid w:val="003F2147"/>
    <w:rsid w:val="003F4488"/>
    <w:rsid w:val="003F5547"/>
    <w:rsid w:val="003F5C40"/>
    <w:rsid w:val="003F6E12"/>
    <w:rsid w:val="003F75ED"/>
    <w:rsid w:val="004002B7"/>
    <w:rsid w:val="00400F31"/>
    <w:rsid w:val="00403A2A"/>
    <w:rsid w:val="00406B4D"/>
    <w:rsid w:val="0041443C"/>
    <w:rsid w:val="004154F7"/>
    <w:rsid w:val="004161D7"/>
    <w:rsid w:val="00416D44"/>
    <w:rsid w:val="00416EB8"/>
    <w:rsid w:val="004176FF"/>
    <w:rsid w:val="00421A27"/>
    <w:rsid w:val="00421D0A"/>
    <w:rsid w:val="004238B8"/>
    <w:rsid w:val="004241C5"/>
    <w:rsid w:val="004244AF"/>
    <w:rsid w:val="00424FA7"/>
    <w:rsid w:val="00425397"/>
    <w:rsid w:val="00425D78"/>
    <w:rsid w:val="00426428"/>
    <w:rsid w:val="00426A87"/>
    <w:rsid w:val="00427F3C"/>
    <w:rsid w:val="004309D8"/>
    <w:rsid w:val="004313D1"/>
    <w:rsid w:val="00431FD5"/>
    <w:rsid w:val="00432110"/>
    <w:rsid w:val="00433EBE"/>
    <w:rsid w:val="00434406"/>
    <w:rsid w:val="00437A1D"/>
    <w:rsid w:val="00440FED"/>
    <w:rsid w:val="00441194"/>
    <w:rsid w:val="00441B0A"/>
    <w:rsid w:val="00441B92"/>
    <w:rsid w:val="00442607"/>
    <w:rsid w:val="0044474B"/>
    <w:rsid w:val="00445FF7"/>
    <w:rsid w:val="00450575"/>
    <w:rsid w:val="00453341"/>
    <w:rsid w:val="00453EF8"/>
    <w:rsid w:val="004545C6"/>
    <w:rsid w:val="00454DCA"/>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8C0"/>
    <w:rsid w:val="004711DE"/>
    <w:rsid w:val="004715CB"/>
    <w:rsid w:val="00471863"/>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BE4"/>
    <w:rsid w:val="00491DB2"/>
    <w:rsid w:val="00492877"/>
    <w:rsid w:val="00496DC2"/>
    <w:rsid w:val="00496E75"/>
    <w:rsid w:val="004A014C"/>
    <w:rsid w:val="004A0AA8"/>
    <w:rsid w:val="004A1FE4"/>
    <w:rsid w:val="004A2CA9"/>
    <w:rsid w:val="004A2CDC"/>
    <w:rsid w:val="004A33EF"/>
    <w:rsid w:val="004A34C9"/>
    <w:rsid w:val="004A3CB5"/>
    <w:rsid w:val="004A441B"/>
    <w:rsid w:val="004A44D1"/>
    <w:rsid w:val="004A537D"/>
    <w:rsid w:val="004A67F0"/>
    <w:rsid w:val="004A6EE8"/>
    <w:rsid w:val="004A71C3"/>
    <w:rsid w:val="004A74D2"/>
    <w:rsid w:val="004A7769"/>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6B8"/>
    <w:rsid w:val="004D38C2"/>
    <w:rsid w:val="004D4FBD"/>
    <w:rsid w:val="004D4FC0"/>
    <w:rsid w:val="004D7DA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5154"/>
    <w:rsid w:val="004F5835"/>
    <w:rsid w:val="004F661C"/>
    <w:rsid w:val="004F6D99"/>
    <w:rsid w:val="004F7070"/>
    <w:rsid w:val="004F7FF6"/>
    <w:rsid w:val="00500572"/>
    <w:rsid w:val="00501304"/>
    <w:rsid w:val="00501425"/>
    <w:rsid w:val="005036BE"/>
    <w:rsid w:val="00504311"/>
    <w:rsid w:val="0050485C"/>
    <w:rsid w:val="00504AC6"/>
    <w:rsid w:val="00506D8C"/>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630"/>
    <w:rsid w:val="00520D6D"/>
    <w:rsid w:val="00523E75"/>
    <w:rsid w:val="005243E0"/>
    <w:rsid w:val="005256F3"/>
    <w:rsid w:val="00525F32"/>
    <w:rsid w:val="005265A3"/>
    <w:rsid w:val="00526783"/>
    <w:rsid w:val="0052721C"/>
    <w:rsid w:val="00527C99"/>
    <w:rsid w:val="00527FB1"/>
    <w:rsid w:val="005314C5"/>
    <w:rsid w:val="0053162F"/>
    <w:rsid w:val="00531777"/>
    <w:rsid w:val="00532380"/>
    <w:rsid w:val="0053281C"/>
    <w:rsid w:val="005340C9"/>
    <w:rsid w:val="0053449F"/>
    <w:rsid w:val="005375FE"/>
    <w:rsid w:val="005420DE"/>
    <w:rsid w:val="00542249"/>
    <w:rsid w:val="0054226C"/>
    <w:rsid w:val="005431F5"/>
    <w:rsid w:val="00543707"/>
    <w:rsid w:val="00543812"/>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6A4"/>
    <w:rsid w:val="005607B8"/>
    <w:rsid w:val="00560CF5"/>
    <w:rsid w:val="005610AC"/>
    <w:rsid w:val="0056272D"/>
    <w:rsid w:val="00562BAB"/>
    <w:rsid w:val="0056308E"/>
    <w:rsid w:val="005638C1"/>
    <w:rsid w:val="0056415C"/>
    <w:rsid w:val="00564957"/>
    <w:rsid w:val="005649BF"/>
    <w:rsid w:val="005650ED"/>
    <w:rsid w:val="00565869"/>
    <w:rsid w:val="005661BF"/>
    <w:rsid w:val="00567415"/>
    <w:rsid w:val="00567610"/>
    <w:rsid w:val="00570C3A"/>
    <w:rsid w:val="00570D9F"/>
    <w:rsid w:val="00571CA8"/>
    <w:rsid w:val="00574771"/>
    <w:rsid w:val="00576A4A"/>
    <w:rsid w:val="00580793"/>
    <w:rsid w:val="00581470"/>
    <w:rsid w:val="00581893"/>
    <w:rsid w:val="00582087"/>
    <w:rsid w:val="005831DD"/>
    <w:rsid w:val="00584320"/>
    <w:rsid w:val="0058436F"/>
    <w:rsid w:val="00585484"/>
    <w:rsid w:val="00587229"/>
    <w:rsid w:val="00587503"/>
    <w:rsid w:val="005877C3"/>
    <w:rsid w:val="00587F7F"/>
    <w:rsid w:val="00590E8D"/>
    <w:rsid w:val="00591379"/>
    <w:rsid w:val="00591511"/>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609E"/>
    <w:rsid w:val="005B6DF6"/>
    <w:rsid w:val="005B6EA6"/>
    <w:rsid w:val="005B780E"/>
    <w:rsid w:val="005B7B7D"/>
    <w:rsid w:val="005C09CC"/>
    <w:rsid w:val="005C1948"/>
    <w:rsid w:val="005C245F"/>
    <w:rsid w:val="005C263C"/>
    <w:rsid w:val="005C2679"/>
    <w:rsid w:val="005C41D4"/>
    <w:rsid w:val="005D0079"/>
    <w:rsid w:val="005D059A"/>
    <w:rsid w:val="005D07C5"/>
    <w:rsid w:val="005D1FF8"/>
    <w:rsid w:val="005D3AB9"/>
    <w:rsid w:val="005D4302"/>
    <w:rsid w:val="005D430F"/>
    <w:rsid w:val="005D5A20"/>
    <w:rsid w:val="005D771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176E"/>
    <w:rsid w:val="006131CB"/>
    <w:rsid w:val="0061417F"/>
    <w:rsid w:val="00614CD1"/>
    <w:rsid w:val="0061567B"/>
    <w:rsid w:val="0062152A"/>
    <w:rsid w:val="00621E3C"/>
    <w:rsid w:val="00622FCB"/>
    <w:rsid w:val="00623583"/>
    <w:rsid w:val="00624049"/>
    <w:rsid w:val="0062462F"/>
    <w:rsid w:val="00624BA1"/>
    <w:rsid w:val="00625929"/>
    <w:rsid w:val="0062661B"/>
    <w:rsid w:val="0062796B"/>
    <w:rsid w:val="00630118"/>
    <w:rsid w:val="006310AE"/>
    <w:rsid w:val="00631762"/>
    <w:rsid w:val="00632196"/>
    <w:rsid w:val="00633BF2"/>
    <w:rsid w:val="00633F67"/>
    <w:rsid w:val="006345C3"/>
    <w:rsid w:val="006362F9"/>
    <w:rsid w:val="006369A9"/>
    <w:rsid w:val="006373CD"/>
    <w:rsid w:val="006403AC"/>
    <w:rsid w:val="0064165D"/>
    <w:rsid w:val="0064187D"/>
    <w:rsid w:val="006433BD"/>
    <w:rsid w:val="00643784"/>
    <w:rsid w:val="00644186"/>
    <w:rsid w:val="00644A21"/>
    <w:rsid w:val="00645C9F"/>
    <w:rsid w:val="00646305"/>
    <w:rsid w:val="00646A6C"/>
    <w:rsid w:val="006475E6"/>
    <w:rsid w:val="006508B9"/>
    <w:rsid w:val="00650CA1"/>
    <w:rsid w:val="00651854"/>
    <w:rsid w:val="006519F8"/>
    <w:rsid w:val="006539E8"/>
    <w:rsid w:val="006565D8"/>
    <w:rsid w:val="00656649"/>
    <w:rsid w:val="00656B96"/>
    <w:rsid w:val="00656CF4"/>
    <w:rsid w:val="0065736B"/>
    <w:rsid w:val="00657AE5"/>
    <w:rsid w:val="00660F13"/>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67EC3"/>
    <w:rsid w:val="0067269D"/>
    <w:rsid w:val="00672988"/>
    <w:rsid w:val="00672C64"/>
    <w:rsid w:val="0067499F"/>
    <w:rsid w:val="00674E6A"/>
    <w:rsid w:val="00676A64"/>
    <w:rsid w:val="00677925"/>
    <w:rsid w:val="00680F46"/>
    <w:rsid w:val="00681FDC"/>
    <w:rsid w:val="006829E8"/>
    <w:rsid w:val="00682B53"/>
    <w:rsid w:val="00682F27"/>
    <w:rsid w:val="0069011A"/>
    <w:rsid w:val="00690691"/>
    <w:rsid w:val="00690E2E"/>
    <w:rsid w:val="006915D7"/>
    <w:rsid w:val="006927AC"/>
    <w:rsid w:val="00692814"/>
    <w:rsid w:val="006932E7"/>
    <w:rsid w:val="00693347"/>
    <w:rsid w:val="0069334C"/>
    <w:rsid w:val="00695EA1"/>
    <w:rsid w:val="00696D63"/>
    <w:rsid w:val="006A032F"/>
    <w:rsid w:val="006A41AE"/>
    <w:rsid w:val="006A4856"/>
    <w:rsid w:val="006A564B"/>
    <w:rsid w:val="006B08CF"/>
    <w:rsid w:val="006B0B29"/>
    <w:rsid w:val="006B0B90"/>
    <w:rsid w:val="006B1470"/>
    <w:rsid w:val="006B1545"/>
    <w:rsid w:val="006B2DA7"/>
    <w:rsid w:val="006B2F4D"/>
    <w:rsid w:val="006B3682"/>
    <w:rsid w:val="006B48CB"/>
    <w:rsid w:val="006B576F"/>
    <w:rsid w:val="006B5D9E"/>
    <w:rsid w:val="006C08C5"/>
    <w:rsid w:val="006C1445"/>
    <w:rsid w:val="006C351E"/>
    <w:rsid w:val="006C3959"/>
    <w:rsid w:val="006C3B36"/>
    <w:rsid w:val="006C43E6"/>
    <w:rsid w:val="006C4FC1"/>
    <w:rsid w:val="006C51A5"/>
    <w:rsid w:val="006C529D"/>
    <w:rsid w:val="006C5639"/>
    <w:rsid w:val="006C7CC9"/>
    <w:rsid w:val="006C7D45"/>
    <w:rsid w:val="006D0E6B"/>
    <w:rsid w:val="006D1073"/>
    <w:rsid w:val="006D2146"/>
    <w:rsid w:val="006D632E"/>
    <w:rsid w:val="006E094A"/>
    <w:rsid w:val="006E12B1"/>
    <w:rsid w:val="006E13D1"/>
    <w:rsid w:val="006E2771"/>
    <w:rsid w:val="006E283E"/>
    <w:rsid w:val="006E4D0C"/>
    <w:rsid w:val="006E4D1B"/>
    <w:rsid w:val="006E509A"/>
    <w:rsid w:val="006E5B78"/>
    <w:rsid w:val="006E6BA3"/>
    <w:rsid w:val="006F01EB"/>
    <w:rsid w:val="006F1116"/>
    <w:rsid w:val="006F1206"/>
    <w:rsid w:val="006F19C5"/>
    <w:rsid w:val="006F3196"/>
    <w:rsid w:val="006F3C54"/>
    <w:rsid w:val="006F4ACC"/>
    <w:rsid w:val="006F5E64"/>
    <w:rsid w:val="006F60DE"/>
    <w:rsid w:val="006F6BBD"/>
    <w:rsid w:val="006F7914"/>
    <w:rsid w:val="006F7B8B"/>
    <w:rsid w:val="006F7E46"/>
    <w:rsid w:val="007002E4"/>
    <w:rsid w:val="00700AB4"/>
    <w:rsid w:val="00700FCA"/>
    <w:rsid w:val="00701645"/>
    <w:rsid w:val="00702D5A"/>
    <w:rsid w:val="00702EF7"/>
    <w:rsid w:val="00703989"/>
    <w:rsid w:val="007042E9"/>
    <w:rsid w:val="00707462"/>
    <w:rsid w:val="00710BC9"/>
    <w:rsid w:val="0071118B"/>
    <w:rsid w:val="007115D2"/>
    <w:rsid w:val="00711E13"/>
    <w:rsid w:val="00712546"/>
    <w:rsid w:val="00712EDA"/>
    <w:rsid w:val="007136D0"/>
    <w:rsid w:val="0071528E"/>
    <w:rsid w:val="007155A9"/>
    <w:rsid w:val="007158E1"/>
    <w:rsid w:val="0071705B"/>
    <w:rsid w:val="0071740A"/>
    <w:rsid w:val="00720505"/>
    <w:rsid w:val="007236A3"/>
    <w:rsid w:val="007236F8"/>
    <w:rsid w:val="007239B6"/>
    <w:rsid w:val="0072490A"/>
    <w:rsid w:val="0072517D"/>
    <w:rsid w:val="00726878"/>
    <w:rsid w:val="00727C98"/>
    <w:rsid w:val="00730D02"/>
    <w:rsid w:val="0073124A"/>
    <w:rsid w:val="007317FF"/>
    <w:rsid w:val="00731B79"/>
    <w:rsid w:val="00733893"/>
    <w:rsid w:val="00734A05"/>
    <w:rsid w:val="00735C6F"/>
    <w:rsid w:val="007366CF"/>
    <w:rsid w:val="007373DA"/>
    <w:rsid w:val="007408D5"/>
    <w:rsid w:val="00741C59"/>
    <w:rsid w:val="00742B44"/>
    <w:rsid w:val="0074655A"/>
    <w:rsid w:val="007469B7"/>
    <w:rsid w:val="00753BB5"/>
    <w:rsid w:val="007547B2"/>
    <w:rsid w:val="00756832"/>
    <w:rsid w:val="0076266E"/>
    <w:rsid w:val="007626D0"/>
    <w:rsid w:val="00764BFA"/>
    <w:rsid w:val="007651CA"/>
    <w:rsid w:val="00767519"/>
    <w:rsid w:val="00767EE3"/>
    <w:rsid w:val="007704E1"/>
    <w:rsid w:val="00772569"/>
    <w:rsid w:val="00772E8C"/>
    <w:rsid w:val="007730D8"/>
    <w:rsid w:val="007736D3"/>
    <w:rsid w:val="00773889"/>
    <w:rsid w:val="00773B54"/>
    <w:rsid w:val="0077500F"/>
    <w:rsid w:val="0077548E"/>
    <w:rsid w:val="00777315"/>
    <w:rsid w:val="0077767A"/>
    <w:rsid w:val="007802E4"/>
    <w:rsid w:val="00780919"/>
    <w:rsid w:val="0078091F"/>
    <w:rsid w:val="007826C8"/>
    <w:rsid w:val="00782972"/>
    <w:rsid w:val="00784190"/>
    <w:rsid w:val="0078457B"/>
    <w:rsid w:val="00784756"/>
    <w:rsid w:val="0078539D"/>
    <w:rsid w:val="007856C1"/>
    <w:rsid w:val="00786CC4"/>
    <w:rsid w:val="00787051"/>
    <w:rsid w:val="0079018D"/>
    <w:rsid w:val="00791A00"/>
    <w:rsid w:val="00791DBA"/>
    <w:rsid w:val="00792CEE"/>
    <w:rsid w:val="00794C56"/>
    <w:rsid w:val="00794E92"/>
    <w:rsid w:val="0079656A"/>
    <w:rsid w:val="00796971"/>
    <w:rsid w:val="00796D86"/>
    <w:rsid w:val="00796F15"/>
    <w:rsid w:val="007A138F"/>
    <w:rsid w:val="007A1640"/>
    <w:rsid w:val="007A18BA"/>
    <w:rsid w:val="007A36A9"/>
    <w:rsid w:val="007A39DF"/>
    <w:rsid w:val="007A43ED"/>
    <w:rsid w:val="007A4997"/>
    <w:rsid w:val="007A4BDD"/>
    <w:rsid w:val="007A4C98"/>
    <w:rsid w:val="007A72EE"/>
    <w:rsid w:val="007B0352"/>
    <w:rsid w:val="007B0397"/>
    <w:rsid w:val="007B3502"/>
    <w:rsid w:val="007B44ED"/>
    <w:rsid w:val="007B491A"/>
    <w:rsid w:val="007B4E9F"/>
    <w:rsid w:val="007B5370"/>
    <w:rsid w:val="007B61F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432A"/>
    <w:rsid w:val="007D599E"/>
    <w:rsid w:val="007D5E27"/>
    <w:rsid w:val="007D6F64"/>
    <w:rsid w:val="007E066C"/>
    <w:rsid w:val="007E25AB"/>
    <w:rsid w:val="007E2C70"/>
    <w:rsid w:val="007E5AC2"/>
    <w:rsid w:val="007E6999"/>
    <w:rsid w:val="007E79C5"/>
    <w:rsid w:val="007F0036"/>
    <w:rsid w:val="007F143A"/>
    <w:rsid w:val="007F2845"/>
    <w:rsid w:val="007F33D5"/>
    <w:rsid w:val="007F43BC"/>
    <w:rsid w:val="007F44D7"/>
    <w:rsid w:val="007F4740"/>
    <w:rsid w:val="007F5CEB"/>
    <w:rsid w:val="007F6B5C"/>
    <w:rsid w:val="008006C6"/>
    <w:rsid w:val="00800C52"/>
    <w:rsid w:val="0080153E"/>
    <w:rsid w:val="0080315D"/>
    <w:rsid w:val="008035CE"/>
    <w:rsid w:val="0080742D"/>
    <w:rsid w:val="008100AC"/>
    <w:rsid w:val="0081151E"/>
    <w:rsid w:val="00812498"/>
    <w:rsid w:val="0081263E"/>
    <w:rsid w:val="008127E6"/>
    <w:rsid w:val="0081336E"/>
    <w:rsid w:val="00813928"/>
    <w:rsid w:val="0082058C"/>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B7A"/>
    <w:rsid w:val="008409AA"/>
    <w:rsid w:val="00840FB8"/>
    <w:rsid w:val="00842529"/>
    <w:rsid w:val="00843316"/>
    <w:rsid w:val="0084353E"/>
    <w:rsid w:val="00843A7A"/>
    <w:rsid w:val="008447F5"/>
    <w:rsid w:val="00845927"/>
    <w:rsid w:val="00846292"/>
    <w:rsid w:val="00847885"/>
    <w:rsid w:val="00850413"/>
    <w:rsid w:val="008506E1"/>
    <w:rsid w:val="008515EE"/>
    <w:rsid w:val="008517E9"/>
    <w:rsid w:val="0085201D"/>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6A11"/>
    <w:rsid w:val="00867651"/>
    <w:rsid w:val="00870D04"/>
    <w:rsid w:val="0087121B"/>
    <w:rsid w:val="008714B6"/>
    <w:rsid w:val="008714DB"/>
    <w:rsid w:val="008743F3"/>
    <w:rsid w:val="0087444A"/>
    <w:rsid w:val="00875139"/>
    <w:rsid w:val="00875410"/>
    <w:rsid w:val="00875659"/>
    <w:rsid w:val="00880ED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908E5"/>
    <w:rsid w:val="00891216"/>
    <w:rsid w:val="00894FDC"/>
    <w:rsid w:val="008960BE"/>
    <w:rsid w:val="008A1094"/>
    <w:rsid w:val="008A16F9"/>
    <w:rsid w:val="008A1D3E"/>
    <w:rsid w:val="008A4B16"/>
    <w:rsid w:val="008A4D63"/>
    <w:rsid w:val="008A52D1"/>
    <w:rsid w:val="008A6D62"/>
    <w:rsid w:val="008B13E9"/>
    <w:rsid w:val="008B3B51"/>
    <w:rsid w:val="008B4057"/>
    <w:rsid w:val="008B4145"/>
    <w:rsid w:val="008B4CAC"/>
    <w:rsid w:val="008B5290"/>
    <w:rsid w:val="008B54C9"/>
    <w:rsid w:val="008B68D1"/>
    <w:rsid w:val="008C2B64"/>
    <w:rsid w:val="008C2CFD"/>
    <w:rsid w:val="008C3E9C"/>
    <w:rsid w:val="008C57D6"/>
    <w:rsid w:val="008C603A"/>
    <w:rsid w:val="008C71C8"/>
    <w:rsid w:val="008D167D"/>
    <w:rsid w:val="008D261F"/>
    <w:rsid w:val="008D2B53"/>
    <w:rsid w:val="008D46AC"/>
    <w:rsid w:val="008D492A"/>
    <w:rsid w:val="008D4B58"/>
    <w:rsid w:val="008D4B8A"/>
    <w:rsid w:val="008D5934"/>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5948"/>
    <w:rsid w:val="008F5D03"/>
    <w:rsid w:val="009006A2"/>
    <w:rsid w:val="009007A5"/>
    <w:rsid w:val="0090102B"/>
    <w:rsid w:val="00901448"/>
    <w:rsid w:val="009036BC"/>
    <w:rsid w:val="00905C47"/>
    <w:rsid w:val="00906379"/>
    <w:rsid w:val="0090638B"/>
    <w:rsid w:val="00906393"/>
    <w:rsid w:val="00907B62"/>
    <w:rsid w:val="009101EA"/>
    <w:rsid w:val="009106FC"/>
    <w:rsid w:val="0091090F"/>
    <w:rsid w:val="00911896"/>
    <w:rsid w:val="009118BB"/>
    <w:rsid w:val="0091191F"/>
    <w:rsid w:val="00914A51"/>
    <w:rsid w:val="00915B81"/>
    <w:rsid w:val="00915D6B"/>
    <w:rsid w:val="009160DF"/>
    <w:rsid w:val="009162C7"/>
    <w:rsid w:val="00916EC2"/>
    <w:rsid w:val="009213BD"/>
    <w:rsid w:val="00924627"/>
    <w:rsid w:val="009249EB"/>
    <w:rsid w:val="009250A8"/>
    <w:rsid w:val="009251C8"/>
    <w:rsid w:val="00925BE6"/>
    <w:rsid w:val="00926F61"/>
    <w:rsid w:val="00930879"/>
    <w:rsid w:val="0093123D"/>
    <w:rsid w:val="00933040"/>
    <w:rsid w:val="009330E9"/>
    <w:rsid w:val="00935D15"/>
    <w:rsid w:val="0093608D"/>
    <w:rsid w:val="009411FB"/>
    <w:rsid w:val="009414A9"/>
    <w:rsid w:val="00941B71"/>
    <w:rsid w:val="009421AD"/>
    <w:rsid w:val="0094221C"/>
    <w:rsid w:val="0094262D"/>
    <w:rsid w:val="0094409C"/>
    <w:rsid w:val="00944159"/>
    <w:rsid w:val="009444D9"/>
    <w:rsid w:val="009449B2"/>
    <w:rsid w:val="00944A82"/>
    <w:rsid w:val="0094601F"/>
    <w:rsid w:val="00946C4D"/>
    <w:rsid w:val="00950387"/>
    <w:rsid w:val="0095285B"/>
    <w:rsid w:val="00953099"/>
    <w:rsid w:val="00953FE9"/>
    <w:rsid w:val="0095481C"/>
    <w:rsid w:val="009567E6"/>
    <w:rsid w:val="00957076"/>
    <w:rsid w:val="00957132"/>
    <w:rsid w:val="009576FD"/>
    <w:rsid w:val="009578EB"/>
    <w:rsid w:val="009578FF"/>
    <w:rsid w:val="00960446"/>
    <w:rsid w:val="0096074E"/>
    <w:rsid w:val="009610ED"/>
    <w:rsid w:val="00961DDB"/>
    <w:rsid w:val="009633BB"/>
    <w:rsid w:val="0096354A"/>
    <w:rsid w:val="0096485F"/>
    <w:rsid w:val="00966B46"/>
    <w:rsid w:val="0096726D"/>
    <w:rsid w:val="00967354"/>
    <w:rsid w:val="00971592"/>
    <w:rsid w:val="00971DDF"/>
    <w:rsid w:val="009731D6"/>
    <w:rsid w:val="009744A4"/>
    <w:rsid w:val="00974746"/>
    <w:rsid w:val="00974C40"/>
    <w:rsid w:val="00975119"/>
    <w:rsid w:val="00975D75"/>
    <w:rsid w:val="00976F04"/>
    <w:rsid w:val="009775E9"/>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429B"/>
    <w:rsid w:val="00996306"/>
    <w:rsid w:val="00996744"/>
    <w:rsid w:val="009967DA"/>
    <w:rsid w:val="00997CF4"/>
    <w:rsid w:val="009A1169"/>
    <w:rsid w:val="009A1AAC"/>
    <w:rsid w:val="009A3789"/>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25F"/>
    <w:rsid w:val="009D3578"/>
    <w:rsid w:val="009D3A5F"/>
    <w:rsid w:val="009D5193"/>
    <w:rsid w:val="009D5C32"/>
    <w:rsid w:val="009D6472"/>
    <w:rsid w:val="009D79F4"/>
    <w:rsid w:val="009E3CD1"/>
    <w:rsid w:val="009E4511"/>
    <w:rsid w:val="009E5988"/>
    <w:rsid w:val="009E5AF5"/>
    <w:rsid w:val="009E5EB5"/>
    <w:rsid w:val="009E623F"/>
    <w:rsid w:val="009E74F0"/>
    <w:rsid w:val="009F0768"/>
    <w:rsid w:val="009F12F3"/>
    <w:rsid w:val="009F1F6C"/>
    <w:rsid w:val="009F7867"/>
    <w:rsid w:val="009F7D66"/>
    <w:rsid w:val="00A00BD2"/>
    <w:rsid w:val="00A00E56"/>
    <w:rsid w:val="00A027F3"/>
    <w:rsid w:val="00A02FAD"/>
    <w:rsid w:val="00A03978"/>
    <w:rsid w:val="00A05DF3"/>
    <w:rsid w:val="00A0670C"/>
    <w:rsid w:val="00A07E08"/>
    <w:rsid w:val="00A10FA3"/>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18F8"/>
    <w:rsid w:val="00A42D07"/>
    <w:rsid w:val="00A450C0"/>
    <w:rsid w:val="00A45468"/>
    <w:rsid w:val="00A455F8"/>
    <w:rsid w:val="00A4791B"/>
    <w:rsid w:val="00A503E3"/>
    <w:rsid w:val="00A50A48"/>
    <w:rsid w:val="00A51242"/>
    <w:rsid w:val="00A51522"/>
    <w:rsid w:val="00A51573"/>
    <w:rsid w:val="00A51A5E"/>
    <w:rsid w:val="00A52895"/>
    <w:rsid w:val="00A53DA0"/>
    <w:rsid w:val="00A56C4B"/>
    <w:rsid w:val="00A5765D"/>
    <w:rsid w:val="00A607CB"/>
    <w:rsid w:val="00A60FFE"/>
    <w:rsid w:val="00A6351F"/>
    <w:rsid w:val="00A643E0"/>
    <w:rsid w:val="00A65A70"/>
    <w:rsid w:val="00A662C1"/>
    <w:rsid w:val="00A66F36"/>
    <w:rsid w:val="00A676D9"/>
    <w:rsid w:val="00A67EFC"/>
    <w:rsid w:val="00A7031E"/>
    <w:rsid w:val="00A70759"/>
    <w:rsid w:val="00A71140"/>
    <w:rsid w:val="00A720B2"/>
    <w:rsid w:val="00A72B7B"/>
    <w:rsid w:val="00A74692"/>
    <w:rsid w:val="00A7618B"/>
    <w:rsid w:val="00A7640B"/>
    <w:rsid w:val="00A7778B"/>
    <w:rsid w:val="00A803BC"/>
    <w:rsid w:val="00A80969"/>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B0A32"/>
    <w:rsid w:val="00AB0E56"/>
    <w:rsid w:val="00AB3A15"/>
    <w:rsid w:val="00AB4ECC"/>
    <w:rsid w:val="00AB4FBA"/>
    <w:rsid w:val="00AB6601"/>
    <w:rsid w:val="00AB674E"/>
    <w:rsid w:val="00AB6D79"/>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9FF"/>
    <w:rsid w:val="00AD6F67"/>
    <w:rsid w:val="00AD702B"/>
    <w:rsid w:val="00AD72E6"/>
    <w:rsid w:val="00AD7311"/>
    <w:rsid w:val="00AD7C95"/>
    <w:rsid w:val="00AE0960"/>
    <w:rsid w:val="00AE0E33"/>
    <w:rsid w:val="00AE1257"/>
    <w:rsid w:val="00AE3DE1"/>
    <w:rsid w:val="00AE44AC"/>
    <w:rsid w:val="00AE6E76"/>
    <w:rsid w:val="00AE7527"/>
    <w:rsid w:val="00AF03CF"/>
    <w:rsid w:val="00AF259C"/>
    <w:rsid w:val="00AF2D54"/>
    <w:rsid w:val="00AF3458"/>
    <w:rsid w:val="00AF3F7B"/>
    <w:rsid w:val="00AF42B4"/>
    <w:rsid w:val="00AF4B8A"/>
    <w:rsid w:val="00AF4F1B"/>
    <w:rsid w:val="00AF53BE"/>
    <w:rsid w:val="00AF5EC6"/>
    <w:rsid w:val="00AF6E8A"/>
    <w:rsid w:val="00AF71D9"/>
    <w:rsid w:val="00AF7213"/>
    <w:rsid w:val="00AF7D92"/>
    <w:rsid w:val="00B011CC"/>
    <w:rsid w:val="00B024F9"/>
    <w:rsid w:val="00B04048"/>
    <w:rsid w:val="00B04F3D"/>
    <w:rsid w:val="00B0519F"/>
    <w:rsid w:val="00B056DF"/>
    <w:rsid w:val="00B05702"/>
    <w:rsid w:val="00B05FEE"/>
    <w:rsid w:val="00B06DD9"/>
    <w:rsid w:val="00B07CD6"/>
    <w:rsid w:val="00B07E52"/>
    <w:rsid w:val="00B10010"/>
    <w:rsid w:val="00B11775"/>
    <w:rsid w:val="00B12660"/>
    <w:rsid w:val="00B1274E"/>
    <w:rsid w:val="00B1302D"/>
    <w:rsid w:val="00B133E5"/>
    <w:rsid w:val="00B13B77"/>
    <w:rsid w:val="00B149A6"/>
    <w:rsid w:val="00B14DC2"/>
    <w:rsid w:val="00B1513F"/>
    <w:rsid w:val="00B15B31"/>
    <w:rsid w:val="00B15B89"/>
    <w:rsid w:val="00B1746F"/>
    <w:rsid w:val="00B17EA8"/>
    <w:rsid w:val="00B20725"/>
    <w:rsid w:val="00B20B94"/>
    <w:rsid w:val="00B22CD3"/>
    <w:rsid w:val="00B2506B"/>
    <w:rsid w:val="00B2628E"/>
    <w:rsid w:val="00B266B0"/>
    <w:rsid w:val="00B27921"/>
    <w:rsid w:val="00B3000E"/>
    <w:rsid w:val="00B326A8"/>
    <w:rsid w:val="00B329EB"/>
    <w:rsid w:val="00B33330"/>
    <w:rsid w:val="00B33508"/>
    <w:rsid w:val="00B3377E"/>
    <w:rsid w:val="00B35BC9"/>
    <w:rsid w:val="00B35DA4"/>
    <w:rsid w:val="00B36B65"/>
    <w:rsid w:val="00B40A96"/>
    <w:rsid w:val="00B4184B"/>
    <w:rsid w:val="00B422A7"/>
    <w:rsid w:val="00B42A32"/>
    <w:rsid w:val="00B42FA6"/>
    <w:rsid w:val="00B4399E"/>
    <w:rsid w:val="00B43A16"/>
    <w:rsid w:val="00B44B71"/>
    <w:rsid w:val="00B45317"/>
    <w:rsid w:val="00B45C10"/>
    <w:rsid w:val="00B45CE1"/>
    <w:rsid w:val="00B46A75"/>
    <w:rsid w:val="00B46FB7"/>
    <w:rsid w:val="00B500CD"/>
    <w:rsid w:val="00B5239C"/>
    <w:rsid w:val="00B52FD2"/>
    <w:rsid w:val="00B53893"/>
    <w:rsid w:val="00B53E5A"/>
    <w:rsid w:val="00B548C2"/>
    <w:rsid w:val="00B55428"/>
    <w:rsid w:val="00B55E5C"/>
    <w:rsid w:val="00B570BF"/>
    <w:rsid w:val="00B57144"/>
    <w:rsid w:val="00B5729A"/>
    <w:rsid w:val="00B61188"/>
    <w:rsid w:val="00B61BE9"/>
    <w:rsid w:val="00B63337"/>
    <w:rsid w:val="00B6369F"/>
    <w:rsid w:val="00B639D7"/>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6E3"/>
    <w:rsid w:val="00B84E9C"/>
    <w:rsid w:val="00B85522"/>
    <w:rsid w:val="00B869DF"/>
    <w:rsid w:val="00B90E2A"/>
    <w:rsid w:val="00B90F2A"/>
    <w:rsid w:val="00B9198D"/>
    <w:rsid w:val="00B93008"/>
    <w:rsid w:val="00B9406D"/>
    <w:rsid w:val="00B944C0"/>
    <w:rsid w:val="00B94BA7"/>
    <w:rsid w:val="00B94BE9"/>
    <w:rsid w:val="00B94E0E"/>
    <w:rsid w:val="00B97CA3"/>
    <w:rsid w:val="00BA143E"/>
    <w:rsid w:val="00BA3D7B"/>
    <w:rsid w:val="00BA76A9"/>
    <w:rsid w:val="00BB3E2B"/>
    <w:rsid w:val="00BB5043"/>
    <w:rsid w:val="00BB5D1C"/>
    <w:rsid w:val="00BB6552"/>
    <w:rsid w:val="00BB6B9B"/>
    <w:rsid w:val="00BB754F"/>
    <w:rsid w:val="00BC07D4"/>
    <w:rsid w:val="00BC0A5D"/>
    <w:rsid w:val="00BC0BE3"/>
    <w:rsid w:val="00BC1AD9"/>
    <w:rsid w:val="00BC32E7"/>
    <w:rsid w:val="00BC478E"/>
    <w:rsid w:val="00BC55EF"/>
    <w:rsid w:val="00BC58B9"/>
    <w:rsid w:val="00BC6A49"/>
    <w:rsid w:val="00BD0E81"/>
    <w:rsid w:val="00BD399D"/>
    <w:rsid w:val="00BD3E68"/>
    <w:rsid w:val="00BD598A"/>
    <w:rsid w:val="00BD692E"/>
    <w:rsid w:val="00BD75B4"/>
    <w:rsid w:val="00BD7BFE"/>
    <w:rsid w:val="00BD7D14"/>
    <w:rsid w:val="00BE02B4"/>
    <w:rsid w:val="00BE0A4E"/>
    <w:rsid w:val="00BE1553"/>
    <w:rsid w:val="00BE2797"/>
    <w:rsid w:val="00BE32E1"/>
    <w:rsid w:val="00BE3BE1"/>
    <w:rsid w:val="00BE4EC9"/>
    <w:rsid w:val="00BE631E"/>
    <w:rsid w:val="00BF0BD4"/>
    <w:rsid w:val="00BF0CCF"/>
    <w:rsid w:val="00BF0FC5"/>
    <w:rsid w:val="00BF10BC"/>
    <w:rsid w:val="00BF21AC"/>
    <w:rsid w:val="00BF2E53"/>
    <w:rsid w:val="00BF3133"/>
    <w:rsid w:val="00BF3669"/>
    <w:rsid w:val="00BF3C0D"/>
    <w:rsid w:val="00BF711C"/>
    <w:rsid w:val="00BF7C74"/>
    <w:rsid w:val="00C00ED8"/>
    <w:rsid w:val="00C02E65"/>
    <w:rsid w:val="00C03309"/>
    <w:rsid w:val="00C067D5"/>
    <w:rsid w:val="00C072FE"/>
    <w:rsid w:val="00C12E39"/>
    <w:rsid w:val="00C1339A"/>
    <w:rsid w:val="00C14164"/>
    <w:rsid w:val="00C15D8E"/>
    <w:rsid w:val="00C17012"/>
    <w:rsid w:val="00C178FB"/>
    <w:rsid w:val="00C22B28"/>
    <w:rsid w:val="00C22B5A"/>
    <w:rsid w:val="00C24077"/>
    <w:rsid w:val="00C257B7"/>
    <w:rsid w:val="00C272E8"/>
    <w:rsid w:val="00C311EC"/>
    <w:rsid w:val="00C320C0"/>
    <w:rsid w:val="00C321F5"/>
    <w:rsid w:val="00C33359"/>
    <w:rsid w:val="00C348D6"/>
    <w:rsid w:val="00C35389"/>
    <w:rsid w:val="00C365E7"/>
    <w:rsid w:val="00C36E34"/>
    <w:rsid w:val="00C404EE"/>
    <w:rsid w:val="00C40D2D"/>
    <w:rsid w:val="00C40FC3"/>
    <w:rsid w:val="00C4171B"/>
    <w:rsid w:val="00C42689"/>
    <w:rsid w:val="00C42988"/>
    <w:rsid w:val="00C42BD4"/>
    <w:rsid w:val="00C43547"/>
    <w:rsid w:val="00C43FF0"/>
    <w:rsid w:val="00C44641"/>
    <w:rsid w:val="00C45EF5"/>
    <w:rsid w:val="00C46B7E"/>
    <w:rsid w:val="00C50A4E"/>
    <w:rsid w:val="00C50CE4"/>
    <w:rsid w:val="00C51A73"/>
    <w:rsid w:val="00C520B1"/>
    <w:rsid w:val="00C522D6"/>
    <w:rsid w:val="00C53228"/>
    <w:rsid w:val="00C54020"/>
    <w:rsid w:val="00C5406F"/>
    <w:rsid w:val="00C545C5"/>
    <w:rsid w:val="00C55566"/>
    <w:rsid w:val="00C6038F"/>
    <w:rsid w:val="00C61D4B"/>
    <w:rsid w:val="00C62B0A"/>
    <w:rsid w:val="00C63F08"/>
    <w:rsid w:val="00C640FE"/>
    <w:rsid w:val="00C6528C"/>
    <w:rsid w:val="00C661E8"/>
    <w:rsid w:val="00C6648F"/>
    <w:rsid w:val="00C70084"/>
    <w:rsid w:val="00C70C3C"/>
    <w:rsid w:val="00C70FD6"/>
    <w:rsid w:val="00C7235B"/>
    <w:rsid w:val="00C72385"/>
    <w:rsid w:val="00C72E18"/>
    <w:rsid w:val="00C731AD"/>
    <w:rsid w:val="00C73553"/>
    <w:rsid w:val="00C7380B"/>
    <w:rsid w:val="00C74421"/>
    <w:rsid w:val="00C7542D"/>
    <w:rsid w:val="00C75F2F"/>
    <w:rsid w:val="00C75FEE"/>
    <w:rsid w:val="00C76F1D"/>
    <w:rsid w:val="00C77D26"/>
    <w:rsid w:val="00C80BDF"/>
    <w:rsid w:val="00C84D39"/>
    <w:rsid w:val="00C85277"/>
    <w:rsid w:val="00C8562B"/>
    <w:rsid w:val="00C85D76"/>
    <w:rsid w:val="00C869A3"/>
    <w:rsid w:val="00C8700A"/>
    <w:rsid w:val="00C873AC"/>
    <w:rsid w:val="00C906C6"/>
    <w:rsid w:val="00C917A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779"/>
    <w:rsid w:val="00CA4F8B"/>
    <w:rsid w:val="00CA519F"/>
    <w:rsid w:val="00CB09DA"/>
    <w:rsid w:val="00CB0BD9"/>
    <w:rsid w:val="00CB1CAC"/>
    <w:rsid w:val="00CB1D87"/>
    <w:rsid w:val="00CB1DE8"/>
    <w:rsid w:val="00CB1E3B"/>
    <w:rsid w:val="00CB1F1D"/>
    <w:rsid w:val="00CB4212"/>
    <w:rsid w:val="00CB600D"/>
    <w:rsid w:val="00CB71F8"/>
    <w:rsid w:val="00CB7EE0"/>
    <w:rsid w:val="00CC26DB"/>
    <w:rsid w:val="00CC300C"/>
    <w:rsid w:val="00CC35AE"/>
    <w:rsid w:val="00CC3DAA"/>
    <w:rsid w:val="00CC43B0"/>
    <w:rsid w:val="00CC49C7"/>
    <w:rsid w:val="00CC4C2C"/>
    <w:rsid w:val="00CC5057"/>
    <w:rsid w:val="00CC5603"/>
    <w:rsid w:val="00CC587F"/>
    <w:rsid w:val="00CD078F"/>
    <w:rsid w:val="00CD121E"/>
    <w:rsid w:val="00CD1922"/>
    <w:rsid w:val="00CD28F0"/>
    <w:rsid w:val="00CD386B"/>
    <w:rsid w:val="00CD3ED8"/>
    <w:rsid w:val="00CD736C"/>
    <w:rsid w:val="00CD761D"/>
    <w:rsid w:val="00CD76B5"/>
    <w:rsid w:val="00CE2346"/>
    <w:rsid w:val="00CE2B02"/>
    <w:rsid w:val="00CE4F2D"/>
    <w:rsid w:val="00CE6A8A"/>
    <w:rsid w:val="00CE6F0F"/>
    <w:rsid w:val="00CE7C7C"/>
    <w:rsid w:val="00CF002F"/>
    <w:rsid w:val="00CF0246"/>
    <w:rsid w:val="00CF0C02"/>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13DA"/>
    <w:rsid w:val="00D12325"/>
    <w:rsid w:val="00D14487"/>
    <w:rsid w:val="00D145A6"/>
    <w:rsid w:val="00D15E7E"/>
    <w:rsid w:val="00D162EF"/>
    <w:rsid w:val="00D17F03"/>
    <w:rsid w:val="00D20016"/>
    <w:rsid w:val="00D207A7"/>
    <w:rsid w:val="00D20CD6"/>
    <w:rsid w:val="00D20E00"/>
    <w:rsid w:val="00D21DBE"/>
    <w:rsid w:val="00D2244B"/>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3626A"/>
    <w:rsid w:val="00D376F7"/>
    <w:rsid w:val="00D41004"/>
    <w:rsid w:val="00D42240"/>
    <w:rsid w:val="00D427C3"/>
    <w:rsid w:val="00D42EB8"/>
    <w:rsid w:val="00D44922"/>
    <w:rsid w:val="00D44932"/>
    <w:rsid w:val="00D46111"/>
    <w:rsid w:val="00D47953"/>
    <w:rsid w:val="00D47C16"/>
    <w:rsid w:val="00D502AF"/>
    <w:rsid w:val="00D50709"/>
    <w:rsid w:val="00D50764"/>
    <w:rsid w:val="00D50C12"/>
    <w:rsid w:val="00D518FF"/>
    <w:rsid w:val="00D51A77"/>
    <w:rsid w:val="00D52751"/>
    <w:rsid w:val="00D5354F"/>
    <w:rsid w:val="00D53649"/>
    <w:rsid w:val="00D53830"/>
    <w:rsid w:val="00D53DCD"/>
    <w:rsid w:val="00D54695"/>
    <w:rsid w:val="00D54FB3"/>
    <w:rsid w:val="00D55889"/>
    <w:rsid w:val="00D56B5F"/>
    <w:rsid w:val="00D57A3F"/>
    <w:rsid w:val="00D57AF0"/>
    <w:rsid w:val="00D57DCF"/>
    <w:rsid w:val="00D61FC2"/>
    <w:rsid w:val="00D62ECD"/>
    <w:rsid w:val="00D630F6"/>
    <w:rsid w:val="00D64426"/>
    <w:rsid w:val="00D645A3"/>
    <w:rsid w:val="00D65D78"/>
    <w:rsid w:val="00D67BC5"/>
    <w:rsid w:val="00D7021B"/>
    <w:rsid w:val="00D7073E"/>
    <w:rsid w:val="00D70D33"/>
    <w:rsid w:val="00D71749"/>
    <w:rsid w:val="00D73077"/>
    <w:rsid w:val="00D736A2"/>
    <w:rsid w:val="00D73C57"/>
    <w:rsid w:val="00D742FF"/>
    <w:rsid w:val="00D758B3"/>
    <w:rsid w:val="00D76ADC"/>
    <w:rsid w:val="00D77413"/>
    <w:rsid w:val="00D80F4C"/>
    <w:rsid w:val="00D81F10"/>
    <w:rsid w:val="00D8201E"/>
    <w:rsid w:val="00D840D1"/>
    <w:rsid w:val="00D84A57"/>
    <w:rsid w:val="00D84C3B"/>
    <w:rsid w:val="00D86873"/>
    <w:rsid w:val="00D874DF"/>
    <w:rsid w:val="00D87A12"/>
    <w:rsid w:val="00D90C06"/>
    <w:rsid w:val="00D918F4"/>
    <w:rsid w:val="00D91E13"/>
    <w:rsid w:val="00D930E1"/>
    <w:rsid w:val="00D9415C"/>
    <w:rsid w:val="00D942CC"/>
    <w:rsid w:val="00D94ADE"/>
    <w:rsid w:val="00D94D87"/>
    <w:rsid w:val="00D962DC"/>
    <w:rsid w:val="00D96648"/>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45C0"/>
    <w:rsid w:val="00DC6C1E"/>
    <w:rsid w:val="00DC708C"/>
    <w:rsid w:val="00DC7951"/>
    <w:rsid w:val="00DD0F95"/>
    <w:rsid w:val="00DD192B"/>
    <w:rsid w:val="00DD1C4B"/>
    <w:rsid w:val="00DD1F7B"/>
    <w:rsid w:val="00DD229E"/>
    <w:rsid w:val="00DD3029"/>
    <w:rsid w:val="00DD4D01"/>
    <w:rsid w:val="00DD55E0"/>
    <w:rsid w:val="00DD5E12"/>
    <w:rsid w:val="00DD6A61"/>
    <w:rsid w:val="00DE0C66"/>
    <w:rsid w:val="00DE1904"/>
    <w:rsid w:val="00DE2589"/>
    <w:rsid w:val="00DE3202"/>
    <w:rsid w:val="00DE3DBB"/>
    <w:rsid w:val="00DE43A2"/>
    <w:rsid w:val="00DE4A74"/>
    <w:rsid w:val="00DE4B05"/>
    <w:rsid w:val="00DE541C"/>
    <w:rsid w:val="00DE5AFF"/>
    <w:rsid w:val="00DE5F40"/>
    <w:rsid w:val="00DE737B"/>
    <w:rsid w:val="00DF0587"/>
    <w:rsid w:val="00DF100B"/>
    <w:rsid w:val="00DF23CA"/>
    <w:rsid w:val="00DF2929"/>
    <w:rsid w:val="00DF2ED3"/>
    <w:rsid w:val="00DF3B76"/>
    <w:rsid w:val="00DF4359"/>
    <w:rsid w:val="00DF4D53"/>
    <w:rsid w:val="00DF7742"/>
    <w:rsid w:val="00DF7751"/>
    <w:rsid w:val="00E004EA"/>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0CCC"/>
    <w:rsid w:val="00E215CE"/>
    <w:rsid w:val="00E231D6"/>
    <w:rsid w:val="00E239D1"/>
    <w:rsid w:val="00E26727"/>
    <w:rsid w:val="00E26970"/>
    <w:rsid w:val="00E27791"/>
    <w:rsid w:val="00E30F2D"/>
    <w:rsid w:val="00E313D4"/>
    <w:rsid w:val="00E319DB"/>
    <w:rsid w:val="00E31AFC"/>
    <w:rsid w:val="00E33B0B"/>
    <w:rsid w:val="00E3409E"/>
    <w:rsid w:val="00E34F76"/>
    <w:rsid w:val="00E36F36"/>
    <w:rsid w:val="00E372D9"/>
    <w:rsid w:val="00E37BE5"/>
    <w:rsid w:val="00E41A27"/>
    <w:rsid w:val="00E4285A"/>
    <w:rsid w:val="00E430C7"/>
    <w:rsid w:val="00E45832"/>
    <w:rsid w:val="00E4608B"/>
    <w:rsid w:val="00E461CA"/>
    <w:rsid w:val="00E47CFA"/>
    <w:rsid w:val="00E501D3"/>
    <w:rsid w:val="00E5234E"/>
    <w:rsid w:val="00E53A01"/>
    <w:rsid w:val="00E54961"/>
    <w:rsid w:val="00E554B0"/>
    <w:rsid w:val="00E564C4"/>
    <w:rsid w:val="00E567C9"/>
    <w:rsid w:val="00E604C4"/>
    <w:rsid w:val="00E60809"/>
    <w:rsid w:val="00E60991"/>
    <w:rsid w:val="00E61300"/>
    <w:rsid w:val="00E614F2"/>
    <w:rsid w:val="00E635B9"/>
    <w:rsid w:val="00E65D15"/>
    <w:rsid w:val="00E66C49"/>
    <w:rsid w:val="00E67EE5"/>
    <w:rsid w:val="00E7013A"/>
    <w:rsid w:val="00E74453"/>
    <w:rsid w:val="00E74F5D"/>
    <w:rsid w:val="00E76034"/>
    <w:rsid w:val="00E767D3"/>
    <w:rsid w:val="00E80440"/>
    <w:rsid w:val="00E80515"/>
    <w:rsid w:val="00E81752"/>
    <w:rsid w:val="00E817E0"/>
    <w:rsid w:val="00E819FB"/>
    <w:rsid w:val="00E82B3D"/>
    <w:rsid w:val="00E82EE4"/>
    <w:rsid w:val="00E831E7"/>
    <w:rsid w:val="00E843B5"/>
    <w:rsid w:val="00E84A3B"/>
    <w:rsid w:val="00E85307"/>
    <w:rsid w:val="00E87E13"/>
    <w:rsid w:val="00E907E4"/>
    <w:rsid w:val="00E90A24"/>
    <w:rsid w:val="00E90C34"/>
    <w:rsid w:val="00E919AC"/>
    <w:rsid w:val="00E91AC8"/>
    <w:rsid w:val="00E946A6"/>
    <w:rsid w:val="00E947E4"/>
    <w:rsid w:val="00E94C9F"/>
    <w:rsid w:val="00E96A29"/>
    <w:rsid w:val="00E96B28"/>
    <w:rsid w:val="00E96FE6"/>
    <w:rsid w:val="00E97652"/>
    <w:rsid w:val="00E9765F"/>
    <w:rsid w:val="00EA0A5C"/>
    <w:rsid w:val="00EA0AD2"/>
    <w:rsid w:val="00EA0CF0"/>
    <w:rsid w:val="00EA1D43"/>
    <w:rsid w:val="00EA20B0"/>
    <w:rsid w:val="00EA4A9D"/>
    <w:rsid w:val="00EA4EC9"/>
    <w:rsid w:val="00EA5E0F"/>
    <w:rsid w:val="00EA6FE4"/>
    <w:rsid w:val="00EA7723"/>
    <w:rsid w:val="00EA7F4C"/>
    <w:rsid w:val="00EB1D47"/>
    <w:rsid w:val="00EB2146"/>
    <w:rsid w:val="00EB2317"/>
    <w:rsid w:val="00EB279B"/>
    <w:rsid w:val="00EB2ABB"/>
    <w:rsid w:val="00EB4873"/>
    <w:rsid w:val="00EB55CA"/>
    <w:rsid w:val="00EB584C"/>
    <w:rsid w:val="00EB5D88"/>
    <w:rsid w:val="00EB7307"/>
    <w:rsid w:val="00EC14B0"/>
    <w:rsid w:val="00EC204E"/>
    <w:rsid w:val="00EC249E"/>
    <w:rsid w:val="00EC2CFF"/>
    <w:rsid w:val="00EC440C"/>
    <w:rsid w:val="00EC4D33"/>
    <w:rsid w:val="00EC5F2F"/>
    <w:rsid w:val="00EC651E"/>
    <w:rsid w:val="00EC692E"/>
    <w:rsid w:val="00EC745E"/>
    <w:rsid w:val="00EC7EAF"/>
    <w:rsid w:val="00ED1759"/>
    <w:rsid w:val="00ED27C3"/>
    <w:rsid w:val="00ED33AE"/>
    <w:rsid w:val="00ED3775"/>
    <w:rsid w:val="00ED427D"/>
    <w:rsid w:val="00ED4A6D"/>
    <w:rsid w:val="00ED6D4A"/>
    <w:rsid w:val="00ED6E42"/>
    <w:rsid w:val="00ED738C"/>
    <w:rsid w:val="00ED7918"/>
    <w:rsid w:val="00ED7FD3"/>
    <w:rsid w:val="00EE3663"/>
    <w:rsid w:val="00EE41C4"/>
    <w:rsid w:val="00EE4A40"/>
    <w:rsid w:val="00EE76A9"/>
    <w:rsid w:val="00EE799E"/>
    <w:rsid w:val="00EE7C7E"/>
    <w:rsid w:val="00EE7CA8"/>
    <w:rsid w:val="00EE7FA7"/>
    <w:rsid w:val="00EF1093"/>
    <w:rsid w:val="00EF1FCB"/>
    <w:rsid w:val="00EF21C3"/>
    <w:rsid w:val="00EF2E6B"/>
    <w:rsid w:val="00EF6091"/>
    <w:rsid w:val="00F0030E"/>
    <w:rsid w:val="00F00405"/>
    <w:rsid w:val="00F00CD1"/>
    <w:rsid w:val="00F01E6B"/>
    <w:rsid w:val="00F0241C"/>
    <w:rsid w:val="00F04091"/>
    <w:rsid w:val="00F05759"/>
    <w:rsid w:val="00F10CB9"/>
    <w:rsid w:val="00F110D5"/>
    <w:rsid w:val="00F12351"/>
    <w:rsid w:val="00F16739"/>
    <w:rsid w:val="00F16DE2"/>
    <w:rsid w:val="00F17C5F"/>
    <w:rsid w:val="00F2052B"/>
    <w:rsid w:val="00F210C7"/>
    <w:rsid w:val="00F213FF"/>
    <w:rsid w:val="00F2260F"/>
    <w:rsid w:val="00F242AD"/>
    <w:rsid w:val="00F247F2"/>
    <w:rsid w:val="00F252A8"/>
    <w:rsid w:val="00F2608D"/>
    <w:rsid w:val="00F265F7"/>
    <w:rsid w:val="00F26C83"/>
    <w:rsid w:val="00F27C15"/>
    <w:rsid w:val="00F27FA6"/>
    <w:rsid w:val="00F33DC8"/>
    <w:rsid w:val="00F34350"/>
    <w:rsid w:val="00F34444"/>
    <w:rsid w:val="00F34F36"/>
    <w:rsid w:val="00F360A6"/>
    <w:rsid w:val="00F36F33"/>
    <w:rsid w:val="00F4065A"/>
    <w:rsid w:val="00F40F19"/>
    <w:rsid w:val="00F423D5"/>
    <w:rsid w:val="00F4275C"/>
    <w:rsid w:val="00F45381"/>
    <w:rsid w:val="00F45693"/>
    <w:rsid w:val="00F47983"/>
    <w:rsid w:val="00F47C8B"/>
    <w:rsid w:val="00F506DF"/>
    <w:rsid w:val="00F51F04"/>
    <w:rsid w:val="00F52339"/>
    <w:rsid w:val="00F5277A"/>
    <w:rsid w:val="00F532E8"/>
    <w:rsid w:val="00F537FF"/>
    <w:rsid w:val="00F560FE"/>
    <w:rsid w:val="00F605B6"/>
    <w:rsid w:val="00F6111C"/>
    <w:rsid w:val="00F613EC"/>
    <w:rsid w:val="00F614C0"/>
    <w:rsid w:val="00F61647"/>
    <w:rsid w:val="00F61F5F"/>
    <w:rsid w:val="00F656ED"/>
    <w:rsid w:val="00F657CF"/>
    <w:rsid w:val="00F66A00"/>
    <w:rsid w:val="00F713A3"/>
    <w:rsid w:val="00F719B0"/>
    <w:rsid w:val="00F71A8F"/>
    <w:rsid w:val="00F73E5A"/>
    <w:rsid w:val="00F75330"/>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2EC3"/>
    <w:rsid w:val="00F93710"/>
    <w:rsid w:val="00F9397A"/>
    <w:rsid w:val="00F93A37"/>
    <w:rsid w:val="00F94182"/>
    <w:rsid w:val="00F944D9"/>
    <w:rsid w:val="00F94DB3"/>
    <w:rsid w:val="00F9606C"/>
    <w:rsid w:val="00F96500"/>
    <w:rsid w:val="00FA0509"/>
    <w:rsid w:val="00FA2B86"/>
    <w:rsid w:val="00FA2C70"/>
    <w:rsid w:val="00FA3F80"/>
    <w:rsid w:val="00FA413A"/>
    <w:rsid w:val="00FA4144"/>
    <w:rsid w:val="00FA4DDF"/>
    <w:rsid w:val="00FA68DC"/>
    <w:rsid w:val="00FA6E7F"/>
    <w:rsid w:val="00FA7114"/>
    <w:rsid w:val="00FB0826"/>
    <w:rsid w:val="00FB1383"/>
    <w:rsid w:val="00FB2379"/>
    <w:rsid w:val="00FB4B8A"/>
    <w:rsid w:val="00FB5152"/>
    <w:rsid w:val="00FB59FD"/>
    <w:rsid w:val="00FB680E"/>
    <w:rsid w:val="00FC0065"/>
    <w:rsid w:val="00FC3AEE"/>
    <w:rsid w:val="00FC6238"/>
    <w:rsid w:val="00FC78AD"/>
    <w:rsid w:val="00FD0D70"/>
    <w:rsid w:val="00FD33FC"/>
    <w:rsid w:val="00FD3730"/>
    <w:rsid w:val="00FD3A9B"/>
    <w:rsid w:val="00FD3ADE"/>
    <w:rsid w:val="00FD3B08"/>
    <w:rsid w:val="00FD4806"/>
    <w:rsid w:val="00FD4BA4"/>
    <w:rsid w:val="00FD4DD3"/>
    <w:rsid w:val="00FD534E"/>
    <w:rsid w:val="00FD56C7"/>
    <w:rsid w:val="00FD5CBB"/>
    <w:rsid w:val="00FD5F24"/>
    <w:rsid w:val="00FD6B74"/>
    <w:rsid w:val="00FD70AE"/>
    <w:rsid w:val="00FE002E"/>
    <w:rsid w:val="00FE04B0"/>
    <w:rsid w:val="00FE2398"/>
    <w:rsid w:val="00FE515A"/>
    <w:rsid w:val="00FE5624"/>
    <w:rsid w:val="00FE5D2C"/>
    <w:rsid w:val="00FE5FBF"/>
    <w:rsid w:val="00FE6C25"/>
    <w:rsid w:val="00FF000F"/>
    <w:rsid w:val="00FF0212"/>
    <w:rsid w:val="00FF033A"/>
    <w:rsid w:val="00FF035A"/>
    <w:rsid w:val="00FF04F9"/>
    <w:rsid w:val="00FF0964"/>
    <w:rsid w:val="00FF16F2"/>
    <w:rsid w:val="00FF1D24"/>
    <w:rsid w:val="00FF2B42"/>
    <w:rsid w:val="00FF3413"/>
    <w:rsid w:val="00FF3B7F"/>
    <w:rsid w:val="00FF6822"/>
    <w:rsid w:val="00FF73D0"/>
    <w:rsid w:val="05FE66B3"/>
    <w:rsid w:val="0FDC08DB"/>
    <w:rsid w:val="17124F94"/>
    <w:rsid w:val="34B8A9D4"/>
    <w:rsid w:val="50F6EDAA"/>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6"/>
      </w:numPr>
      <w:outlineLvl w:val="5"/>
    </w:pPr>
  </w:style>
  <w:style w:type="paragraph" w:styleId="Heading7">
    <w:name w:val="heading 7"/>
    <w:basedOn w:val="H6"/>
    <w:next w:val="Normal"/>
    <w:qFormat/>
    <w:rsid w:val="005831DD"/>
    <w:pPr>
      <w:numPr>
        <w:ilvl w:val="6"/>
        <w:numId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B1Zchn">
    <w:name w:val="B1 Zchn"/>
    <w:rsid w:val="008B54C9"/>
    <w:rPr>
      <w:lang w:eastAsia="en-US"/>
    </w:rPr>
  </w:style>
  <w:style w:type="character" w:customStyle="1" w:styleId="B2Char">
    <w:name w:val="B2 Char"/>
    <w:link w:val="B2"/>
    <w:rsid w:val="008B54C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184525">
      <w:bodyDiv w:val="1"/>
      <w:marLeft w:val="0"/>
      <w:marRight w:val="0"/>
      <w:marTop w:val="0"/>
      <w:marBottom w:val="0"/>
      <w:divBdr>
        <w:top w:val="none" w:sz="0" w:space="0" w:color="auto"/>
        <w:left w:val="none" w:sz="0" w:space="0" w:color="auto"/>
        <w:bottom w:val="none" w:sz="0" w:space="0" w:color="auto"/>
        <w:right w:val="none" w:sz="0" w:space="0" w:color="auto"/>
      </w:divBdr>
      <w:divsChild>
        <w:div w:id="1410158855">
          <w:marLeft w:val="547"/>
          <w:marRight w:val="0"/>
          <w:marTop w:val="0"/>
          <w:marBottom w:val="0"/>
          <w:divBdr>
            <w:top w:val="none" w:sz="0" w:space="0" w:color="auto"/>
            <w:left w:val="none" w:sz="0" w:space="0" w:color="auto"/>
            <w:bottom w:val="none" w:sz="0" w:space="0" w:color="auto"/>
            <w:right w:val="none" w:sz="0" w:space="0" w:color="auto"/>
          </w:divBdr>
        </w:div>
        <w:div w:id="956646419">
          <w:marLeft w:val="1166"/>
          <w:marRight w:val="0"/>
          <w:marTop w:val="0"/>
          <w:marBottom w:val="0"/>
          <w:divBdr>
            <w:top w:val="none" w:sz="0" w:space="0" w:color="auto"/>
            <w:left w:val="none" w:sz="0" w:space="0" w:color="auto"/>
            <w:bottom w:val="none" w:sz="0" w:space="0" w:color="auto"/>
            <w:right w:val="none" w:sz="0" w:space="0" w:color="auto"/>
          </w:divBdr>
        </w:div>
        <w:div w:id="394398335">
          <w:marLeft w:val="1166"/>
          <w:marRight w:val="0"/>
          <w:marTop w:val="0"/>
          <w:marBottom w:val="0"/>
          <w:divBdr>
            <w:top w:val="none" w:sz="0" w:space="0" w:color="auto"/>
            <w:left w:val="none" w:sz="0" w:space="0" w:color="auto"/>
            <w:bottom w:val="none" w:sz="0" w:space="0" w:color="auto"/>
            <w:right w:val="none" w:sz="0" w:space="0" w:color="auto"/>
          </w:divBdr>
        </w:div>
        <w:div w:id="1830320635">
          <w:marLeft w:val="1800"/>
          <w:marRight w:val="0"/>
          <w:marTop w:val="0"/>
          <w:marBottom w:val="0"/>
          <w:divBdr>
            <w:top w:val="none" w:sz="0" w:space="0" w:color="auto"/>
            <w:left w:val="none" w:sz="0" w:space="0" w:color="auto"/>
            <w:bottom w:val="none" w:sz="0" w:space="0" w:color="auto"/>
            <w:right w:val="none" w:sz="0" w:space="0" w:color="auto"/>
          </w:divBdr>
        </w:div>
        <w:div w:id="1325469772">
          <w:marLeft w:val="1800"/>
          <w:marRight w:val="0"/>
          <w:marTop w:val="0"/>
          <w:marBottom w:val="0"/>
          <w:divBdr>
            <w:top w:val="none" w:sz="0" w:space="0" w:color="auto"/>
            <w:left w:val="none" w:sz="0" w:space="0" w:color="auto"/>
            <w:bottom w:val="none" w:sz="0" w:space="0" w:color="auto"/>
            <w:right w:val="none" w:sz="0" w:space="0" w:color="auto"/>
          </w:divBdr>
        </w:div>
        <w:div w:id="375198722">
          <w:marLeft w:val="1800"/>
          <w:marRight w:val="0"/>
          <w:marTop w:val="0"/>
          <w:marBottom w:val="0"/>
          <w:divBdr>
            <w:top w:val="none" w:sz="0" w:space="0" w:color="auto"/>
            <w:left w:val="none" w:sz="0" w:space="0" w:color="auto"/>
            <w:bottom w:val="none" w:sz="0" w:space="0" w:color="auto"/>
            <w:right w:val="none" w:sz="0" w:space="0" w:color="auto"/>
          </w:divBdr>
        </w:div>
        <w:div w:id="575012952">
          <w:marLeft w:val="2520"/>
          <w:marRight w:val="0"/>
          <w:marTop w:val="0"/>
          <w:marBottom w:val="0"/>
          <w:divBdr>
            <w:top w:val="none" w:sz="0" w:space="0" w:color="auto"/>
            <w:left w:val="none" w:sz="0" w:space="0" w:color="auto"/>
            <w:bottom w:val="none" w:sz="0" w:space="0" w:color="auto"/>
            <w:right w:val="none" w:sz="0" w:space="0" w:color="auto"/>
          </w:divBdr>
        </w:div>
        <w:div w:id="1873568161">
          <w:marLeft w:val="1166"/>
          <w:marRight w:val="0"/>
          <w:marTop w:val="0"/>
          <w:marBottom w:val="0"/>
          <w:divBdr>
            <w:top w:val="none" w:sz="0" w:space="0" w:color="auto"/>
            <w:left w:val="none" w:sz="0" w:space="0" w:color="auto"/>
            <w:bottom w:val="none" w:sz="0" w:space="0" w:color="auto"/>
            <w:right w:val="none" w:sz="0" w:space="0" w:color="auto"/>
          </w:divBdr>
        </w:div>
        <w:div w:id="363949375">
          <w:marLeft w:val="1800"/>
          <w:marRight w:val="0"/>
          <w:marTop w:val="0"/>
          <w:marBottom w:val="0"/>
          <w:divBdr>
            <w:top w:val="none" w:sz="0" w:space="0" w:color="auto"/>
            <w:left w:val="none" w:sz="0" w:space="0" w:color="auto"/>
            <w:bottom w:val="none" w:sz="0" w:space="0" w:color="auto"/>
            <w:right w:val="none" w:sz="0" w:space="0" w:color="auto"/>
          </w:divBdr>
        </w:div>
        <w:div w:id="2013070080">
          <w:marLeft w:val="1800"/>
          <w:marRight w:val="0"/>
          <w:marTop w:val="0"/>
          <w:marBottom w:val="0"/>
          <w:divBdr>
            <w:top w:val="none" w:sz="0" w:space="0" w:color="auto"/>
            <w:left w:val="none" w:sz="0" w:space="0" w:color="auto"/>
            <w:bottom w:val="none" w:sz="0" w:space="0" w:color="auto"/>
            <w:right w:val="none" w:sz="0" w:space="0" w:color="auto"/>
          </w:divBdr>
        </w:div>
        <w:div w:id="1871065829">
          <w:marLeft w:val="1800"/>
          <w:marRight w:val="0"/>
          <w:marTop w:val="0"/>
          <w:marBottom w:val="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1230365">
      <w:bodyDiv w:val="1"/>
      <w:marLeft w:val="0"/>
      <w:marRight w:val="0"/>
      <w:marTop w:val="0"/>
      <w:marBottom w:val="0"/>
      <w:divBdr>
        <w:top w:val="none" w:sz="0" w:space="0" w:color="auto"/>
        <w:left w:val="none" w:sz="0" w:space="0" w:color="auto"/>
        <w:bottom w:val="none" w:sz="0" w:space="0" w:color="auto"/>
        <w:right w:val="none" w:sz="0" w:space="0" w:color="auto"/>
      </w:divBdr>
      <w:divsChild>
        <w:div w:id="873229852">
          <w:marLeft w:val="547"/>
          <w:marRight w:val="0"/>
          <w:marTop w:val="0"/>
          <w:marBottom w:val="0"/>
          <w:divBdr>
            <w:top w:val="none" w:sz="0" w:space="0" w:color="auto"/>
            <w:left w:val="none" w:sz="0" w:space="0" w:color="auto"/>
            <w:bottom w:val="none" w:sz="0" w:space="0" w:color="auto"/>
            <w:right w:val="none" w:sz="0" w:space="0" w:color="auto"/>
          </w:divBdr>
        </w:div>
        <w:div w:id="237515985">
          <w:marLeft w:val="1166"/>
          <w:marRight w:val="0"/>
          <w:marTop w:val="0"/>
          <w:marBottom w:val="0"/>
          <w:divBdr>
            <w:top w:val="none" w:sz="0" w:space="0" w:color="auto"/>
            <w:left w:val="none" w:sz="0" w:space="0" w:color="auto"/>
            <w:bottom w:val="none" w:sz="0" w:space="0" w:color="auto"/>
            <w:right w:val="none" w:sz="0" w:space="0" w:color="auto"/>
          </w:divBdr>
        </w:div>
        <w:div w:id="420874476">
          <w:marLeft w:val="1800"/>
          <w:marRight w:val="0"/>
          <w:marTop w:val="0"/>
          <w:marBottom w:val="0"/>
          <w:divBdr>
            <w:top w:val="none" w:sz="0" w:space="0" w:color="auto"/>
            <w:left w:val="none" w:sz="0" w:space="0" w:color="auto"/>
            <w:bottom w:val="none" w:sz="0" w:space="0" w:color="auto"/>
            <w:right w:val="none" w:sz="0" w:space="0" w:color="auto"/>
          </w:divBdr>
        </w:div>
        <w:div w:id="1170829108">
          <w:marLeft w:val="1800"/>
          <w:marRight w:val="0"/>
          <w:marTop w:val="0"/>
          <w:marBottom w:val="0"/>
          <w:divBdr>
            <w:top w:val="none" w:sz="0" w:space="0" w:color="auto"/>
            <w:left w:val="none" w:sz="0" w:space="0" w:color="auto"/>
            <w:bottom w:val="none" w:sz="0" w:space="0" w:color="auto"/>
            <w:right w:val="none" w:sz="0" w:space="0" w:color="auto"/>
          </w:divBdr>
        </w:div>
        <w:div w:id="797333127">
          <w:marLeft w:val="2520"/>
          <w:marRight w:val="0"/>
          <w:marTop w:val="0"/>
          <w:marBottom w:val="0"/>
          <w:divBdr>
            <w:top w:val="none" w:sz="0" w:space="0" w:color="auto"/>
            <w:left w:val="none" w:sz="0" w:space="0" w:color="auto"/>
            <w:bottom w:val="none" w:sz="0" w:space="0" w:color="auto"/>
            <w:right w:val="none" w:sz="0" w:space="0" w:color="auto"/>
          </w:divBdr>
        </w:div>
        <w:div w:id="1793398948">
          <w:marLeft w:val="1166"/>
          <w:marRight w:val="0"/>
          <w:marTop w:val="0"/>
          <w:marBottom w:val="0"/>
          <w:divBdr>
            <w:top w:val="none" w:sz="0" w:space="0" w:color="auto"/>
            <w:left w:val="none" w:sz="0" w:space="0" w:color="auto"/>
            <w:bottom w:val="none" w:sz="0" w:space="0" w:color="auto"/>
            <w:right w:val="none" w:sz="0" w:space="0" w:color="auto"/>
          </w:divBdr>
        </w:div>
        <w:div w:id="1213924764">
          <w:marLeft w:val="1800"/>
          <w:marRight w:val="0"/>
          <w:marTop w:val="0"/>
          <w:marBottom w:val="0"/>
          <w:divBdr>
            <w:top w:val="none" w:sz="0" w:space="0" w:color="auto"/>
            <w:left w:val="none" w:sz="0" w:space="0" w:color="auto"/>
            <w:bottom w:val="none" w:sz="0" w:space="0" w:color="auto"/>
            <w:right w:val="none" w:sz="0" w:space="0" w:color="auto"/>
          </w:divBdr>
        </w:div>
        <w:div w:id="637684422">
          <w:marLeft w:val="547"/>
          <w:marRight w:val="0"/>
          <w:marTop w:val="0"/>
          <w:marBottom w:val="0"/>
          <w:divBdr>
            <w:top w:val="none" w:sz="0" w:space="0" w:color="auto"/>
            <w:left w:val="none" w:sz="0" w:space="0" w:color="auto"/>
            <w:bottom w:val="none" w:sz="0" w:space="0" w:color="auto"/>
            <w:right w:val="none" w:sz="0" w:space="0" w:color="auto"/>
          </w:divBdr>
        </w:div>
        <w:div w:id="141698791">
          <w:marLeft w:val="547"/>
          <w:marRight w:val="0"/>
          <w:marTop w:val="0"/>
          <w:marBottom w:val="0"/>
          <w:divBdr>
            <w:top w:val="none" w:sz="0" w:space="0" w:color="auto"/>
            <w:left w:val="none" w:sz="0" w:space="0" w:color="auto"/>
            <w:bottom w:val="none" w:sz="0" w:space="0" w:color="auto"/>
            <w:right w:val="none" w:sz="0" w:space="0" w:color="auto"/>
          </w:divBdr>
        </w:div>
        <w:div w:id="927008893">
          <w:marLeft w:val="1166"/>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16664798">
      <w:bodyDiv w:val="1"/>
      <w:marLeft w:val="0"/>
      <w:marRight w:val="0"/>
      <w:marTop w:val="0"/>
      <w:marBottom w:val="0"/>
      <w:divBdr>
        <w:top w:val="none" w:sz="0" w:space="0" w:color="auto"/>
        <w:left w:val="none" w:sz="0" w:space="0" w:color="auto"/>
        <w:bottom w:val="none" w:sz="0" w:space="0" w:color="auto"/>
        <w:right w:val="none" w:sz="0" w:space="0" w:color="auto"/>
      </w:divBdr>
      <w:divsChild>
        <w:div w:id="413011533">
          <w:marLeft w:val="547"/>
          <w:marRight w:val="0"/>
          <w:marTop w:val="0"/>
          <w:marBottom w:val="0"/>
          <w:divBdr>
            <w:top w:val="none" w:sz="0" w:space="0" w:color="auto"/>
            <w:left w:val="none" w:sz="0" w:space="0" w:color="auto"/>
            <w:bottom w:val="none" w:sz="0" w:space="0" w:color="auto"/>
            <w:right w:val="none" w:sz="0" w:space="0" w:color="auto"/>
          </w:divBdr>
        </w:div>
        <w:div w:id="1299799029">
          <w:marLeft w:val="547"/>
          <w:marRight w:val="0"/>
          <w:marTop w:val="0"/>
          <w:marBottom w:val="0"/>
          <w:divBdr>
            <w:top w:val="none" w:sz="0" w:space="0" w:color="auto"/>
            <w:left w:val="none" w:sz="0" w:space="0" w:color="auto"/>
            <w:bottom w:val="none" w:sz="0" w:space="0" w:color="auto"/>
            <w:right w:val="none" w:sz="0" w:space="0" w:color="auto"/>
          </w:divBdr>
        </w:div>
        <w:div w:id="2106685518">
          <w:marLeft w:val="1166"/>
          <w:marRight w:val="0"/>
          <w:marTop w:val="0"/>
          <w:marBottom w:val="0"/>
          <w:divBdr>
            <w:top w:val="none" w:sz="0" w:space="0" w:color="auto"/>
            <w:left w:val="none" w:sz="0" w:space="0" w:color="auto"/>
            <w:bottom w:val="none" w:sz="0" w:space="0" w:color="auto"/>
            <w:right w:val="none" w:sz="0" w:space="0" w:color="auto"/>
          </w:divBdr>
        </w:div>
        <w:div w:id="254097540">
          <w:marLeft w:val="547"/>
          <w:marRight w:val="0"/>
          <w:marTop w:val="0"/>
          <w:marBottom w:val="0"/>
          <w:divBdr>
            <w:top w:val="none" w:sz="0" w:space="0" w:color="auto"/>
            <w:left w:val="none" w:sz="0" w:space="0" w:color="auto"/>
            <w:bottom w:val="none" w:sz="0" w:space="0" w:color="auto"/>
            <w:right w:val="none" w:sz="0" w:space="0" w:color="auto"/>
          </w:divBdr>
        </w:div>
        <w:div w:id="97218793">
          <w:marLeft w:val="1166"/>
          <w:marRight w:val="0"/>
          <w:marTop w:val="0"/>
          <w:marBottom w:val="0"/>
          <w:divBdr>
            <w:top w:val="none" w:sz="0" w:space="0" w:color="auto"/>
            <w:left w:val="none" w:sz="0" w:space="0" w:color="auto"/>
            <w:bottom w:val="none" w:sz="0" w:space="0" w:color="auto"/>
            <w:right w:val="none" w:sz="0" w:space="0" w:color="auto"/>
          </w:divBdr>
        </w:div>
        <w:div w:id="1395004950">
          <w:marLeft w:val="1166"/>
          <w:marRight w:val="0"/>
          <w:marTop w:val="0"/>
          <w:marBottom w:val="0"/>
          <w:divBdr>
            <w:top w:val="none" w:sz="0" w:space="0" w:color="auto"/>
            <w:left w:val="none" w:sz="0" w:space="0" w:color="auto"/>
            <w:bottom w:val="none" w:sz="0" w:space="0" w:color="auto"/>
            <w:right w:val="none" w:sz="0" w:space="0" w:color="auto"/>
          </w:divBdr>
        </w:div>
        <w:div w:id="2060934764">
          <w:marLeft w:val="547"/>
          <w:marRight w:val="0"/>
          <w:marTop w:val="0"/>
          <w:marBottom w:val="0"/>
          <w:divBdr>
            <w:top w:val="none" w:sz="0" w:space="0" w:color="auto"/>
            <w:left w:val="none" w:sz="0" w:space="0" w:color="auto"/>
            <w:bottom w:val="none" w:sz="0" w:space="0" w:color="auto"/>
            <w:right w:val="none" w:sz="0" w:space="0" w:color="auto"/>
          </w:divBdr>
        </w:div>
        <w:div w:id="456490501">
          <w:marLeft w:val="1166"/>
          <w:marRight w:val="0"/>
          <w:marTop w:val="0"/>
          <w:marBottom w:val="0"/>
          <w:divBdr>
            <w:top w:val="none" w:sz="0" w:space="0" w:color="auto"/>
            <w:left w:val="none" w:sz="0" w:space="0" w:color="auto"/>
            <w:bottom w:val="none" w:sz="0" w:space="0" w:color="auto"/>
            <w:right w:val="none" w:sz="0" w:space="0" w:color="auto"/>
          </w:divBdr>
        </w:div>
      </w:divsChild>
    </w:div>
    <w:div w:id="764765935">
      <w:bodyDiv w:val="1"/>
      <w:marLeft w:val="0"/>
      <w:marRight w:val="0"/>
      <w:marTop w:val="0"/>
      <w:marBottom w:val="0"/>
      <w:divBdr>
        <w:top w:val="none" w:sz="0" w:space="0" w:color="auto"/>
        <w:left w:val="none" w:sz="0" w:space="0" w:color="auto"/>
        <w:bottom w:val="none" w:sz="0" w:space="0" w:color="auto"/>
        <w:right w:val="none" w:sz="0" w:space="0" w:color="auto"/>
      </w:divBdr>
      <w:divsChild>
        <w:div w:id="1957981849">
          <w:marLeft w:val="547"/>
          <w:marRight w:val="0"/>
          <w:marTop w:val="0"/>
          <w:marBottom w:val="0"/>
          <w:divBdr>
            <w:top w:val="none" w:sz="0" w:space="0" w:color="auto"/>
            <w:left w:val="none" w:sz="0" w:space="0" w:color="auto"/>
            <w:bottom w:val="none" w:sz="0" w:space="0" w:color="auto"/>
            <w:right w:val="none" w:sz="0" w:space="0" w:color="auto"/>
          </w:divBdr>
        </w:div>
        <w:div w:id="764617824">
          <w:marLeft w:val="547"/>
          <w:marRight w:val="0"/>
          <w:marTop w:val="0"/>
          <w:marBottom w:val="0"/>
          <w:divBdr>
            <w:top w:val="none" w:sz="0" w:space="0" w:color="auto"/>
            <w:left w:val="none" w:sz="0" w:space="0" w:color="auto"/>
            <w:bottom w:val="none" w:sz="0" w:space="0" w:color="auto"/>
            <w:right w:val="none" w:sz="0" w:space="0" w:color="auto"/>
          </w:divBdr>
        </w:div>
        <w:div w:id="10306931">
          <w:marLeft w:val="1166"/>
          <w:marRight w:val="0"/>
          <w:marTop w:val="0"/>
          <w:marBottom w:val="0"/>
          <w:divBdr>
            <w:top w:val="none" w:sz="0" w:space="0" w:color="auto"/>
            <w:left w:val="none" w:sz="0" w:space="0" w:color="auto"/>
            <w:bottom w:val="none" w:sz="0" w:space="0" w:color="auto"/>
            <w:right w:val="none" w:sz="0" w:space="0" w:color="auto"/>
          </w:divBdr>
        </w:div>
        <w:div w:id="1119491264">
          <w:marLeft w:val="547"/>
          <w:marRight w:val="0"/>
          <w:marTop w:val="0"/>
          <w:marBottom w:val="0"/>
          <w:divBdr>
            <w:top w:val="none" w:sz="0" w:space="0" w:color="auto"/>
            <w:left w:val="none" w:sz="0" w:space="0" w:color="auto"/>
            <w:bottom w:val="none" w:sz="0" w:space="0" w:color="auto"/>
            <w:right w:val="none" w:sz="0" w:space="0" w:color="auto"/>
          </w:divBdr>
        </w:div>
        <w:div w:id="265619332">
          <w:marLeft w:val="1166"/>
          <w:marRight w:val="0"/>
          <w:marTop w:val="0"/>
          <w:marBottom w:val="0"/>
          <w:divBdr>
            <w:top w:val="none" w:sz="0" w:space="0" w:color="auto"/>
            <w:left w:val="none" w:sz="0" w:space="0" w:color="auto"/>
            <w:bottom w:val="none" w:sz="0" w:space="0" w:color="auto"/>
            <w:right w:val="none" w:sz="0" w:space="0" w:color="auto"/>
          </w:divBdr>
        </w:div>
        <w:div w:id="313223269">
          <w:marLeft w:val="1166"/>
          <w:marRight w:val="0"/>
          <w:marTop w:val="0"/>
          <w:marBottom w:val="0"/>
          <w:divBdr>
            <w:top w:val="none" w:sz="0" w:space="0" w:color="auto"/>
            <w:left w:val="none" w:sz="0" w:space="0" w:color="auto"/>
            <w:bottom w:val="none" w:sz="0" w:space="0" w:color="auto"/>
            <w:right w:val="none" w:sz="0" w:space="0" w:color="auto"/>
          </w:divBdr>
        </w:div>
        <w:div w:id="1486899370">
          <w:marLeft w:val="547"/>
          <w:marRight w:val="0"/>
          <w:marTop w:val="0"/>
          <w:marBottom w:val="0"/>
          <w:divBdr>
            <w:top w:val="none" w:sz="0" w:space="0" w:color="auto"/>
            <w:left w:val="none" w:sz="0" w:space="0" w:color="auto"/>
            <w:bottom w:val="none" w:sz="0" w:space="0" w:color="auto"/>
            <w:right w:val="none" w:sz="0" w:space="0" w:color="auto"/>
          </w:divBdr>
        </w:div>
        <w:div w:id="715856025">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532338">
      <w:bodyDiv w:val="1"/>
      <w:marLeft w:val="0"/>
      <w:marRight w:val="0"/>
      <w:marTop w:val="0"/>
      <w:marBottom w:val="0"/>
      <w:divBdr>
        <w:top w:val="none" w:sz="0" w:space="0" w:color="auto"/>
        <w:left w:val="none" w:sz="0" w:space="0" w:color="auto"/>
        <w:bottom w:val="none" w:sz="0" w:space="0" w:color="auto"/>
        <w:right w:val="none" w:sz="0" w:space="0" w:color="auto"/>
      </w:divBdr>
      <w:divsChild>
        <w:div w:id="766078435">
          <w:marLeft w:val="547"/>
          <w:marRight w:val="0"/>
          <w:marTop w:val="0"/>
          <w:marBottom w:val="0"/>
          <w:divBdr>
            <w:top w:val="none" w:sz="0" w:space="0" w:color="auto"/>
            <w:left w:val="none" w:sz="0" w:space="0" w:color="auto"/>
            <w:bottom w:val="none" w:sz="0" w:space="0" w:color="auto"/>
            <w:right w:val="none" w:sz="0" w:space="0" w:color="auto"/>
          </w:divBdr>
        </w:div>
        <w:div w:id="2083404569">
          <w:marLeft w:val="1166"/>
          <w:marRight w:val="0"/>
          <w:marTop w:val="0"/>
          <w:marBottom w:val="0"/>
          <w:divBdr>
            <w:top w:val="none" w:sz="0" w:space="0" w:color="auto"/>
            <w:left w:val="none" w:sz="0" w:space="0" w:color="auto"/>
            <w:bottom w:val="none" w:sz="0" w:space="0" w:color="auto"/>
            <w:right w:val="none" w:sz="0" w:space="0" w:color="auto"/>
          </w:divBdr>
        </w:div>
        <w:div w:id="899443712">
          <w:marLeft w:val="1800"/>
          <w:marRight w:val="0"/>
          <w:marTop w:val="0"/>
          <w:marBottom w:val="0"/>
          <w:divBdr>
            <w:top w:val="none" w:sz="0" w:space="0" w:color="auto"/>
            <w:left w:val="none" w:sz="0" w:space="0" w:color="auto"/>
            <w:bottom w:val="none" w:sz="0" w:space="0" w:color="auto"/>
            <w:right w:val="none" w:sz="0" w:space="0" w:color="auto"/>
          </w:divBdr>
        </w:div>
        <w:div w:id="496190309">
          <w:marLeft w:val="1800"/>
          <w:marRight w:val="0"/>
          <w:marTop w:val="0"/>
          <w:marBottom w:val="0"/>
          <w:divBdr>
            <w:top w:val="none" w:sz="0" w:space="0" w:color="auto"/>
            <w:left w:val="none" w:sz="0" w:space="0" w:color="auto"/>
            <w:bottom w:val="none" w:sz="0" w:space="0" w:color="auto"/>
            <w:right w:val="none" w:sz="0" w:space="0" w:color="auto"/>
          </w:divBdr>
        </w:div>
        <w:div w:id="44526028">
          <w:marLeft w:val="2520"/>
          <w:marRight w:val="0"/>
          <w:marTop w:val="0"/>
          <w:marBottom w:val="0"/>
          <w:divBdr>
            <w:top w:val="none" w:sz="0" w:space="0" w:color="auto"/>
            <w:left w:val="none" w:sz="0" w:space="0" w:color="auto"/>
            <w:bottom w:val="none" w:sz="0" w:space="0" w:color="auto"/>
            <w:right w:val="none" w:sz="0" w:space="0" w:color="auto"/>
          </w:divBdr>
        </w:div>
        <w:div w:id="139002582">
          <w:marLeft w:val="1166"/>
          <w:marRight w:val="0"/>
          <w:marTop w:val="0"/>
          <w:marBottom w:val="0"/>
          <w:divBdr>
            <w:top w:val="none" w:sz="0" w:space="0" w:color="auto"/>
            <w:left w:val="none" w:sz="0" w:space="0" w:color="auto"/>
            <w:bottom w:val="none" w:sz="0" w:space="0" w:color="auto"/>
            <w:right w:val="none" w:sz="0" w:space="0" w:color="auto"/>
          </w:divBdr>
        </w:div>
        <w:div w:id="1881623448">
          <w:marLeft w:val="1800"/>
          <w:marRight w:val="0"/>
          <w:marTop w:val="0"/>
          <w:marBottom w:val="0"/>
          <w:divBdr>
            <w:top w:val="none" w:sz="0" w:space="0" w:color="auto"/>
            <w:left w:val="none" w:sz="0" w:space="0" w:color="auto"/>
            <w:bottom w:val="none" w:sz="0" w:space="0" w:color="auto"/>
            <w:right w:val="none" w:sz="0" w:space="0" w:color="auto"/>
          </w:divBdr>
        </w:div>
        <w:div w:id="1642267633">
          <w:marLeft w:val="547"/>
          <w:marRight w:val="0"/>
          <w:marTop w:val="0"/>
          <w:marBottom w:val="0"/>
          <w:divBdr>
            <w:top w:val="none" w:sz="0" w:space="0" w:color="auto"/>
            <w:left w:val="none" w:sz="0" w:space="0" w:color="auto"/>
            <w:bottom w:val="none" w:sz="0" w:space="0" w:color="auto"/>
            <w:right w:val="none" w:sz="0" w:space="0" w:color="auto"/>
          </w:divBdr>
        </w:div>
        <w:div w:id="2128699929">
          <w:marLeft w:val="547"/>
          <w:marRight w:val="0"/>
          <w:marTop w:val="0"/>
          <w:marBottom w:val="0"/>
          <w:divBdr>
            <w:top w:val="none" w:sz="0" w:space="0" w:color="auto"/>
            <w:left w:val="none" w:sz="0" w:space="0" w:color="auto"/>
            <w:bottom w:val="none" w:sz="0" w:space="0" w:color="auto"/>
            <w:right w:val="none" w:sz="0" w:space="0" w:color="auto"/>
          </w:divBdr>
        </w:div>
        <w:div w:id="1168331199">
          <w:marLeft w:val="1166"/>
          <w:marRight w:val="0"/>
          <w:marTop w:val="0"/>
          <w:marBottom w:val="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0977674">
      <w:bodyDiv w:val="1"/>
      <w:marLeft w:val="0"/>
      <w:marRight w:val="0"/>
      <w:marTop w:val="0"/>
      <w:marBottom w:val="0"/>
      <w:divBdr>
        <w:top w:val="none" w:sz="0" w:space="0" w:color="auto"/>
        <w:left w:val="none" w:sz="0" w:space="0" w:color="auto"/>
        <w:bottom w:val="none" w:sz="0" w:space="0" w:color="auto"/>
        <w:right w:val="none" w:sz="0" w:space="0" w:color="auto"/>
      </w:divBdr>
      <w:divsChild>
        <w:div w:id="1066026046">
          <w:marLeft w:val="547"/>
          <w:marRight w:val="0"/>
          <w:marTop w:val="0"/>
          <w:marBottom w:val="0"/>
          <w:divBdr>
            <w:top w:val="none" w:sz="0" w:space="0" w:color="auto"/>
            <w:left w:val="none" w:sz="0" w:space="0" w:color="auto"/>
            <w:bottom w:val="none" w:sz="0" w:space="0" w:color="auto"/>
            <w:right w:val="none" w:sz="0" w:space="0" w:color="auto"/>
          </w:divBdr>
        </w:div>
        <w:div w:id="563414905">
          <w:marLeft w:val="547"/>
          <w:marRight w:val="0"/>
          <w:marTop w:val="0"/>
          <w:marBottom w:val="0"/>
          <w:divBdr>
            <w:top w:val="none" w:sz="0" w:space="0" w:color="auto"/>
            <w:left w:val="none" w:sz="0" w:space="0" w:color="auto"/>
            <w:bottom w:val="none" w:sz="0" w:space="0" w:color="auto"/>
            <w:right w:val="none" w:sz="0" w:space="0" w:color="auto"/>
          </w:divBdr>
        </w:div>
        <w:div w:id="2128163032">
          <w:marLeft w:val="547"/>
          <w:marRight w:val="0"/>
          <w:marTop w:val="0"/>
          <w:marBottom w:val="0"/>
          <w:divBdr>
            <w:top w:val="none" w:sz="0" w:space="0" w:color="auto"/>
            <w:left w:val="none" w:sz="0" w:space="0" w:color="auto"/>
            <w:bottom w:val="none" w:sz="0" w:space="0" w:color="auto"/>
            <w:right w:val="none" w:sz="0" w:space="0" w:color="auto"/>
          </w:divBdr>
        </w:div>
        <w:div w:id="1022169064">
          <w:marLeft w:val="1166"/>
          <w:marRight w:val="0"/>
          <w:marTop w:val="0"/>
          <w:marBottom w:val="0"/>
          <w:divBdr>
            <w:top w:val="none" w:sz="0" w:space="0" w:color="auto"/>
            <w:left w:val="none" w:sz="0" w:space="0" w:color="auto"/>
            <w:bottom w:val="none" w:sz="0" w:space="0" w:color="auto"/>
            <w:right w:val="none" w:sz="0" w:space="0" w:color="auto"/>
          </w:divBdr>
        </w:div>
        <w:div w:id="2117477100">
          <w:marLeft w:val="720"/>
          <w:marRight w:val="0"/>
          <w:marTop w:val="0"/>
          <w:marBottom w:val="0"/>
          <w:divBdr>
            <w:top w:val="none" w:sz="0" w:space="0" w:color="auto"/>
            <w:left w:val="none" w:sz="0" w:space="0" w:color="auto"/>
            <w:bottom w:val="none" w:sz="0" w:space="0" w:color="auto"/>
            <w:right w:val="none" w:sz="0" w:space="0" w:color="auto"/>
          </w:divBdr>
        </w:div>
        <w:div w:id="1815756947">
          <w:marLeft w:val="547"/>
          <w:marRight w:val="0"/>
          <w:marTop w:val="0"/>
          <w:marBottom w:val="0"/>
          <w:divBdr>
            <w:top w:val="none" w:sz="0" w:space="0" w:color="auto"/>
            <w:left w:val="none" w:sz="0" w:space="0" w:color="auto"/>
            <w:bottom w:val="none" w:sz="0" w:space="0" w:color="auto"/>
            <w:right w:val="none" w:sz="0" w:space="0" w:color="auto"/>
          </w:divBdr>
        </w:div>
        <w:div w:id="1737361089">
          <w:marLeft w:val="547"/>
          <w:marRight w:val="0"/>
          <w:marTop w:val="0"/>
          <w:marBottom w:val="0"/>
          <w:divBdr>
            <w:top w:val="none" w:sz="0" w:space="0" w:color="auto"/>
            <w:left w:val="none" w:sz="0" w:space="0" w:color="auto"/>
            <w:bottom w:val="none" w:sz="0" w:space="0" w:color="auto"/>
            <w:right w:val="none" w:sz="0" w:space="0" w:color="auto"/>
          </w:divBdr>
        </w:div>
        <w:div w:id="1320697247">
          <w:marLeft w:val="1166"/>
          <w:marRight w:val="0"/>
          <w:marTop w:val="0"/>
          <w:marBottom w:val="0"/>
          <w:divBdr>
            <w:top w:val="none" w:sz="0" w:space="0" w:color="auto"/>
            <w:left w:val="none" w:sz="0" w:space="0" w:color="auto"/>
            <w:bottom w:val="none" w:sz="0" w:space="0" w:color="auto"/>
            <w:right w:val="none" w:sz="0" w:space="0" w:color="auto"/>
          </w:divBdr>
        </w:div>
        <w:div w:id="1641224921">
          <w:marLeft w:val="1800"/>
          <w:marRight w:val="0"/>
          <w:marTop w:val="0"/>
          <w:marBottom w:val="0"/>
          <w:divBdr>
            <w:top w:val="none" w:sz="0" w:space="0" w:color="auto"/>
            <w:left w:val="none" w:sz="0" w:space="0" w:color="auto"/>
            <w:bottom w:val="none" w:sz="0" w:space="0" w:color="auto"/>
            <w:right w:val="none" w:sz="0" w:space="0" w:color="auto"/>
          </w:divBdr>
        </w:div>
        <w:div w:id="1807697486">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172986577">
      <w:bodyDiv w:val="1"/>
      <w:marLeft w:val="0"/>
      <w:marRight w:val="0"/>
      <w:marTop w:val="0"/>
      <w:marBottom w:val="0"/>
      <w:divBdr>
        <w:top w:val="none" w:sz="0" w:space="0" w:color="auto"/>
        <w:left w:val="none" w:sz="0" w:space="0" w:color="auto"/>
        <w:bottom w:val="none" w:sz="0" w:space="0" w:color="auto"/>
        <w:right w:val="none" w:sz="0" w:space="0" w:color="auto"/>
      </w:divBdr>
      <w:divsChild>
        <w:div w:id="1472863835">
          <w:marLeft w:val="547"/>
          <w:marRight w:val="0"/>
          <w:marTop w:val="0"/>
          <w:marBottom w:val="0"/>
          <w:divBdr>
            <w:top w:val="none" w:sz="0" w:space="0" w:color="auto"/>
            <w:left w:val="none" w:sz="0" w:space="0" w:color="auto"/>
            <w:bottom w:val="none" w:sz="0" w:space="0" w:color="auto"/>
            <w:right w:val="none" w:sz="0" w:space="0" w:color="auto"/>
          </w:divBdr>
        </w:div>
        <w:div w:id="1631978317">
          <w:marLeft w:val="1166"/>
          <w:marRight w:val="0"/>
          <w:marTop w:val="0"/>
          <w:marBottom w:val="0"/>
          <w:divBdr>
            <w:top w:val="none" w:sz="0" w:space="0" w:color="auto"/>
            <w:left w:val="none" w:sz="0" w:space="0" w:color="auto"/>
            <w:bottom w:val="none" w:sz="0" w:space="0" w:color="auto"/>
            <w:right w:val="none" w:sz="0" w:space="0" w:color="auto"/>
          </w:divBdr>
        </w:div>
        <w:div w:id="975918358">
          <w:marLeft w:val="1166"/>
          <w:marRight w:val="0"/>
          <w:marTop w:val="0"/>
          <w:marBottom w:val="0"/>
          <w:divBdr>
            <w:top w:val="none" w:sz="0" w:space="0" w:color="auto"/>
            <w:left w:val="none" w:sz="0" w:space="0" w:color="auto"/>
            <w:bottom w:val="none" w:sz="0" w:space="0" w:color="auto"/>
            <w:right w:val="none" w:sz="0" w:space="0" w:color="auto"/>
          </w:divBdr>
        </w:div>
        <w:div w:id="332729434">
          <w:marLeft w:val="1800"/>
          <w:marRight w:val="0"/>
          <w:marTop w:val="0"/>
          <w:marBottom w:val="0"/>
          <w:divBdr>
            <w:top w:val="none" w:sz="0" w:space="0" w:color="auto"/>
            <w:left w:val="none" w:sz="0" w:space="0" w:color="auto"/>
            <w:bottom w:val="none" w:sz="0" w:space="0" w:color="auto"/>
            <w:right w:val="none" w:sz="0" w:space="0" w:color="auto"/>
          </w:divBdr>
        </w:div>
        <w:div w:id="1523782505">
          <w:marLeft w:val="1800"/>
          <w:marRight w:val="0"/>
          <w:marTop w:val="0"/>
          <w:marBottom w:val="0"/>
          <w:divBdr>
            <w:top w:val="none" w:sz="0" w:space="0" w:color="auto"/>
            <w:left w:val="none" w:sz="0" w:space="0" w:color="auto"/>
            <w:bottom w:val="none" w:sz="0" w:space="0" w:color="auto"/>
            <w:right w:val="none" w:sz="0" w:space="0" w:color="auto"/>
          </w:divBdr>
        </w:div>
        <w:div w:id="561907714">
          <w:marLeft w:val="1800"/>
          <w:marRight w:val="0"/>
          <w:marTop w:val="0"/>
          <w:marBottom w:val="0"/>
          <w:divBdr>
            <w:top w:val="none" w:sz="0" w:space="0" w:color="auto"/>
            <w:left w:val="none" w:sz="0" w:space="0" w:color="auto"/>
            <w:bottom w:val="none" w:sz="0" w:space="0" w:color="auto"/>
            <w:right w:val="none" w:sz="0" w:space="0" w:color="auto"/>
          </w:divBdr>
        </w:div>
        <w:div w:id="1495949129">
          <w:marLeft w:val="1800"/>
          <w:marRight w:val="0"/>
          <w:marTop w:val="0"/>
          <w:marBottom w:val="0"/>
          <w:divBdr>
            <w:top w:val="none" w:sz="0" w:space="0" w:color="auto"/>
            <w:left w:val="none" w:sz="0" w:space="0" w:color="auto"/>
            <w:bottom w:val="none" w:sz="0" w:space="0" w:color="auto"/>
            <w:right w:val="none" w:sz="0" w:space="0" w:color="auto"/>
          </w:divBdr>
        </w:div>
        <w:div w:id="1131938590">
          <w:marLeft w:val="1800"/>
          <w:marRight w:val="0"/>
          <w:marTop w:val="0"/>
          <w:marBottom w:val="0"/>
          <w:divBdr>
            <w:top w:val="none" w:sz="0" w:space="0" w:color="auto"/>
            <w:left w:val="none" w:sz="0" w:space="0" w:color="auto"/>
            <w:bottom w:val="none" w:sz="0" w:space="0" w:color="auto"/>
            <w:right w:val="none" w:sz="0" w:space="0" w:color="auto"/>
          </w:divBdr>
        </w:div>
        <w:div w:id="1932079265">
          <w:marLeft w:val="1800"/>
          <w:marRight w:val="0"/>
          <w:marTop w:val="0"/>
          <w:marBottom w:val="0"/>
          <w:divBdr>
            <w:top w:val="none" w:sz="0" w:space="0" w:color="auto"/>
            <w:left w:val="none" w:sz="0" w:space="0" w:color="auto"/>
            <w:bottom w:val="none" w:sz="0" w:space="0" w:color="auto"/>
            <w:right w:val="none" w:sz="0" w:space="0" w:color="auto"/>
          </w:divBdr>
        </w:div>
        <w:div w:id="730035281">
          <w:marLeft w:val="1166"/>
          <w:marRight w:val="0"/>
          <w:marTop w:val="0"/>
          <w:marBottom w:val="0"/>
          <w:divBdr>
            <w:top w:val="none" w:sz="0" w:space="0" w:color="auto"/>
            <w:left w:val="none" w:sz="0" w:space="0" w:color="auto"/>
            <w:bottom w:val="none" w:sz="0" w:space="0" w:color="auto"/>
            <w:right w:val="none" w:sz="0" w:space="0" w:color="auto"/>
          </w:divBdr>
        </w:div>
        <w:div w:id="1583681575">
          <w:marLeft w:val="1166"/>
          <w:marRight w:val="0"/>
          <w:marTop w:val="0"/>
          <w:marBottom w:val="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35921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17751762">
      <w:bodyDiv w:val="1"/>
      <w:marLeft w:val="0"/>
      <w:marRight w:val="0"/>
      <w:marTop w:val="0"/>
      <w:marBottom w:val="0"/>
      <w:divBdr>
        <w:top w:val="none" w:sz="0" w:space="0" w:color="auto"/>
        <w:left w:val="none" w:sz="0" w:space="0" w:color="auto"/>
        <w:bottom w:val="none" w:sz="0" w:space="0" w:color="auto"/>
        <w:right w:val="none" w:sz="0" w:space="0" w:color="auto"/>
      </w:divBdr>
      <w:divsChild>
        <w:div w:id="1557736773">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6657202">
      <w:bodyDiv w:val="1"/>
      <w:marLeft w:val="0"/>
      <w:marRight w:val="0"/>
      <w:marTop w:val="0"/>
      <w:marBottom w:val="0"/>
      <w:divBdr>
        <w:top w:val="none" w:sz="0" w:space="0" w:color="auto"/>
        <w:left w:val="none" w:sz="0" w:space="0" w:color="auto"/>
        <w:bottom w:val="none" w:sz="0" w:space="0" w:color="auto"/>
        <w:right w:val="none" w:sz="0" w:space="0" w:color="auto"/>
      </w:divBdr>
      <w:divsChild>
        <w:div w:id="46540345">
          <w:marLeft w:val="1800"/>
          <w:marRight w:val="0"/>
          <w:marTop w:val="0"/>
          <w:marBottom w:val="0"/>
          <w:divBdr>
            <w:top w:val="none" w:sz="0" w:space="0" w:color="auto"/>
            <w:left w:val="none" w:sz="0" w:space="0" w:color="auto"/>
            <w:bottom w:val="none" w:sz="0" w:space="0" w:color="auto"/>
            <w:right w:val="none" w:sz="0" w:space="0" w:color="auto"/>
          </w:divBdr>
        </w:div>
        <w:div w:id="1858612439">
          <w:marLeft w:val="180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1251713">
      <w:bodyDiv w:val="1"/>
      <w:marLeft w:val="0"/>
      <w:marRight w:val="0"/>
      <w:marTop w:val="0"/>
      <w:marBottom w:val="0"/>
      <w:divBdr>
        <w:top w:val="none" w:sz="0" w:space="0" w:color="auto"/>
        <w:left w:val="none" w:sz="0" w:space="0" w:color="auto"/>
        <w:bottom w:val="none" w:sz="0" w:space="0" w:color="auto"/>
        <w:right w:val="none" w:sz="0" w:space="0" w:color="auto"/>
      </w:divBdr>
      <w:divsChild>
        <w:div w:id="1200625200">
          <w:marLeft w:val="547"/>
          <w:marRight w:val="0"/>
          <w:marTop w:val="0"/>
          <w:marBottom w:val="0"/>
          <w:divBdr>
            <w:top w:val="none" w:sz="0" w:space="0" w:color="auto"/>
            <w:left w:val="none" w:sz="0" w:space="0" w:color="auto"/>
            <w:bottom w:val="none" w:sz="0" w:space="0" w:color="auto"/>
            <w:right w:val="none" w:sz="0" w:space="0" w:color="auto"/>
          </w:divBdr>
        </w:div>
        <w:div w:id="1688752868">
          <w:marLeft w:val="1166"/>
          <w:marRight w:val="0"/>
          <w:marTop w:val="0"/>
          <w:marBottom w:val="0"/>
          <w:divBdr>
            <w:top w:val="none" w:sz="0" w:space="0" w:color="auto"/>
            <w:left w:val="none" w:sz="0" w:space="0" w:color="auto"/>
            <w:bottom w:val="none" w:sz="0" w:space="0" w:color="auto"/>
            <w:right w:val="none" w:sz="0" w:space="0" w:color="auto"/>
          </w:divBdr>
        </w:div>
        <w:div w:id="1706439087">
          <w:marLeft w:val="1166"/>
          <w:marRight w:val="0"/>
          <w:marTop w:val="0"/>
          <w:marBottom w:val="0"/>
          <w:divBdr>
            <w:top w:val="none" w:sz="0" w:space="0" w:color="auto"/>
            <w:left w:val="none" w:sz="0" w:space="0" w:color="auto"/>
            <w:bottom w:val="none" w:sz="0" w:space="0" w:color="auto"/>
            <w:right w:val="none" w:sz="0" w:space="0" w:color="auto"/>
          </w:divBdr>
        </w:div>
        <w:div w:id="2015959489">
          <w:marLeft w:val="547"/>
          <w:marRight w:val="0"/>
          <w:marTop w:val="0"/>
          <w:marBottom w:val="0"/>
          <w:divBdr>
            <w:top w:val="none" w:sz="0" w:space="0" w:color="auto"/>
            <w:left w:val="none" w:sz="0" w:space="0" w:color="auto"/>
            <w:bottom w:val="none" w:sz="0" w:space="0" w:color="auto"/>
            <w:right w:val="none" w:sz="0" w:space="0" w:color="auto"/>
          </w:divBdr>
        </w:div>
        <w:div w:id="1113281265">
          <w:marLeft w:val="1166"/>
          <w:marRight w:val="0"/>
          <w:marTop w:val="0"/>
          <w:marBottom w:val="0"/>
          <w:divBdr>
            <w:top w:val="none" w:sz="0" w:space="0" w:color="auto"/>
            <w:left w:val="none" w:sz="0" w:space="0" w:color="auto"/>
            <w:bottom w:val="none" w:sz="0" w:space="0" w:color="auto"/>
            <w:right w:val="none" w:sz="0" w:space="0" w:color="auto"/>
          </w:divBdr>
        </w:div>
        <w:div w:id="2069067444">
          <w:marLeft w:val="547"/>
          <w:marRight w:val="0"/>
          <w:marTop w:val="0"/>
          <w:marBottom w:val="0"/>
          <w:divBdr>
            <w:top w:val="none" w:sz="0" w:space="0" w:color="auto"/>
            <w:left w:val="none" w:sz="0" w:space="0" w:color="auto"/>
            <w:bottom w:val="none" w:sz="0" w:space="0" w:color="auto"/>
            <w:right w:val="none" w:sz="0" w:space="0" w:color="auto"/>
          </w:divBdr>
        </w:div>
        <w:div w:id="650524304">
          <w:marLeft w:val="547"/>
          <w:marRight w:val="0"/>
          <w:marTop w:val="0"/>
          <w:marBottom w:val="0"/>
          <w:divBdr>
            <w:top w:val="none" w:sz="0" w:space="0" w:color="auto"/>
            <w:left w:val="none" w:sz="0" w:space="0" w:color="auto"/>
            <w:bottom w:val="none" w:sz="0" w:space="0" w:color="auto"/>
            <w:right w:val="none" w:sz="0" w:space="0" w:color="auto"/>
          </w:divBdr>
        </w:div>
        <w:div w:id="1717394402">
          <w:marLeft w:val="547"/>
          <w:marRight w:val="0"/>
          <w:marTop w:val="0"/>
          <w:marBottom w:val="0"/>
          <w:divBdr>
            <w:top w:val="none" w:sz="0" w:space="0" w:color="auto"/>
            <w:left w:val="none" w:sz="0" w:space="0" w:color="auto"/>
            <w:bottom w:val="none" w:sz="0" w:space="0" w:color="auto"/>
            <w:right w:val="none" w:sz="0" w:space="0" w:color="auto"/>
          </w:divBdr>
        </w:div>
        <w:div w:id="1888301968">
          <w:marLeft w:val="1166"/>
          <w:marRight w:val="0"/>
          <w:marTop w:val="0"/>
          <w:marBottom w:val="0"/>
          <w:divBdr>
            <w:top w:val="none" w:sz="0" w:space="0" w:color="auto"/>
            <w:left w:val="none" w:sz="0" w:space="0" w:color="auto"/>
            <w:bottom w:val="none" w:sz="0" w:space="0" w:color="auto"/>
            <w:right w:val="none" w:sz="0" w:space="0" w:color="auto"/>
          </w:divBdr>
        </w:div>
        <w:div w:id="1226455981">
          <w:marLeft w:val="1166"/>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60.bin"/><Relationship Id="rId21" Type="http://schemas.openxmlformats.org/officeDocument/2006/relationships/image" Target="media/image6.wmf"/><Relationship Id="rId42" Type="http://schemas.openxmlformats.org/officeDocument/2006/relationships/image" Target="media/image16.wmf"/><Relationship Id="rId47" Type="http://schemas.openxmlformats.org/officeDocument/2006/relationships/oleObject" Target="embeddings/oleObject18.bin"/><Relationship Id="rId63" Type="http://schemas.openxmlformats.org/officeDocument/2006/relationships/oleObject" Target="embeddings/oleObject27.bin"/><Relationship Id="rId68" Type="http://schemas.openxmlformats.org/officeDocument/2006/relationships/image" Target="media/image28.wmf"/><Relationship Id="rId84" Type="http://schemas.openxmlformats.org/officeDocument/2006/relationships/oleObject" Target="embeddings/oleObject39.bin"/><Relationship Id="rId89" Type="http://schemas.openxmlformats.org/officeDocument/2006/relationships/image" Target="media/image37.wmf"/><Relationship Id="rId112" Type="http://schemas.openxmlformats.org/officeDocument/2006/relationships/oleObject" Target="embeddings/oleObject55.bin"/><Relationship Id="rId133" Type="http://schemas.openxmlformats.org/officeDocument/2006/relationships/oleObject" Target="embeddings/oleObject76.bin"/><Relationship Id="rId138" Type="http://schemas.openxmlformats.org/officeDocument/2006/relationships/oleObject" Target="embeddings/oleObject80.bin"/><Relationship Id="rId154" Type="http://schemas.openxmlformats.org/officeDocument/2006/relationships/oleObject" Target="embeddings/oleObject90.bin"/><Relationship Id="rId159" Type="http://schemas.openxmlformats.org/officeDocument/2006/relationships/oleObject" Target="embeddings/oleObject95.bin"/><Relationship Id="rId175" Type="http://schemas.openxmlformats.org/officeDocument/2006/relationships/image" Target="media/image57.emf"/><Relationship Id="rId170" Type="http://schemas.openxmlformats.org/officeDocument/2006/relationships/oleObject" Target="embeddings/oleObject105.bin"/><Relationship Id="rId16" Type="http://schemas.openxmlformats.org/officeDocument/2006/relationships/oleObject" Target="embeddings/oleObject2.bin"/><Relationship Id="rId107" Type="http://schemas.openxmlformats.org/officeDocument/2006/relationships/oleObject" Target="embeddings/oleObject51.bin"/><Relationship Id="rId11" Type="http://schemas.openxmlformats.org/officeDocument/2006/relationships/endnotes" Target="endnotes.xml"/><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66.bin"/><Relationship Id="rId128" Type="http://schemas.openxmlformats.org/officeDocument/2006/relationships/oleObject" Target="embeddings/oleObject71.bin"/><Relationship Id="rId144" Type="http://schemas.openxmlformats.org/officeDocument/2006/relationships/oleObject" Target="embeddings/oleObject83.bin"/><Relationship Id="rId149" Type="http://schemas.openxmlformats.org/officeDocument/2006/relationships/oleObject" Target="embeddings/oleObject87.bin"/><Relationship Id="rId5" Type="http://schemas.openxmlformats.org/officeDocument/2006/relationships/customXml" Target="../customXml/item5.xml"/><Relationship Id="rId90" Type="http://schemas.openxmlformats.org/officeDocument/2006/relationships/oleObject" Target="embeddings/oleObject42.bin"/><Relationship Id="rId95" Type="http://schemas.openxmlformats.org/officeDocument/2006/relationships/image" Target="media/image40.wmf"/><Relationship Id="rId160" Type="http://schemas.openxmlformats.org/officeDocument/2006/relationships/oleObject" Target="embeddings/oleObject96.bin"/><Relationship Id="rId165" Type="http://schemas.openxmlformats.org/officeDocument/2006/relationships/oleObject" Target="embeddings/oleObject100.bin"/><Relationship Id="rId22" Type="http://schemas.openxmlformats.org/officeDocument/2006/relationships/oleObject" Target="embeddings/oleObject5.bin"/><Relationship Id="rId27" Type="http://schemas.openxmlformats.org/officeDocument/2006/relationships/image" Target="media/image9.wmf"/><Relationship Id="rId43" Type="http://schemas.openxmlformats.org/officeDocument/2006/relationships/oleObject" Target="embeddings/oleObject16.bin"/><Relationship Id="rId48" Type="http://schemas.openxmlformats.org/officeDocument/2006/relationships/image" Target="media/image19.wmf"/><Relationship Id="rId64" Type="http://schemas.openxmlformats.org/officeDocument/2006/relationships/image" Target="media/image26.wmf"/><Relationship Id="rId69" Type="http://schemas.openxmlformats.org/officeDocument/2006/relationships/oleObject" Target="embeddings/oleObject30.bin"/><Relationship Id="rId113" Type="http://schemas.openxmlformats.org/officeDocument/2006/relationships/oleObject" Target="embeddings/oleObject56.bin"/><Relationship Id="rId118" Type="http://schemas.openxmlformats.org/officeDocument/2006/relationships/oleObject" Target="embeddings/oleObject61.bin"/><Relationship Id="rId134" Type="http://schemas.openxmlformats.org/officeDocument/2006/relationships/oleObject" Target="embeddings/oleObject77.bin"/><Relationship Id="rId139" Type="http://schemas.openxmlformats.org/officeDocument/2006/relationships/image" Target="media/image48.wmf"/><Relationship Id="rId80" Type="http://schemas.openxmlformats.org/officeDocument/2006/relationships/oleObject" Target="embeddings/oleObject37.bin"/><Relationship Id="rId85" Type="http://schemas.openxmlformats.org/officeDocument/2006/relationships/image" Target="media/image35.wmf"/><Relationship Id="rId150" Type="http://schemas.openxmlformats.org/officeDocument/2006/relationships/image" Target="media/image52.wmf"/><Relationship Id="rId155" Type="http://schemas.openxmlformats.org/officeDocument/2006/relationships/oleObject" Target="embeddings/oleObject91.bin"/><Relationship Id="rId171" Type="http://schemas.openxmlformats.org/officeDocument/2006/relationships/oleObject" Target="embeddings/oleObject106.bin"/><Relationship Id="rId176" Type="http://schemas.openxmlformats.org/officeDocument/2006/relationships/image" Target="media/image58.emf"/><Relationship Id="rId12" Type="http://schemas.openxmlformats.org/officeDocument/2006/relationships/image" Target="media/image1.emf"/><Relationship Id="rId17" Type="http://schemas.openxmlformats.org/officeDocument/2006/relationships/image" Target="media/image4.wmf"/><Relationship Id="rId33" Type="http://schemas.openxmlformats.org/officeDocument/2006/relationships/oleObject" Target="embeddings/oleObject11.bin"/><Relationship Id="rId38" Type="http://schemas.openxmlformats.org/officeDocument/2006/relationships/image" Target="media/image14.wmf"/><Relationship Id="rId59" Type="http://schemas.openxmlformats.org/officeDocument/2006/relationships/image" Target="media/image24.wmf"/><Relationship Id="rId103" Type="http://schemas.openxmlformats.org/officeDocument/2006/relationships/oleObject" Target="embeddings/oleObject49.bin"/><Relationship Id="rId108" Type="http://schemas.openxmlformats.org/officeDocument/2006/relationships/image" Target="media/image46.emf"/><Relationship Id="rId124" Type="http://schemas.openxmlformats.org/officeDocument/2006/relationships/oleObject" Target="embeddings/oleObject67.bin"/><Relationship Id="rId129" Type="http://schemas.openxmlformats.org/officeDocument/2006/relationships/oleObject" Target="embeddings/oleObject72.bin"/><Relationship Id="rId54" Type="http://schemas.openxmlformats.org/officeDocument/2006/relationships/image" Target="media/image22.wmf"/><Relationship Id="rId70" Type="http://schemas.openxmlformats.org/officeDocument/2006/relationships/oleObject" Target="embeddings/oleObject31.bin"/><Relationship Id="rId75" Type="http://schemas.openxmlformats.org/officeDocument/2006/relationships/image" Target="media/image31.wmf"/><Relationship Id="rId91" Type="http://schemas.openxmlformats.org/officeDocument/2006/relationships/image" Target="media/image38.wmf"/><Relationship Id="rId96" Type="http://schemas.openxmlformats.org/officeDocument/2006/relationships/oleObject" Target="embeddings/oleObject45.bin"/><Relationship Id="rId140" Type="http://schemas.openxmlformats.org/officeDocument/2006/relationships/oleObject" Target="embeddings/oleObject81.bin"/><Relationship Id="rId145" Type="http://schemas.openxmlformats.org/officeDocument/2006/relationships/oleObject" Target="embeddings/oleObject84.bin"/><Relationship Id="rId161" Type="http://schemas.openxmlformats.org/officeDocument/2006/relationships/oleObject" Target="embeddings/oleObject97.bin"/><Relationship Id="rId166" Type="http://schemas.openxmlformats.org/officeDocument/2006/relationships/oleObject" Target="embeddings/oleObject101.bin"/><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image" Target="media/image7.wmf"/><Relationship Id="rId28" Type="http://schemas.openxmlformats.org/officeDocument/2006/relationships/oleObject" Target="embeddings/oleObject8.bin"/><Relationship Id="rId49" Type="http://schemas.openxmlformats.org/officeDocument/2006/relationships/oleObject" Target="embeddings/oleObject19.bin"/><Relationship Id="rId114" Type="http://schemas.openxmlformats.org/officeDocument/2006/relationships/oleObject" Target="embeddings/oleObject57.bin"/><Relationship Id="rId119" Type="http://schemas.openxmlformats.org/officeDocument/2006/relationships/oleObject" Target="embeddings/oleObject62.bin"/><Relationship Id="rId10" Type="http://schemas.openxmlformats.org/officeDocument/2006/relationships/footnotes" Target="footnotes.xml"/><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oleObject" Target="embeddings/oleObject25.bin"/><Relationship Id="rId65" Type="http://schemas.openxmlformats.org/officeDocument/2006/relationships/oleObject" Target="embeddings/oleObject28.bin"/><Relationship Id="rId73" Type="http://schemas.openxmlformats.org/officeDocument/2006/relationships/image" Target="media/image30.wmf"/><Relationship Id="rId78" Type="http://schemas.openxmlformats.org/officeDocument/2006/relationships/image" Target="media/image32.wmf"/><Relationship Id="rId81" Type="http://schemas.openxmlformats.org/officeDocument/2006/relationships/image" Target="media/image33.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oleObject" Target="embeddings/oleObject65.bin"/><Relationship Id="rId130" Type="http://schemas.openxmlformats.org/officeDocument/2006/relationships/oleObject" Target="embeddings/oleObject73.bin"/><Relationship Id="rId135" Type="http://schemas.openxmlformats.org/officeDocument/2006/relationships/oleObject" Target="embeddings/oleObject78.bin"/><Relationship Id="rId143" Type="http://schemas.openxmlformats.org/officeDocument/2006/relationships/image" Target="media/image50.wmf"/><Relationship Id="rId148" Type="http://schemas.openxmlformats.org/officeDocument/2006/relationships/image" Target="media/image51.wmf"/><Relationship Id="rId151" Type="http://schemas.openxmlformats.org/officeDocument/2006/relationships/oleObject" Target="embeddings/oleObject88.bin"/><Relationship Id="rId156" Type="http://schemas.openxmlformats.org/officeDocument/2006/relationships/oleObject" Target="embeddings/oleObject92.bin"/><Relationship Id="rId164" Type="http://schemas.openxmlformats.org/officeDocument/2006/relationships/image" Target="media/image54.wmf"/><Relationship Id="rId169" Type="http://schemas.openxmlformats.org/officeDocument/2006/relationships/oleObject" Target="embeddings/oleObject104.bin"/><Relationship Id="rId177"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72" Type="http://schemas.openxmlformats.org/officeDocument/2006/relationships/oleObject" Target="embeddings/oleObject107.bin"/><Relationship Id="rId180" Type="http://schemas.openxmlformats.org/officeDocument/2006/relationships/theme" Target="theme/theme1.xml"/><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2.bin"/><Relationship Id="rId76" Type="http://schemas.openxmlformats.org/officeDocument/2006/relationships/oleObject" Target="embeddings/oleObject34.bin"/><Relationship Id="rId97" Type="http://schemas.openxmlformats.org/officeDocument/2006/relationships/image" Target="media/image41.wmf"/><Relationship Id="rId104" Type="http://schemas.openxmlformats.org/officeDocument/2006/relationships/image" Target="media/image44.wmf"/><Relationship Id="rId120" Type="http://schemas.openxmlformats.org/officeDocument/2006/relationships/oleObject" Target="embeddings/oleObject63.bin"/><Relationship Id="rId125" Type="http://schemas.openxmlformats.org/officeDocument/2006/relationships/oleObject" Target="embeddings/oleObject68.bin"/><Relationship Id="rId141" Type="http://schemas.openxmlformats.org/officeDocument/2006/relationships/image" Target="media/image49.wmf"/><Relationship Id="rId146" Type="http://schemas.openxmlformats.org/officeDocument/2006/relationships/oleObject" Target="embeddings/oleObject85.bin"/><Relationship Id="rId167" Type="http://schemas.openxmlformats.org/officeDocument/2006/relationships/oleObject" Target="embeddings/oleObject102.bin"/><Relationship Id="rId7" Type="http://schemas.openxmlformats.org/officeDocument/2006/relationships/styles" Target="styles.xml"/><Relationship Id="rId71" Type="http://schemas.openxmlformats.org/officeDocument/2006/relationships/image" Target="media/image29.wmf"/><Relationship Id="rId92" Type="http://schemas.openxmlformats.org/officeDocument/2006/relationships/oleObject" Target="embeddings/oleObject43.bin"/><Relationship Id="rId162" Type="http://schemas.openxmlformats.org/officeDocument/2006/relationships/oleObject" Target="embeddings/oleObject98.bin"/><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oleObject" Target="embeddings/oleObject6.bin"/><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image" Target="media/image27.wmf"/><Relationship Id="rId87" Type="http://schemas.openxmlformats.org/officeDocument/2006/relationships/image" Target="media/image36.wmf"/><Relationship Id="rId110" Type="http://schemas.openxmlformats.org/officeDocument/2006/relationships/oleObject" Target="embeddings/oleObject53.bin"/><Relationship Id="rId115" Type="http://schemas.openxmlformats.org/officeDocument/2006/relationships/oleObject" Target="embeddings/oleObject58.bin"/><Relationship Id="rId131" Type="http://schemas.openxmlformats.org/officeDocument/2006/relationships/oleObject" Target="embeddings/oleObject74.bin"/><Relationship Id="rId136" Type="http://schemas.openxmlformats.org/officeDocument/2006/relationships/oleObject" Target="embeddings/oleObject79.bin"/><Relationship Id="rId157" Type="http://schemas.openxmlformats.org/officeDocument/2006/relationships/oleObject" Target="embeddings/oleObject93.bin"/><Relationship Id="rId178" Type="http://schemas.openxmlformats.org/officeDocument/2006/relationships/footer" Target="footer1.xml"/><Relationship Id="rId61" Type="http://schemas.openxmlformats.org/officeDocument/2006/relationships/image" Target="media/image25.wmf"/><Relationship Id="rId82" Type="http://schemas.openxmlformats.org/officeDocument/2006/relationships/oleObject" Target="embeddings/oleObject38.bin"/><Relationship Id="rId152" Type="http://schemas.openxmlformats.org/officeDocument/2006/relationships/image" Target="media/image53.wmf"/><Relationship Id="rId173" Type="http://schemas.openxmlformats.org/officeDocument/2006/relationships/image" Target="media/image55.emf"/><Relationship Id="rId19" Type="http://schemas.openxmlformats.org/officeDocument/2006/relationships/image" Target="media/image5.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2.bin"/><Relationship Id="rId56" Type="http://schemas.openxmlformats.org/officeDocument/2006/relationships/oleObject" Target="embeddings/oleObject23.bin"/><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oleObject" Target="embeddings/oleObject50.bin"/><Relationship Id="rId126" Type="http://schemas.openxmlformats.org/officeDocument/2006/relationships/oleObject" Target="embeddings/oleObject69.bin"/><Relationship Id="rId147" Type="http://schemas.openxmlformats.org/officeDocument/2006/relationships/oleObject" Target="embeddings/oleObject86.bin"/><Relationship Id="rId168" Type="http://schemas.openxmlformats.org/officeDocument/2006/relationships/oleObject" Target="embeddings/oleObject103.bin"/><Relationship Id="rId8" Type="http://schemas.openxmlformats.org/officeDocument/2006/relationships/settings" Target="settings.xml"/><Relationship Id="rId51" Type="http://schemas.openxmlformats.org/officeDocument/2006/relationships/oleObject" Target="embeddings/oleObject20.bin"/><Relationship Id="rId72" Type="http://schemas.openxmlformats.org/officeDocument/2006/relationships/oleObject" Target="embeddings/oleObject32.bin"/><Relationship Id="rId93" Type="http://schemas.openxmlformats.org/officeDocument/2006/relationships/image" Target="media/image39.wmf"/><Relationship Id="rId98" Type="http://schemas.openxmlformats.org/officeDocument/2006/relationships/oleObject" Target="embeddings/oleObject46.bin"/><Relationship Id="rId121" Type="http://schemas.openxmlformats.org/officeDocument/2006/relationships/oleObject" Target="embeddings/oleObject64.bin"/><Relationship Id="rId142" Type="http://schemas.openxmlformats.org/officeDocument/2006/relationships/oleObject" Target="embeddings/oleObject82.bin"/><Relationship Id="rId163" Type="http://schemas.openxmlformats.org/officeDocument/2006/relationships/oleObject" Target="embeddings/oleObject99.bin"/><Relationship Id="rId3" Type="http://schemas.openxmlformats.org/officeDocument/2006/relationships/customXml" Target="../customXml/item3.xml"/><Relationship Id="rId25" Type="http://schemas.openxmlformats.org/officeDocument/2006/relationships/image" Target="media/image8.wmf"/><Relationship Id="rId46" Type="http://schemas.openxmlformats.org/officeDocument/2006/relationships/image" Target="media/image18.wmf"/><Relationship Id="rId67" Type="http://schemas.openxmlformats.org/officeDocument/2006/relationships/oleObject" Target="embeddings/oleObject29.bin"/><Relationship Id="rId116" Type="http://schemas.openxmlformats.org/officeDocument/2006/relationships/oleObject" Target="embeddings/oleObject59.bin"/><Relationship Id="rId137" Type="http://schemas.openxmlformats.org/officeDocument/2006/relationships/image" Target="media/image47.wmf"/><Relationship Id="rId158" Type="http://schemas.openxmlformats.org/officeDocument/2006/relationships/oleObject" Target="embeddings/oleObject94.bin"/><Relationship Id="rId20" Type="http://schemas.openxmlformats.org/officeDocument/2006/relationships/oleObject" Target="embeddings/oleObject4.bin"/><Relationship Id="rId41" Type="http://schemas.openxmlformats.org/officeDocument/2006/relationships/oleObject" Target="embeddings/oleObject15.bin"/><Relationship Id="rId62" Type="http://schemas.openxmlformats.org/officeDocument/2006/relationships/oleObject" Target="embeddings/oleObject26.bin"/><Relationship Id="rId83" Type="http://schemas.openxmlformats.org/officeDocument/2006/relationships/image" Target="media/image34.wmf"/><Relationship Id="rId88" Type="http://schemas.openxmlformats.org/officeDocument/2006/relationships/oleObject" Target="embeddings/oleObject41.bin"/><Relationship Id="rId111" Type="http://schemas.openxmlformats.org/officeDocument/2006/relationships/oleObject" Target="embeddings/oleObject54.bin"/><Relationship Id="rId132" Type="http://schemas.openxmlformats.org/officeDocument/2006/relationships/oleObject" Target="embeddings/oleObject75.bin"/><Relationship Id="rId153" Type="http://schemas.openxmlformats.org/officeDocument/2006/relationships/oleObject" Target="embeddings/oleObject89.bin"/><Relationship Id="rId174" Type="http://schemas.openxmlformats.org/officeDocument/2006/relationships/image" Target="media/image56.emf"/><Relationship Id="rId179" Type="http://schemas.openxmlformats.org/officeDocument/2006/relationships/fontTable" Target="fontTable.xml"/><Relationship Id="rId15" Type="http://schemas.openxmlformats.org/officeDocument/2006/relationships/image" Target="media/image3.wmf"/><Relationship Id="rId36" Type="http://schemas.openxmlformats.org/officeDocument/2006/relationships/image" Target="media/image13.wmf"/><Relationship Id="rId57" Type="http://schemas.openxmlformats.org/officeDocument/2006/relationships/image" Target="media/image23.wmf"/><Relationship Id="rId106" Type="http://schemas.openxmlformats.org/officeDocument/2006/relationships/image" Target="media/image45.wmf"/><Relationship Id="rId127" Type="http://schemas.openxmlformats.org/officeDocument/2006/relationships/oleObject" Target="embeddings/oleObject7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5AIRPNAIUNRU-1830940522-2494</_dlc_DocId>
    <_dlc_DocIdUrl xmlns="71c5aaf6-e6ce-465b-b873-5148d2a4c105">
      <Url>https://nokia.sharepoint.com/sites/c5g/5gradio/_layouts/15/DocIdRedir.aspx?ID=5AIRPNAIUNRU-1830940522-2494</Url>
      <Description>5AIRPNAIUNRU-1830940522-2494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877F4E81-B7FD-4995-9602-3EF71CA89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5.xml><?xml version="1.0" encoding="utf-8"?>
<ds:datastoreItem xmlns:ds="http://schemas.openxmlformats.org/officeDocument/2006/customXml" ds:itemID="{38412C4C-4133-491C-AC83-D66FEE397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56</TotalTime>
  <Pages>14</Pages>
  <Words>5585</Words>
  <Characters>31841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Nokia</cp:lastModifiedBy>
  <cp:revision>9</cp:revision>
  <cp:lastPrinted>2016-06-20T11:35:00Z</cp:lastPrinted>
  <dcterms:created xsi:type="dcterms:W3CDTF">2018-01-12T07:03:00Z</dcterms:created>
  <dcterms:modified xsi:type="dcterms:W3CDTF">2018-01-12T16:13:00Z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1c9eebef-3c87-42a8-8083-4c8c51cf6909</vt:lpwstr>
  </property>
</Properties>
</file>