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1DD8D8D1"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3GPP TSG RAN WG1 Meeting AH 1801</w:t>
      </w:r>
      <w:r w:rsidR="0015141B" w:rsidRPr="00EE006E">
        <w:rPr>
          <w:rFonts w:hint="eastAsia"/>
          <w:b/>
          <w:sz w:val="24"/>
          <w:szCs w:val="24"/>
          <w:lang w:eastAsia="ko-KR"/>
        </w:rPr>
        <w:tab/>
      </w:r>
      <w:r w:rsidR="0015141B" w:rsidRPr="007D6F04">
        <w:rPr>
          <w:rFonts w:hint="eastAsia"/>
          <w:b/>
          <w:i/>
          <w:sz w:val="24"/>
          <w:szCs w:val="24"/>
          <w:lang w:eastAsia="ko-KR"/>
        </w:rPr>
        <w:t>R1-</w:t>
      </w:r>
      <w:r w:rsidR="006A6F6C">
        <w:rPr>
          <w:b/>
          <w:i/>
          <w:sz w:val="24"/>
          <w:szCs w:val="24"/>
          <w:lang w:eastAsia="ko-KR"/>
        </w:rPr>
        <w:t>1800412</w:t>
      </w:r>
    </w:p>
    <w:bookmarkEnd w:id="0"/>
    <w:bookmarkEnd w:id="1"/>
    <w:p w14:paraId="4186FD92" w14:textId="5839341B" w:rsidR="0015141B" w:rsidRPr="00EE006E" w:rsidRDefault="00ED0D79" w:rsidP="0015141B">
      <w:pPr>
        <w:pStyle w:val="CRCoverPage"/>
        <w:spacing w:after="240"/>
        <w:jc w:val="both"/>
        <w:outlineLvl w:val="0"/>
        <w:rPr>
          <w:b/>
          <w:noProof/>
          <w:sz w:val="24"/>
          <w:szCs w:val="24"/>
        </w:rPr>
      </w:pPr>
      <w:r w:rsidRPr="00ED0D79">
        <w:rPr>
          <w:b/>
          <w:bCs/>
          <w:noProof/>
          <w:sz w:val="24"/>
          <w:szCs w:val="24"/>
          <w:lang w:eastAsia="ko-KR"/>
        </w:rPr>
        <w:t xml:space="preserve">Vancouver, Canada, January 22nd – 26th, </w:t>
      </w:r>
      <w:r>
        <w:rPr>
          <w:b/>
          <w:bCs/>
          <w:noProof/>
          <w:sz w:val="24"/>
          <w:szCs w:val="24"/>
          <w:lang w:eastAsia="ko-KR"/>
        </w:rPr>
        <w:t>2018</w:t>
      </w:r>
    </w:p>
    <w:p w14:paraId="08664EDD" w14:textId="0743FBA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6E6E9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Corrections on Synchronization Signal</w:t>
      </w:r>
      <w:r w:rsidR="003B3A03">
        <w:rPr>
          <w:rFonts w:ascii="Arial" w:hAnsi="Arial"/>
          <w:sz w:val="24"/>
        </w:rPr>
        <w:t>l</w:t>
      </w:r>
      <w:r w:rsidR="00ED0D79" w:rsidRPr="00ED0D79">
        <w:rPr>
          <w:rFonts w:ascii="Arial" w:hAnsi="Arial"/>
          <w:sz w:val="24"/>
        </w:rPr>
        <w:t>ing</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72C3C6E1"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corrections and remaining issues on synchronization s</w:t>
      </w:r>
      <w:r w:rsidR="003B3A03" w:rsidRPr="003B3A03">
        <w:rPr>
          <w:lang w:val="en-US" w:eastAsia="ja-JP"/>
        </w:rPr>
        <w:t>ignaling</w:t>
      </w:r>
      <w:r w:rsidRPr="00EE006E">
        <w:rPr>
          <w:lang w:val="en-US" w:eastAsia="ja-JP"/>
        </w:rPr>
        <w:t>:</w:t>
      </w:r>
    </w:p>
    <w:p w14:paraId="5958DCC8" w14:textId="5BB189C4" w:rsidR="00EB2B9B" w:rsidRPr="00EE006E" w:rsidRDefault="00EB2B9B" w:rsidP="00EB2B9B">
      <w:pPr>
        <w:pStyle w:val="ListParagraph"/>
        <w:numPr>
          <w:ilvl w:val="0"/>
          <w:numId w:val="43"/>
        </w:numPr>
        <w:ind w:leftChars="0"/>
        <w:rPr>
          <w:lang w:val="en-US" w:eastAsia="ja-JP"/>
        </w:rPr>
      </w:pPr>
      <w:r w:rsidRPr="00EE006E">
        <w:rPr>
          <w:lang w:val="en-US" w:eastAsia="ja-JP"/>
        </w:rPr>
        <w:t xml:space="preserve">OFDM </w:t>
      </w:r>
      <w:r w:rsidR="0085720E" w:rsidRPr="00EE006E">
        <w:rPr>
          <w:lang w:val="en-US" w:eastAsia="ja-JP"/>
        </w:rPr>
        <w:t xml:space="preserve">baseband signal </w:t>
      </w:r>
      <w:r w:rsidRPr="00EE006E">
        <w:rPr>
          <w:lang w:val="en-US" w:eastAsia="ja-JP"/>
        </w:rPr>
        <w:t xml:space="preserve">generation </w:t>
      </w:r>
    </w:p>
    <w:p w14:paraId="411AC876" w14:textId="3B21159D" w:rsidR="00EB2B9B" w:rsidRPr="00EE006E" w:rsidRDefault="003B3A03" w:rsidP="00EB2B9B">
      <w:pPr>
        <w:pStyle w:val="ListParagraph"/>
        <w:numPr>
          <w:ilvl w:val="0"/>
          <w:numId w:val="43"/>
        </w:numPr>
        <w:ind w:leftChars="0"/>
        <w:rPr>
          <w:lang w:val="en-US" w:eastAsia="ja-JP"/>
        </w:rPr>
      </w:pPr>
      <w:r>
        <w:rPr>
          <w:lang w:val="en-US" w:eastAsia="ja-JP"/>
        </w:rPr>
        <w:t>Corrections</w:t>
      </w:r>
      <w:r w:rsidR="00EB2B9B" w:rsidRPr="00EE006E">
        <w:rPr>
          <w:lang w:val="en-US" w:eastAsia="ja-JP"/>
        </w:rPr>
        <w:t xml:space="preserve"> on rate matching </w:t>
      </w:r>
      <w:r>
        <w:rPr>
          <w:lang w:val="en-US" w:eastAsia="ja-JP"/>
        </w:rPr>
        <w:t>around SS/PBCH blocks</w:t>
      </w:r>
    </w:p>
    <w:p w14:paraId="679ACB42" w14:textId="506B7CA0" w:rsidR="00530B88" w:rsidRPr="00EE006E" w:rsidRDefault="00530B8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 xml:space="preserve">OFDM </w:t>
      </w:r>
      <w:r w:rsidR="00261832" w:rsidRPr="00EE006E">
        <w:t xml:space="preserve">Baseband </w:t>
      </w:r>
      <w:r w:rsidRPr="00EE006E">
        <w:t>S</w:t>
      </w:r>
      <w:r w:rsidR="00261832" w:rsidRPr="00EE006E">
        <w:rPr>
          <w:rFonts w:hint="eastAsia"/>
        </w:rPr>
        <w:t>ignal</w:t>
      </w:r>
      <w:r w:rsidRPr="00EE006E">
        <w:t xml:space="preserve"> Generation</w:t>
      </w:r>
    </w:p>
    <w:tbl>
      <w:tblPr>
        <w:tblStyle w:val="TableGrid"/>
        <w:tblpPr w:leftFromText="180" w:rightFromText="180" w:vertAnchor="text" w:horzAnchor="margin" w:tblpX="108" w:tblpY="1158"/>
        <w:tblW w:w="0" w:type="auto"/>
        <w:tblLook w:val="04A0" w:firstRow="1" w:lastRow="0" w:firstColumn="1" w:lastColumn="0" w:noHBand="0" w:noVBand="1"/>
      </w:tblPr>
      <w:tblGrid>
        <w:gridCol w:w="9736"/>
      </w:tblGrid>
      <w:tr w:rsidR="006A6F6C" w14:paraId="77C826CA" w14:textId="77777777" w:rsidTr="00BF3BB8">
        <w:trPr>
          <w:trHeight w:val="2353"/>
        </w:trPr>
        <w:tc>
          <w:tcPr>
            <w:tcW w:w="9736" w:type="dxa"/>
            <w:tcBorders>
              <w:top w:val="single" w:sz="4" w:space="0" w:color="000000"/>
              <w:left w:val="single" w:sz="4" w:space="0" w:color="000000"/>
              <w:bottom w:val="single" w:sz="4" w:space="0" w:color="000000"/>
              <w:right w:val="single" w:sz="4" w:space="0" w:color="000000"/>
            </w:tcBorders>
            <w:hideMark/>
          </w:tcPr>
          <w:p w14:paraId="1CF992F3" w14:textId="77777777" w:rsidR="006A6F6C" w:rsidRDefault="006A6F6C" w:rsidP="006A6F6C">
            <w:pPr>
              <w:spacing w:before="240"/>
              <w:rPr>
                <w:lang w:val="en-US" w:eastAsia="x-none"/>
              </w:rPr>
            </w:pPr>
            <w:r>
              <w:rPr>
                <w:lang w:val="en-US" w:eastAsia="x-none"/>
              </w:rPr>
              <w:t>[91-NR-03]</w:t>
            </w:r>
            <w:r>
              <w:rPr>
                <w:lang w:val="en-US"/>
              </w:rPr>
              <w:t xml:space="preserve"> – Daewon (Intel)</w:t>
            </w:r>
          </w:p>
          <w:p w14:paraId="2D873E15" w14:textId="77777777" w:rsidR="006A6F6C" w:rsidRDefault="007253E5" w:rsidP="006A6F6C">
            <w:pPr>
              <w:rPr>
                <w:b/>
              </w:rPr>
            </w:pPr>
            <w:hyperlink r:id="rId9" w:history="1">
              <w:r w:rsidR="006A6F6C">
                <w:rPr>
                  <w:rStyle w:val="Hyperlink"/>
                  <w:b/>
                </w:rPr>
                <w:t>R1-1721601</w:t>
              </w:r>
            </w:hyperlink>
            <w:r w:rsidR="006A6F6C">
              <w:rPr>
                <w:b/>
              </w:rPr>
              <w:tab/>
              <w:t>Correcting NR OFDM Symbol Generation</w:t>
            </w:r>
            <w:r w:rsidR="006A6F6C">
              <w:rPr>
                <w:b/>
              </w:rPr>
              <w:tab/>
              <w:t>Intel</w:t>
            </w:r>
          </w:p>
          <w:p w14:paraId="3865823F" w14:textId="77777777" w:rsidR="006A6F6C" w:rsidRDefault="006A6F6C" w:rsidP="006A6F6C">
            <w:pPr>
              <w:rPr>
                <w:lang w:val="en-US"/>
              </w:rPr>
            </w:pPr>
            <w:r>
              <w:rPr>
                <w:lang w:val="en-US"/>
              </w:rPr>
              <w:t>Email discussion/approval till 12/6</w:t>
            </w:r>
          </w:p>
          <w:p w14:paraId="294283D4" w14:textId="77777777" w:rsidR="006A6F6C" w:rsidRDefault="006A6F6C" w:rsidP="006A6F6C">
            <w:pPr>
              <w:spacing w:after="0"/>
              <w:rPr>
                <w:lang w:val="en-US"/>
              </w:rPr>
            </w:pPr>
            <w:r>
              <w:rPr>
                <w:b/>
                <w:color w:val="C00000"/>
                <w:lang w:val="en-US" w:eastAsia="ja-JP"/>
              </w:rPr>
              <w:t xml:space="preserve">Done: According to </w:t>
            </w:r>
            <w:proofErr w:type="spellStart"/>
            <w:r>
              <w:rPr>
                <w:b/>
                <w:color w:val="C00000"/>
                <w:lang w:val="en-US" w:eastAsia="ja-JP"/>
              </w:rPr>
              <w:t>Mr</w:t>
            </w:r>
            <w:proofErr w:type="spellEnd"/>
            <w:r>
              <w:rPr>
                <w:b/>
                <w:color w:val="C00000"/>
                <w:lang w:val="en-US" w:eastAsia="ja-JP"/>
              </w:rPr>
              <w:t xml:space="preserve"> Chair’s email decision posted on Dec.8</w:t>
            </w:r>
            <w:r>
              <w:rPr>
                <w:b/>
                <w:color w:val="C00000"/>
                <w:vertAlign w:val="superscript"/>
                <w:lang w:val="en-US" w:eastAsia="ja-JP"/>
              </w:rPr>
              <w:t>th</w:t>
            </w:r>
            <w:r>
              <w:rPr>
                <w:b/>
                <w:color w:val="C00000"/>
                <w:lang w:val="en-US" w:eastAsia="ja-JP"/>
              </w:rPr>
              <w:t>,</w:t>
            </w:r>
            <w:r>
              <w:t xml:space="preserve"> </w:t>
            </w:r>
            <w:r>
              <w:rPr>
                <w:b/>
                <w:color w:val="C00000"/>
                <w:lang w:val="en-US" w:eastAsia="ja-JP"/>
              </w:rPr>
              <w:t>the issue of OFDM symbol generation shall be addressed during the CR phase (starting January 2018). In the meantime, companies are encouraged to perform additional analysis so that decision can be made in January.</w:t>
            </w:r>
          </w:p>
        </w:tc>
      </w:tr>
    </w:tbl>
    <w:p w14:paraId="5F6AB990" w14:textId="75C8E5A4" w:rsidR="006A6F6C" w:rsidRDefault="006A6F6C" w:rsidP="006A6F6C">
      <w:pPr>
        <w:jc w:val="both"/>
      </w:pPr>
      <w:r>
        <w:t xml:space="preserve">In RAN1#91 [1], it was identified that phase rotation across OFDM symbols would impact UE performance during initial access process. This is because initial access UE prior to RMSI reception does not know the amount of potential misalignment between DL carrier frequency </w:t>
      </w:r>
      <w:proofErr w:type="spellStart"/>
      <w:r>
        <w:t>center</w:t>
      </w:r>
      <w:proofErr w:type="spellEnd"/>
      <w:r>
        <w:t xml:space="preserve"> and SS/PBCH block transmission frequency </w:t>
      </w:r>
      <w:proofErr w:type="spellStart"/>
      <w:r>
        <w:t>center</w:t>
      </w:r>
      <w:proofErr w:type="spellEnd"/>
      <w:r>
        <w:t>. Though it was further attempted to address the issue via post-RAN1#91 email discussion [91-NR-03], we cannot finalize it [2]:</w:t>
      </w:r>
    </w:p>
    <w:p w14:paraId="2989FA41" w14:textId="77777777" w:rsidR="006A6F6C" w:rsidRDefault="006A6F6C" w:rsidP="006A6F6C">
      <w:pPr>
        <w:spacing w:after="0"/>
        <w:rPr>
          <w:lang w:val="en-US"/>
        </w:rPr>
      </w:pPr>
    </w:p>
    <w:p w14:paraId="2D5268DB" w14:textId="77777777" w:rsidR="006A6F6C" w:rsidRDefault="006A6F6C" w:rsidP="006A6F6C">
      <w:pPr>
        <w:spacing w:after="0"/>
        <w:rPr>
          <w:lang w:val="en-US"/>
        </w:rPr>
      </w:pPr>
      <w:r>
        <w:rPr>
          <w:lang w:val="en-US"/>
        </w:rPr>
        <w:t>Potential options are available based on the email discussion [91-NR-03] including:</w:t>
      </w:r>
    </w:p>
    <w:p w14:paraId="4D8D59D9" w14:textId="77777777" w:rsidR="006A6F6C" w:rsidRDefault="006A6F6C" w:rsidP="006A6F6C">
      <w:pPr>
        <w:pStyle w:val="ListParagraph"/>
        <w:numPr>
          <w:ilvl w:val="0"/>
          <w:numId w:val="49"/>
        </w:numPr>
        <w:spacing w:after="0"/>
        <w:ind w:leftChars="0"/>
        <w:rPr>
          <w:lang w:val="en-US" w:eastAsia="ja-JP"/>
        </w:rPr>
      </w:pPr>
      <w:r>
        <w:rPr>
          <w:lang w:val="en-US" w:eastAsia="ja-JP"/>
        </w:rPr>
        <w:t>Option 1)</w:t>
      </w:r>
    </w:p>
    <w:p w14:paraId="42BCADD4" w14:textId="77777777" w:rsidR="006A6F6C" w:rsidRDefault="006A6F6C" w:rsidP="006A6F6C">
      <w:pPr>
        <w:pStyle w:val="ListParagraph"/>
        <w:numPr>
          <w:ilvl w:val="1"/>
          <w:numId w:val="49"/>
        </w:numPr>
        <w:spacing w:after="0"/>
        <w:ind w:leftChars="0"/>
        <w:rPr>
          <w:lang w:val="en-US" w:eastAsia="ja-JP"/>
        </w:rPr>
      </w:pPr>
      <w:proofErr w:type="spellStart"/>
      <w:r>
        <w:rPr>
          <w:lang w:val="en-US" w:eastAsia="ja-JP"/>
        </w:rPr>
        <w:t>gNB</w:t>
      </w:r>
      <w:proofErr w:type="spellEnd"/>
      <w:r>
        <w:rPr>
          <w:lang w:val="en-US" w:eastAsia="ja-JP"/>
        </w:rPr>
        <w:t xml:space="preserve"> pre-compensates phase of OFDM symbols of SS/PBCH using center frequency of SS/PBCH</w:t>
      </w:r>
    </w:p>
    <w:p w14:paraId="5B65693E" w14:textId="77777777" w:rsidR="006A6F6C" w:rsidRDefault="006A6F6C" w:rsidP="006A6F6C">
      <w:pPr>
        <w:pStyle w:val="ListParagraph"/>
        <w:numPr>
          <w:ilvl w:val="1"/>
          <w:numId w:val="49"/>
        </w:numPr>
        <w:spacing w:after="0"/>
        <w:ind w:leftChars="0"/>
        <w:rPr>
          <w:lang w:val="en-US" w:eastAsia="ja-JP"/>
        </w:rPr>
      </w:pPr>
      <w:proofErr w:type="spellStart"/>
      <w:r>
        <w:rPr>
          <w:lang w:val="en-US" w:eastAsia="ja-JP"/>
        </w:rPr>
        <w:t>gNB</w:t>
      </w:r>
      <w:proofErr w:type="spellEnd"/>
      <w:r>
        <w:rPr>
          <w:lang w:val="en-US" w:eastAsia="ja-JP"/>
        </w:rPr>
        <w:t xml:space="preserve"> pre-compensates phase of OFDM symbols of RMSI PDCCH and PDSCH using center frequency of SS/PBCH</w:t>
      </w:r>
    </w:p>
    <w:p w14:paraId="5C835773" w14:textId="77777777" w:rsidR="006A6F6C" w:rsidRDefault="006A6F6C" w:rsidP="006A6F6C">
      <w:pPr>
        <w:pStyle w:val="ListParagraph"/>
        <w:numPr>
          <w:ilvl w:val="1"/>
          <w:numId w:val="49"/>
        </w:numPr>
        <w:spacing w:after="0"/>
        <w:ind w:leftChars="0"/>
        <w:rPr>
          <w:lang w:val="en-US" w:eastAsia="ja-JP"/>
        </w:rPr>
      </w:pPr>
      <w:r>
        <w:rPr>
          <w:lang w:val="en-US" w:eastAsia="ja-JP"/>
        </w:rPr>
        <w:t xml:space="preserve">For all other signals/channels, </w:t>
      </w:r>
      <w:proofErr w:type="spellStart"/>
      <w:r>
        <w:rPr>
          <w:lang w:val="en-US" w:eastAsia="ja-JP"/>
        </w:rPr>
        <w:t>gNB</w:t>
      </w:r>
      <w:proofErr w:type="spellEnd"/>
      <w:r>
        <w:rPr>
          <w:lang w:val="en-US" w:eastAsia="ja-JP"/>
        </w:rPr>
        <w:t xml:space="preserve"> does not pre-compensate phase</w:t>
      </w:r>
    </w:p>
    <w:p w14:paraId="35BEAE25" w14:textId="77777777" w:rsidR="006A6F6C" w:rsidRDefault="006A6F6C" w:rsidP="006A6F6C">
      <w:pPr>
        <w:pStyle w:val="ListParagraph"/>
        <w:numPr>
          <w:ilvl w:val="1"/>
          <w:numId w:val="49"/>
        </w:numPr>
        <w:spacing w:after="0"/>
        <w:ind w:leftChars="0"/>
        <w:rPr>
          <w:lang w:val="en-US" w:eastAsia="ja-JP"/>
        </w:rPr>
      </w:pPr>
      <w:r>
        <w:rPr>
          <w:lang w:val="en-US" w:eastAsia="ja-JP"/>
        </w:rPr>
        <w:t>Note: UE will utilize channel bandwidth and k0 signaling in RMSI for any needed compensation</w:t>
      </w:r>
    </w:p>
    <w:p w14:paraId="6F2B9356" w14:textId="77777777" w:rsidR="006A6F6C" w:rsidRDefault="006A6F6C" w:rsidP="006A6F6C">
      <w:pPr>
        <w:pStyle w:val="ListParagraph"/>
        <w:numPr>
          <w:ilvl w:val="0"/>
          <w:numId w:val="49"/>
        </w:numPr>
        <w:spacing w:after="0"/>
        <w:ind w:leftChars="0"/>
        <w:rPr>
          <w:lang w:val="en-US" w:eastAsia="ja-JP"/>
        </w:rPr>
      </w:pPr>
      <w:r>
        <w:rPr>
          <w:lang w:val="en-US" w:eastAsia="ja-JP"/>
        </w:rPr>
        <w:t>Option 2)</w:t>
      </w:r>
    </w:p>
    <w:p w14:paraId="75C03889" w14:textId="77777777" w:rsidR="006A6F6C" w:rsidRDefault="006A6F6C" w:rsidP="006A6F6C">
      <w:pPr>
        <w:pStyle w:val="ListParagraph"/>
        <w:numPr>
          <w:ilvl w:val="1"/>
          <w:numId w:val="49"/>
        </w:numPr>
        <w:spacing w:after="0"/>
        <w:ind w:leftChars="0"/>
        <w:rPr>
          <w:lang w:val="en-US" w:eastAsia="ja-JP"/>
        </w:rPr>
      </w:pPr>
      <w:proofErr w:type="spellStart"/>
      <w:r>
        <w:rPr>
          <w:lang w:val="en-US" w:eastAsia="ja-JP"/>
        </w:rPr>
        <w:t>gNB</w:t>
      </w:r>
      <w:proofErr w:type="spellEnd"/>
      <w:r>
        <w:rPr>
          <w:lang w:val="en-US" w:eastAsia="ja-JP"/>
        </w:rPr>
        <w:t xml:space="preserve"> pre-compensates phase of OFDM symbols of SS/PBCH using center frequency of SS/PBCH</w:t>
      </w:r>
    </w:p>
    <w:p w14:paraId="6A45C7FE" w14:textId="77777777" w:rsidR="006A6F6C" w:rsidRDefault="006A6F6C" w:rsidP="006A6F6C">
      <w:pPr>
        <w:pStyle w:val="ListParagraph"/>
        <w:numPr>
          <w:ilvl w:val="1"/>
          <w:numId w:val="49"/>
        </w:numPr>
        <w:spacing w:after="0"/>
        <w:ind w:leftChars="0"/>
        <w:rPr>
          <w:lang w:val="en-US" w:eastAsia="ja-JP"/>
        </w:rPr>
      </w:pPr>
      <w:proofErr w:type="spellStart"/>
      <w:r>
        <w:rPr>
          <w:lang w:val="en-US" w:eastAsia="ja-JP"/>
        </w:rPr>
        <w:t>gNB</w:t>
      </w:r>
      <w:proofErr w:type="spellEnd"/>
      <w:r>
        <w:rPr>
          <w:lang w:val="en-US" w:eastAsia="ja-JP"/>
        </w:rPr>
        <w:t xml:space="preserve"> pre-compensates phase of OFDM symbols of RMSI PDCCH and PDSCH using center frequency of RMSI CORESET</w:t>
      </w:r>
    </w:p>
    <w:p w14:paraId="12164E97" w14:textId="77777777" w:rsidR="006A6F6C" w:rsidRDefault="006A6F6C" w:rsidP="006A6F6C">
      <w:pPr>
        <w:pStyle w:val="ListParagraph"/>
        <w:numPr>
          <w:ilvl w:val="1"/>
          <w:numId w:val="49"/>
        </w:numPr>
        <w:spacing w:after="0"/>
        <w:ind w:leftChars="0"/>
        <w:rPr>
          <w:lang w:val="en-US" w:eastAsia="ja-JP"/>
        </w:rPr>
      </w:pPr>
      <w:r>
        <w:rPr>
          <w:lang w:val="en-US" w:eastAsia="ja-JP"/>
        </w:rPr>
        <w:t xml:space="preserve">For all other signals/channels, </w:t>
      </w:r>
      <w:proofErr w:type="spellStart"/>
      <w:r>
        <w:rPr>
          <w:lang w:val="en-US" w:eastAsia="ja-JP"/>
        </w:rPr>
        <w:t>gNB</w:t>
      </w:r>
      <w:proofErr w:type="spellEnd"/>
      <w:r>
        <w:rPr>
          <w:lang w:val="en-US" w:eastAsia="ja-JP"/>
        </w:rPr>
        <w:t xml:space="preserve"> does not pre-compensate phase.</w:t>
      </w:r>
    </w:p>
    <w:p w14:paraId="7CD1BF3C" w14:textId="77777777" w:rsidR="006A6F6C" w:rsidRDefault="006A6F6C" w:rsidP="006A6F6C">
      <w:pPr>
        <w:pStyle w:val="ListParagraph"/>
        <w:numPr>
          <w:ilvl w:val="1"/>
          <w:numId w:val="49"/>
        </w:numPr>
        <w:spacing w:after="0"/>
        <w:ind w:leftChars="0"/>
        <w:rPr>
          <w:lang w:val="en-US" w:eastAsia="ja-JP"/>
        </w:rPr>
      </w:pPr>
      <w:r>
        <w:rPr>
          <w:lang w:val="en-US" w:eastAsia="ja-JP"/>
        </w:rPr>
        <w:t>Note: UE will utilize channel bandwidth and k0 signaling in RMSI for any needed compensation</w:t>
      </w:r>
    </w:p>
    <w:p w14:paraId="15A24C79" w14:textId="77777777" w:rsidR="006A6F6C" w:rsidRDefault="006A6F6C" w:rsidP="006A6F6C">
      <w:pPr>
        <w:pStyle w:val="ListParagraph"/>
        <w:numPr>
          <w:ilvl w:val="0"/>
          <w:numId w:val="49"/>
        </w:numPr>
        <w:spacing w:after="0"/>
        <w:ind w:leftChars="0"/>
        <w:rPr>
          <w:lang w:val="en-US" w:eastAsia="ja-JP"/>
        </w:rPr>
      </w:pPr>
      <w:r>
        <w:rPr>
          <w:lang w:val="en-US" w:eastAsia="ja-JP"/>
        </w:rPr>
        <w:t>Option 3)</w:t>
      </w:r>
    </w:p>
    <w:p w14:paraId="0E5C722F" w14:textId="77777777" w:rsidR="006A6F6C" w:rsidRDefault="006A6F6C" w:rsidP="006A6F6C">
      <w:pPr>
        <w:pStyle w:val="ListParagraph"/>
        <w:numPr>
          <w:ilvl w:val="1"/>
          <w:numId w:val="49"/>
        </w:numPr>
        <w:spacing w:after="0"/>
        <w:ind w:leftChars="0"/>
        <w:rPr>
          <w:lang w:val="en-US" w:eastAsia="ja-JP"/>
        </w:rPr>
      </w:pPr>
      <w:proofErr w:type="spellStart"/>
      <w:r>
        <w:rPr>
          <w:lang w:val="en-US" w:eastAsia="ja-JP"/>
        </w:rPr>
        <w:t>gNB</w:t>
      </w:r>
      <w:proofErr w:type="spellEnd"/>
      <w:r>
        <w:rPr>
          <w:lang w:val="en-US" w:eastAsia="ja-JP"/>
        </w:rPr>
        <w:t xml:space="preserve"> pre-compensates all OFDM symbols using center frequency of its own center frequency</w:t>
      </w:r>
    </w:p>
    <w:p w14:paraId="0B953FB5" w14:textId="77777777" w:rsidR="006A6F6C" w:rsidRDefault="006A6F6C" w:rsidP="006A6F6C">
      <w:pPr>
        <w:pStyle w:val="ListParagraph"/>
        <w:numPr>
          <w:ilvl w:val="1"/>
          <w:numId w:val="49"/>
        </w:numPr>
        <w:spacing w:after="0"/>
        <w:ind w:leftChars="0"/>
        <w:rPr>
          <w:lang w:val="en-US" w:eastAsia="ja-JP"/>
        </w:rPr>
      </w:pPr>
      <w:r>
        <w:rPr>
          <w:lang w:val="en-US" w:eastAsia="ja-JP"/>
        </w:rPr>
        <w:t>Note: UE will use its own center frequency for compensation of all signals received.</w:t>
      </w:r>
    </w:p>
    <w:p w14:paraId="77B9B2EE" w14:textId="77777777" w:rsidR="006A6F6C" w:rsidRDefault="006A6F6C" w:rsidP="006A6F6C">
      <w:pPr>
        <w:spacing w:after="0"/>
        <w:rPr>
          <w:lang w:val="en-US"/>
        </w:rPr>
      </w:pPr>
    </w:p>
    <w:p w14:paraId="2A124CCC" w14:textId="77777777" w:rsidR="006A6F6C" w:rsidRDefault="006A6F6C" w:rsidP="006A6F6C">
      <w:pPr>
        <w:jc w:val="both"/>
      </w:pPr>
      <w:r>
        <w:t>It is our understanding that all above options can resolve the phase rotation issue by introducing transmitter side pre-compensation. However, from implementation perspective, option 3 seems more desirable because the UE operation remains the same regardless of the target physical channel for the UE.</w:t>
      </w:r>
    </w:p>
    <w:p w14:paraId="1B18FD29" w14:textId="21DA9CE6" w:rsidR="006A6F6C" w:rsidRDefault="006A6F6C" w:rsidP="006A6F6C">
      <w:pPr>
        <w:jc w:val="both"/>
      </w:pPr>
      <w:r>
        <w:lastRenderedPageBreak/>
        <w:t xml:space="preserve">Though the discussion so far has focused on DL, we do see the similar issue on UL as well. In case of UL, the issue comes from BWP operation which is configured by UE specific manner. Therefore, </w:t>
      </w:r>
      <w:proofErr w:type="spellStart"/>
      <w:r>
        <w:t>gNB</w:t>
      </w:r>
      <w:proofErr w:type="spellEnd"/>
      <w:r>
        <w:t xml:space="preserve"> implementation burden scales along with the number of configured BWPs within a cell (it can be much more for </w:t>
      </w:r>
      <w:r w:rsidR="00BF3BB8">
        <w:t xml:space="preserve">a </w:t>
      </w:r>
      <w:r>
        <w:t>cell</w:t>
      </w:r>
      <w:r w:rsidR="00BF3BB8">
        <w:t xml:space="preserve">, </w:t>
      </w:r>
      <w:r>
        <w:t>while it is up to four for a UE).</w:t>
      </w:r>
    </w:p>
    <w:p w14:paraId="28B4D993" w14:textId="77777777" w:rsidR="006A6F6C" w:rsidRDefault="006A6F6C" w:rsidP="006A6F6C">
      <w:pPr>
        <w:jc w:val="both"/>
      </w:pPr>
      <w:r>
        <w:t>Furthermore, when BWPs are overlapped across multiple UEs, phase compensation would be required to enable MU-MIMO, PUCCH multiplexing, etc.</w:t>
      </w:r>
    </w:p>
    <w:p w14:paraId="3D0BA169" w14:textId="77777777" w:rsidR="006A6F6C" w:rsidRDefault="006A6F6C" w:rsidP="006A6F6C">
      <w:pPr>
        <w:jc w:val="both"/>
      </w:pPr>
      <w:r>
        <w:t xml:space="preserve">Therefore, it is proposed to address phase rotation in DL as well as UL where the phase rotation is pre-compensated at the transmitter side (i.e., </w:t>
      </w:r>
      <w:proofErr w:type="spellStart"/>
      <w:r>
        <w:t>gNB</w:t>
      </w:r>
      <w:proofErr w:type="spellEnd"/>
      <w:r>
        <w:t xml:space="preserve"> for DL transmission and UE for UL transmission).</w:t>
      </w:r>
    </w:p>
    <w:p w14:paraId="023C1E27" w14:textId="2A1E6CC3" w:rsidR="006A6F6C" w:rsidRPr="006A6F6C" w:rsidRDefault="006A6F6C" w:rsidP="006A6F6C">
      <w:pPr>
        <w:spacing w:after="0"/>
        <w:jc w:val="both"/>
        <w:rPr>
          <w:b/>
          <w:u w:val="single"/>
        </w:rPr>
      </w:pPr>
      <w:r w:rsidRPr="006A6F6C">
        <w:rPr>
          <w:b/>
          <w:u w:val="single"/>
        </w:rPr>
        <w:t>Proposal 1:</w:t>
      </w:r>
    </w:p>
    <w:p w14:paraId="575D6BF3" w14:textId="77777777" w:rsidR="006A6F6C" w:rsidRPr="006A6F6C" w:rsidRDefault="006A6F6C" w:rsidP="006A6F6C">
      <w:pPr>
        <w:pStyle w:val="ListParagraph"/>
        <w:numPr>
          <w:ilvl w:val="0"/>
          <w:numId w:val="49"/>
        </w:numPr>
        <w:spacing w:after="0"/>
        <w:ind w:leftChars="0"/>
        <w:jc w:val="both"/>
        <w:rPr>
          <w:b/>
          <w:u w:val="single"/>
          <w:lang w:val="en-US" w:eastAsia="ja-JP"/>
        </w:rPr>
      </w:pPr>
      <w:r w:rsidRPr="006A6F6C">
        <w:rPr>
          <w:b/>
          <w:u w:val="single"/>
          <w:lang w:eastAsia="ja-JP"/>
        </w:rPr>
        <w:t xml:space="preserve">For DL transmission, </w:t>
      </w:r>
      <w:proofErr w:type="spellStart"/>
      <w:r w:rsidRPr="006A6F6C">
        <w:rPr>
          <w:b/>
          <w:u w:val="single"/>
          <w:lang w:val="en-US" w:eastAsia="ja-JP"/>
        </w:rPr>
        <w:t>gNB</w:t>
      </w:r>
      <w:proofErr w:type="spellEnd"/>
      <w:r w:rsidRPr="006A6F6C">
        <w:rPr>
          <w:b/>
          <w:u w:val="single"/>
          <w:lang w:val="en-US" w:eastAsia="ja-JP"/>
        </w:rPr>
        <w:t xml:space="preserve"> pre-compensates all OFDM symbols using DL carrier frequency.</w:t>
      </w:r>
    </w:p>
    <w:p w14:paraId="36032272" w14:textId="77777777" w:rsidR="006A6F6C" w:rsidRPr="006A6F6C" w:rsidRDefault="006A6F6C" w:rsidP="006A6F6C">
      <w:pPr>
        <w:pStyle w:val="ListParagraph"/>
        <w:numPr>
          <w:ilvl w:val="0"/>
          <w:numId w:val="49"/>
        </w:numPr>
        <w:spacing w:after="0"/>
        <w:ind w:leftChars="0"/>
        <w:jc w:val="both"/>
        <w:rPr>
          <w:b/>
          <w:u w:val="single"/>
          <w:lang w:val="en-US" w:eastAsia="ja-JP"/>
        </w:rPr>
      </w:pPr>
      <w:r w:rsidRPr="006A6F6C">
        <w:rPr>
          <w:b/>
          <w:u w:val="single"/>
          <w:lang w:val="en-US" w:eastAsia="ja-JP"/>
        </w:rPr>
        <w:t>For UL transmission, UE pre-compensates all OFDM symbols using UL carrier frequency.</w:t>
      </w:r>
    </w:p>
    <w:p w14:paraId="3D8209DB" w14:textId="30A46BD2" w:rsidR="00530B88" w:rsidRPr="00EE006E" w:rsidRDefault="00BF3BB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Corrections on </w:t>
      </w:r>
      <w:r w:rsidR="00530B88" w:rsidRPr="00EE006E">
        <w:t xml:space="preserve">Rate Matching </w:t>
      </w:r>
      <w:r w:rsidR="00EB2B9B" w:rsidRPr="00EE006E">
        <w:t xml:space="preserve">around </w:t>
      </w:r>
      <w:r w:rsidR="003B3A03">
        <w:t>SS/PBCH Blocks</w:t>
      </w:r>
    </w:p>
    <w:p w14:paraId="76B06371"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2CE85EA8"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0A61CABC"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1C40157D" w14:textId="77777777" w:rsidR="000B748B" w:rsidRPr="00EE006E" w:rsidRDefault="000B748B" w:rsidP="000B748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Batang"/>
          <w:vanish/>
          <w:sz w:val="24"/>
          <w:szCs w:val="32"/>
        </w:rPr>
      </w:pPr>
    </w:p>
    <w:p w14:paraId="4737BB66" w14:textId="2AC41096" w:rsidR="00124404" w:rsidRDefault="00124404" w:rsidP="00124404">
      <w:pPr>
        <w:spacing w:after="0"/>
        <w:jc w:val="both"/>
      </w:pPr>
      <w:r>
        <w:t>So far, NR has</w:t>
      </w:r>
      <w:r>
        <w:t xml:space="preserve"> defined </w:t>
      </w:r>
      <w:r>
        <w:t xml:space="preserve">the following parameters for rate matching and measurement purpose: </w:t>
      </w:r>
      <w:r>
        <w:t xml:space="preserve"> </w:t>
      </w:r>
    </w:p>
    <w:p w14:paraId="401D22C1" w14:textId="7D144867" w:rsidR="00124404" w:rsidRDefault="00124404" w:rsidP="00CA534A">
      <w:pPr>
        <w:pStyle w:val="ListParagraph"/>
        <w:numPr>
          <w:ilvl w:val="0"/>
          <w:numId w:val="50"/>
        </w:numPr>
        <w:spacing w:after="0"/>
        <w:ind w:leftChars="0"/>
        <w:jc w:val="both"/>
      </w:pPr>
      <w:r>
        <w:t xml:space="preserve">For rate matching purpose, </w:t>
      </w:r>
      <w:r w:rsidR="00CA534A" w:rsidRPr="00CA534A">
        <w:rPr>
          <w:i/>
        </w:rPr>
        <w:t>SSB-periodicity-serving-cell</w:t>
      </w:r>
      <w:r w:rsidR="00CA534A" w:rsidRPr="00CA534A">
        <w:t xml:space="preserve"> </w:t>
      </w:r>
      <w:r>
        <w:t xml:space="preserve">is utilized to indicate UE the actually configured periodicity, and </w:t>
      </w:r>
      <w:r>
        <w:t xml:space="preserve">bitmap </w:t>
      </w:r>
      <w:r w:rsidR="00CA534A" w:rsidRPr="00CA534A">
        <w:rPr>
          <w:i/>
        </w:rPr>
        <w:t>SSB-transmitted</w:t>
      </w:r>
      <w:r w:rsidR="00CA534A" w:rsidRPr="00CA534A">
        <w:t xml:space="preserve"> </w:t>
      </w:r>
      <w:r>
        <w:t>is utilized to indicate UE the actually transmitted SS block locations within a burst set</w:t>
      </w:r>
      <w:r>
        <w:t xml:space="preserve"> in serving cell</w:t>
      </w:r>
      <w:r>
        <w:t xml:space="preserve">. </w:t>
      </w:r>
    </w:p>
    <w:p w14:paraId="38CB12C4" w14:textId="57FEFAE7" w:rsidR="00124404" w:rsidRDefault="00124404" w:rsidP="00124404">
      <w:pPr>
        <w:pStyle w:val="ListParagraph"/>
        <w:numPr>
          <w:ilvl w:val="0"/>
          <w:numId w:val="50"/>
        </w:numPr>
        <w:ind w:leftChars="0"/>
        <w:jc w:val="both"/>
      </w:pPr>
      <w:r>
        <w:t xml:space="preserve">For measurement purpose, </w:t>
      </w:r>
      <w:r w:rsidRPr="00CA534A">
        <w:rPr>
          <w:i/>
        </w:rPr>
        <w:t>smtc1{</w:t>
      </w:r>
      <w:proofErr w:type="spellStart"/>
      <w:r w:rsidRPr="00CA534A">
        <w:rPr>
          <w:i/>
        </w:rPr>
        <w:t>periodicityAndOffset</w:t>
      </w:r>
      <w:proofErr w:type="spellEnd"/>
      <w:r w:rsidRPr="00CA534A">
        <w:rPr>
          <w:i/>
        </w:rPr>
        <w:t>}</w:t>
      </w:r>
      <w:r>
        <w:t xml:space="preserve"> is utilized to indicate UE the periodicity </w:t>
      </w:r>
      <w:r>
        <w:t xml:space="preserve">and offset </w:t>
      </w:r>
      <w:r>
        <w:t xml:space="preserve">of the SMTC window, and </w:t>
      </w:r>
      <w:r>
        <w:t xml:space="preserve">bitmap </w:t>
      </w:r>
      <w:proofErr w:type="spellStart"/>
      <w:r w:rsidRPr="00CA534A">
        <w:rPr>
          <w:i/>
        </w:rPr>
        <w:t>ssb-ToMeasure</w:t>
      </w:r>
      <w:proofErr w:type="spellEnd"/>
      <w:r>
        <w:t xml:space="preserve"> is utilized to indicate UE which SSB locations within a burst set are required to measure. </w:t>
      </w:r>
    </w:p>
    <w:p w14:paraId="0EEBA91E" w14:textId="3CDA580F" w:rsidR="00124404" w:rsidRDefault="00124404" w:rsidP="00CA534A">
      <w:pPr>
        <w:jc w:val="both"/>
      </w:pPr>
      <w:r w:rsidRPr="00124404">
        <w:t>Currently, there is no limitation on the relationship between the two sets of parameters</w:t>
      </w:r>
      <w:r>
        <w:t xml:space="preserve"> in the spec</w:t>
      </w:r>
      <w:r w:rsidRPr="00124404">
        <w:t xml:space="preserve">, and they can be configured </w:t>
      </w:r>
      <w:r>
        <w:t>independently</w:t>
      </w:r>
      <w:r w:rsidRPr="00124404">
        <w:t xml:space="preserve">. </w:t>
      </w:r>
      <w:r>
        <w:t xml:space="preserve">There exists problematic configuration when </w:t>
      </w:r>
      <w:r w:rsidRPr="00124404">
        <w:t xml:space="preserve">inconsistence between the two sets of </w:t>
      </w:r>
      <w:r>
        <w:t>parameters happens, such that the UE implementation complexity is increased</w:t>
      </w:r>
      <w:r w:rsidR="00F0589B">
        <w:t xml:space="preserve">. For example, as shown in </w:t>
      </w:r>
      <w:r w:rsidR="00F0589B">
        <w:fldChar w:fldCharType="begin"/>
      </w:r>
      <w:r w:rsidR="00F0589B">
        <w:instrText xml:space="preserve"> REF _Ref503451501 \h </w:instrText>
      </w:r>
      <w:r w:rsidR="00F0589B">
        <w:fldChar w:fldCharType="separate"/>
      </w:r>
      <w:r w:rsidR="00F0589B">
        <w:t xml:space="preserve">FIGURE </w:t>
      </w:r>
      <w:r w:rsidR="00F0589B">
        <w:rPr>
          <w:noProof/>
        </w:rPr>
        <w:t>1</w:t>
      </w:r>
      <w:r w:rsidR="00F0589B">
        <w:fldChar w:fldCharType="end"/>
      </w:r>
      <w:r w:rsidR="00F0589B">
        <w:t xml:space="preserve">, when mismatch between the bitmap for rate matching and measurement happens, the UE may be required to perform measurement on the nominal SS/PBCH block locations without actually transmitted SS/PBCH block. The same issue happens when the configured periodicity for rate matching purpose (i.e., </w:t>
      </w:r>
      <w:r w:rsidR="00CA534A" w:rsidRPr="00CA534A">
        <w:rPr>
          <w:i/>
        </w:rPr>
        <w:t>SSB-periodicity-serving-cell</w:t>
      </w:r>
      <w:r w:rsidR="00F0589B">
        <w:t xml:space="preserve">) is larger than the one for SMTC. In those problematic configurations, the UE has to perform measurement and decoding of PDSCH at the same time, which causes extra meaningless burden to the UE since the SS-based measurement without SS/PBCH block transmitted is not valid. </w:t>
      </w:r>
    </w:p>
    <w:p w14:paraId="4D916BDB" w14:textId="1054A015" w:rsidR="00F0589B" w:rsidRDefault="00CA534A" w:rsidP="00F0589B">
      <w:pPr>
        <w:keepNext/>
        <w:spacing w:after="0"/>
        <w:jc w:val="both"/>
      </w:pPr>
      <w:r>
        <w:object w:dxaOrig="12090" w:dyaOrig="4230" w14:anchorId="6DD12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8.45pt" o:ole="">
            <v:imagedata r:id="rId10" o:title=""/>
          </v:shape>
          <o:OLEObject Type="Embed" ProgID="Visio.Drawing.15" ShapeID="_x0000_i1025" DrawAspect="Content" ObjectID="_1577194707" r:id="rId11"/>
        </w:object>
      </w:r>
    </w:p>
    <w:p w14:paraId="3206A5D2" w14:textId="47B5E005" w:rsidR="00124404" w:rsidRDefault="00F0589B" w:rsidP="00F0589B">
      <w:pPr>
        <w:pStyle w:val="Caption"/>
      </w:pPr>
      <w:bookmarkStart w:id="3" w:name="_Ref503451501"/>
      <w:r>
        <w:t xml:space="preserve">FIGURE </w:t>
      </w:r>
      <w:r>
        <w:fldChar w:fldCharType="begin"/>
      </w:r>
      <w:r>
        <w:instrText xml:space="preserve"> SEQ FIGURE \* ARABIC </w:instrText>
      </w:r>
      <w:r>
        <w:fldChar w:fldCharType="separate"/>
      </w:r>
      <w:r>
        <w:rPr>
          <w:noProof/>
        </w:rPr>
        <w:t>1</w:t>
      </w:r>
      <w:r>
        <w:fldChar w:fldCharType="end"/>
      </w:r>
      <w:bookmarkEnd w:id="3"/>
    </w:p>
    <w:p w14:paraId="6A1C499B" w14:textId="6EBBA7B5" w:rsidR="00367459" w:rsidRDefault="00F0589B" w:rsidP="00CA534A">
      <w:pPr>
        <w:jc w:val="both"/>
      </w:pPr>
      <w:r>
        <w:t xml:space="preserve">To solve the issue, we propose to perform rate matching around SS/PBCH blocks based on the union of bitmap </w:t>
      </w:r>
      <w:r w:rsidR="00CA534A" w:rsidRPr="00CA534A">
        <w:rPr>
          <w:i/>
        </w:rPr>
        <w:t>SSB-transmitted</w:t>
      </w:r>
      <w:r>
        <w:t xml:space="preserve"> and bitmap </w:t>
      </w:r>
      <w:proofErr w:type="spellStart"/>
      <w:r w:rsidR="00CA534A" w:rsidRPr="00CA534A">
        <w:rPr>
          <w:i/>
        </w:rPr>
        <w:t>ssb-ToMeasure</w:t>
      </w:r>
      <w:proofErr w:type="spellEnd"/>
      <w:r w:rsidR="00CA534A">
        <w:t xml:space="preserve">, when the PDSCH is within the SMTC window. </w:t>
      </w:r>
    </w:p>
    <w:p w14:paraId="5143F427" w14:textId="23587A76" w:rsidR="00CA534A" w:rsidRPr="00CA534A" w:rsidRDefault="00CA534A" w:rsidP="00124404">
      <w:pPr>
        <w:spacing w:after="0"/>
        <w:jc w:val="both"/>
        <w:rPr>
          <w:b/>
          <w:u w:val="single"/>
        </w:rPr>
      </w:pPr>
      <w:r w:rsidRPr="00CA534A">
        <w:rPr>
          <w:b/>
          <w:u w:val="single"/>
        </w:rPr>
        <w:t xml:space="preserve">Proposal 2: </w:t>
      </w:r>
      <w:r w:rsidR="000F3359">
        <w:rPr>
          <w:b/>
          <w:u w:val="single"/>
        </w:rPr>
        <w:t xml:space="preserve">The </w:t>
      </w:r>
      <w:r w:rsidRPr="00CA534A">
        <w:rPr>
          <w:b/>
          <w:u w:val="single"/>
        </w:rPr>
        <w:t xml:space="preserve">UE assumes </w:t>
      </w:r>
      <w:r w:rsidRPr="00CA534A">
        <w:rPr>
          <w:rFonts w:ascii="Times" w:eastAsia="Batang" w:hAnsi="Times"/>
          <w:b/>
          <w:u w:val="single"/>
        </w:rPr>
        <w:t>SS/PBCH block transmission according to the</w:t>
      </w:r>
      <w:r w:rsidRPr="00CA534A">
        <w:rPr>
          <w:rFonts w:ascii="Times" w:eastAsia="Batang" w:hAnsi="Times"/>
          <w:b/>
          <w:u w:val="single"/>
        </w:rPr>
        <w:t xml:space="preserve"> union of</w:t>
      </w:r>
      <w:r w:rsidRPr="00CA534A">
        <w:rPr>
          <w:rFonts w:ascii="Times" w:eastAsia="Batang" w:hAnsi="Times"/>
          <w:b/>
          <w:u w:val="single"/>
        </w:rPr>
        <w:t xml:space="preserve"> </w:t>
      </w:r>
      <w:r w:rsidRPr="00CA534A">
        <w:rPr>
          <w:b/>
          <w:i/>
          <w:u w:val="single"/>
        </w:rPr>
        <w:t>SSB-transmitted</w:t>
      </w:r>
      <w:r w:rsidRPr="00CA534A">
        <w:rPr>
          <w:b/>
          <w:i/>
          <w:u w:val="single"/>
        </w:rPr>
        <w:t xml:space="preserve"> </w:t>
      </w:r>
      <w:r w:rsidRPr="00CA534A">
        <w:rPr>
          <w:b/>
          <w:u w:val="single"/>
        </w:rPr>
        <w:t>and</w:t>
      </w:r>
      <w:r w:rsidRPr="00CA534A">
        <w:rPr>
          <w:b/>
          <w:i/>
          <w:u w:val="single"/>
        </w:rPr>
        <w:t xml:space="preserve"> </w:t>
      </w:r>
      <w:proofErr w:type="spellStart"/>
      <w:r w:rsidRPr="00CA534A">
        <w:rPr>
          <w:b/>
          <w:i/>
          <w:u w:val="single"/>
        </w:rPr>
        <w:t>ssb-ToMeasure</w:t>
      </w:r>
      <w:proofErr w:type="spellEnd"/>
      <w:r w:rsidRPr="00CA534A">
        <w:rPr>
          <w:b/>
          <w:u w:val="single"/>
        </w:rPr>
        <w:t xml:space="preserve">, </w:t>
      </w:r>
      <w:r w:rsidR="000F3359">
        <w:rPr>
          <w:b/>
          <w:u w:val="single"/>
        </w:rPr>
        <w:t>if</w:t>
      </w:r>
      <w:r w:rsidRPr="00CA534A">
        <w:rPr>
          <w:b/>
          <w:u w:val="single"/>
        </w:rPr>
        <w:t xml:space="preserve"> the </w:t>
      </w:r>
      <w:r w:rsidRPr="00CA534A">
        <w:rPr>
          <w:b/>
          <w:u w:val="single"/>
        </w:rPr>
        <w:t xml:space="preserve">received </w:t>
      </w:r>
      <w:r w:rsidRPr="00CA534A">
        <w:rPr>
          <w:b/>
          <w:u w:val="single"/>
        </w:rPr>
        <w:t>PDSCH is within the SMTC window</w:t>
      </w:r>
      <w:r w:rsidRPr="00CA534A">
        <w:rPr>
          <w:b/>
          <w:u w:val="single"/>
        </w:rPr>
        <w:t xml:space="preserve">. </w:t>
      </w:r>
      <w:r w:rsidR="000F3359">
        <w:rPr>
          <w:b/>
          <w:u w:val="single"/>
        </w:rPr>
        <w:t xml:space="preserve">The </w:t>
      </w:r>
      <w:r w:rsidR="000F3359" w:rsidRPr="00CA534A">
        <w:rPr>
          <w:b/>
          <w:u w:val="single"/>
        </w:rPr>
        <w:t xml:space="preserve">UE assumes </w:t>
      </w:r>
      <w:r w:rsidR="000F3359" w:rsidRPr="00CA534A">
        <w:rPr>
          <w:rFonts w:ascii="Times" w:eastAsia="Batang" w:hAnsi="Times"/>
          <w:b/>
          <w:u w:val="single"/>
        </w:rPr>
        <w:t xml:space="preserve">SS/PBCH block transmission according to </w:t>
      </w:r>
      <w:r w:rsidR="000F3359" w:rsidRPr="00CA534A">
        <w:rPr>
          <w:b/>
          <w:i/>
          <w:u w:val="single"/>
        </w:rPr>
        <w:t>SSB-transmitted</w:t>
      </w:r>
      <w:r w:rsidR="000F3359" w:rsidRPr="00CA534A">
        <w:rPr>
          <w:b/>
          <w:u w:val="single"/>
        </w:rPr>
        <w:t xml:space="preserve">, </w:t>
      </w:r>
      <w:r w:rsidR="000F3359">
        <w:rPr>
          <w:b/>
          <w:u w:val="single"/>
        </w:rPr>
        <w:t>if</w:t>
      </w:r>
      <w:r w:rsidR="000F3359" w:rsidRPr="00CA534A">
        <w:rPr>
          <w:b/>
          <w:u w:val="single"/>
        </w:rPr>
        <w:t xml:space="preserve"> the received PDSCH is </w:t>
      </w:r>
      <w:r w:rsidR="000F3359">
        <w:rPr>
          <w:b/>
          <w:u w:val="single"/>
        </w:rPr>
        <w:t xml:space="preserve">not </w:t>
      </w:r>
      <w:r w:rsidR="000F3359" w:rsidRPr="00CA534A">
        <w:rPr>
          <w:b/>
          <w:u w:val="single"/>
        </w:rPr>
        <w:t>within the SMTC window.</w:t>
      </w:r>
    </w:p>
    <w:p w14:paraId="51842EE7" w14:textId="1A1FC556" w:rsidR="002649E1" w:rsidRPr="00EE006E" w:rsidRDefault="00031EF0" w:rsidP="002649E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E2B376C" w14:textId="2DFC84A4" w:rsidR="00EE006E" w:rsidRPr="00031EF0" w:rsidRDefault="00031EF0" w:rsidP="00530B88">
      <w:r w:rsidRPr="00031EF0">
        <w:t xml:space="preserve">The </w:t>
      </w:r>
      <w:r>
        <w:t>proposals made in this contribution are summarized below:</w:t>
      </w:r>
    </w:p>
    <w:p w14:paraId="455338A5" w14:textId="77777777" w:rsidR="008A2FC4" w:rsidRPr="006A6F6C" w:rsidRDefault="008A2FC4" w:rsidP="008A2FC4">
      <w:pPr>
        <w:spacing w:after="0"/>
        <w:jc w:val="both"/>
        <w:rPr>
          <w:b/>
          <w:u w:val="single"/>
        </w:rPr>
      </w:pPr>
      <w:r w:rsidRPr="006A6F6C">
        <w:rPr>
          <w:b/>
          <w:u w:val="single"/>
        </w:rPr>
        <w:lastRenderedPageBreak/>
        <w:t>Proposal 1:</w:t>
      </w:r>
    </w:p>
    <w:p w14:paraId="24B0ED48" w14:textId="77777777" w:rsidR="008A2FC4" w:rsidRPr="006A6F6C" w:rsidRDefault="008A2FC4" w:rsidP="008A2FC4">
      <w:pPr>
        <w:pStyle w:val="ListParagraph"/>
        <w:numPr>
          <w:ilvl w:val="0"/>
          <w:numId w:val="49"/>
        </w:numPr>
        <w:spacing w:after="0"/>
        <w:ind w:leftChars="0"/>
        <w:jc w:val="both"/>
        <w:rPr>
          <w:b/>
          <w:u w:val="single"/>
          <w:lang w:val="en-US" w:eastAsia="ja-JP"/>
        </w:rPr>
      </w:pPr>
      <w:r w:rsidRPr="006A6F6C">
        <w:rPr>
          <w:b/>
          <w:u w:val="single"/>
          <w:lang w:eastAsia="ja-JP"/>
        </w:rPr>
        <w:t xml:space="preserve">For DL transmission, </w:t>
      </w:r>
      <w:proofErr w:type="spellStart"/>
      <w:r w:rsidRPr="006A6F6C">
        <w:rPr>
          <w:b/>
          <w:u w:val="single"/>
          <w:lang w:val="en-US" w:eastAsia="ja-JP"/>
        </w:rPr>
        <w:t>gNB</w:t>
      </w:r>
      <w:proofErr w:type="spellEnd"/>
      <w:r w:rsidRPr="006A6F6C">
        <w:rPr>
          <w:b/>
          <w:u w:val="single"/>
          <w:lang w:val="en-US" w:eastAsia="ja-JP"/>
        </w:rPr>
        <w:t xml:space="preserve"> pre-compensates all OFDM symbols using DL carrier frequency.</w:t>
      </w:r>
    </w:p>
    <w:p w14:paraId="328BA6BE" w14:textId="77777777" w:rsidR="008A2FC4" w:rsidRPr="006A6F6C" w:rsidRDefault="008A2FC4" w:rsidP="006D76D7">
      <w:pPr>
        <w:pStyle w:val="ListParagraph"/>
        <w:numPr>
          <w:ilvl w:val="0"/>
          <w:numId w:val="49"/>
        </w:numPr>
        <w:ind w:leftChars="0"/>
        <w:jc w:val="both"/>
        <w:rPr>
          <w:b/>
          <w:u w:val="single"/>
          <w:lang w:val="en-US" w:eastAsia="ja-JP"/>
        </w:rPr>
      </w:pPr>
      <w:r w:rsidRPr="006A6F6C">
        <w:rPr>
          <w:b/>
          <w:u w:val="single"/>
          <w:lang w:val="en-US" w:eastAsia="ja-JP"/>
        </w:rPr>
        <w:t>For UL transmission, UE pre-compensates all OFDM symbols using UL carrier frequency.</w:t>
      </w:r>
    </w:p>
    <w:p w14:paraId="0B13B4F5" w14:textId="77777777" w:rsidR="000F3359" w:rsidRPr="00CA534A" w:rsidRDefault="000F3359" w:rsidP="000F3359">
      <w:pPr>
        <w:jc w:val="both"/>
        <w:rPr>
          <w:b/>
          <w:u w:val="single"/>
        </w:rPr>
      </w:pPr>
      <w:r w:rsidRPr="00CA534A">
        <w:rPr>
          <w:b/>
          <w:u w:val="single"/>
        </w:rPr>
        <w:t xml:space="preserve">Proposal 2: </w:t>
      </w:r>
      <w:r>
        <w:rPr>
          <w:b/>
          <w:u w:val="single"/>
        </w:rPr>
        <w:t xml:space="preserve">The </w:t>
      </w:r>
      <w:r w:rsidRPr="00CA534A">
        <w:rPr>
          <w:b/>
          <w:u w:val="single"/>
        </w:rPr>
        <w:t xml:space="preserve">UE assumes </w:t>
      </w:r>
      <w:r w:rsidRPr="00CA534A">
        <w:rPr>
          <w:rFonts w:ascii="Times" w:eastAsia="Batang" w:hAnsi="Times"/>
          <w:b/>
          <w:u w:val="single"/>
        </w:rPr>
        <w:t xml:space="preserve">SS/PBCH block transmission according to the union of </w:t>
      </w:r>
      <w:r w:rsidRPr="00CA534A">
        <w:rPr>
          <w:b/>
          <w:i/>
          <w:u w:val="single"/>
        </w:rPr>
        <w:t xml:space="preserve">SSB-transmitted </w:t>
      </w:r>
      <w:r w:rsidRPr="00CA534A">
        <w:rPr>
          <w:b/>
          <w:u w:val="single"/>
        </w:rPr>
        <w:t>and</w:t>
      </w:r>
      <w:r w:rsidRPr="00CA534A">
        <w:rPr>
          <w:b/>
          <w:i/>
          <w:u w:val="single"/>
        </w:rPr>
        <w:t xml:space="preserve"> </w:t>
      </w:r>
      <w:proofErr w:type="spellStart"/>
      <w:r w:rsidRPr="00CA534A">
        <w:rPr>
          <w:b/>
          <w:i/>
          <w:u w:val="single"/>
        </w:rPr>
        <w:t>ssb-ToMeasure</w:t>
      </w:r>
      <w:proofErr w:type="spellEnd"/>
      <w:r w:rsidRPr="00CA534A">
        <w:rPr>
          <w:b/>
          <w:u w:val="single"/>
        </w:rPr>
        <w:t xml:space="preserve">, </w:t>
      </w:r>
      <w:r>
        <w:rPr>
          <w:b/>
          <w:u w:val="single"/>
        </w:rPr>
        <w:t>if</w:t>
      </w:r>
      <w:r w:rsidRPr="00CA534A">
        <w:rPr>
          <w:b/>
          <w:u w:val="single"/>
        </w:rPr>
        <w:t xml:space="preserve"> the received PDSCH is within the SMTC window. </w:t>
      </w:r>
      <w:r>
        <w:rPr>
          <w:b/>
          <w:u w:val="single"/>
        </w:rPr>
        <w:t xml:space="preserve">The </w:t>
      </w:r>
      <w:r w:rsidRPr="00CA534A">
        <w:rPr>
          <w:b/>
          <w:u w:val="single"/>
        </w:rPr>
        <w:t xml:space="preserve">UE assumes </w:t>
      </w:r>
      <w:r w:rsidRPr="00CA534A">
        <w:rPr>
          <w:rFonts w:ascii="Times" w:eastAsia="Batang" w:hAnsi="Times"/>
          <w:b/>
          <w:u w:val="single"/>
        </w:rPr>
        <w:t xml:space="preserve">SS/PBCH block transmission according to </w:t>
      </w:r>
      <w:r w:rsidRPr="00CA534A">
        <w:rPr>
          <w:b/>
          <w:i/>
          <w:u w:val="single"/>
        </w:rPr>
        <w:t>SSB-transmitted</w:t>
      </w:r>
      <w:r w:rsidRPr="00CA534A">
        <w:rPr>
          <w:b/>
          <w:u w:val="single"/>
        </w:rPr>
        <w:t xml:space="preserve">, </w:t>
      </w:r>
      <w:r>
        <w:rPr>
          <w:b/>
          <w:u w:val="single"/>
        </w:rPr>
        <w:t>if</w:t>
      </w:r>
      <w:r w:rsidRPr="00CA534A">
        <w:rPr>
          <w:b/>
          <w:u w:val="single"/>
        </w:rPr>
        <w:t xml:space="preserve"> the received PDSCH is </w:t>
      </w:r>
      <w:r>
        <w:rPr>
          <w:b/>
          <w:u w:val="single"/>
        </w:rPr>
        <w:t xml:space="preserve">not </w:t>
      </w:r>
      <w:r w:rsidRPr="00CA534A">
        <w:rPr>
          <w:b/>
          <w:u w:val="single"/>
        </w:rPr>
        <w:t>within the SMTC window.</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bookmarkStart w:id="4" w:name="_GoBack"/>
      <w:bookmarkEnd w:id="4"/>
    </w:p>
    <w:p w14:paraId="39B3D75A" w14:textId="18E6AE79" w:rsidR="006A6F6C" w:rsidRDefault="006A6F6C" w:rsidP="006A6F6C">
      <w:pPr>
        <w:spacing w:after="0"/>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91, Reno, USA, November 2017.</w:t>
      </w:r>
    </w:p>
    <w:p w14:paraId="0180EB6D" w14:textId="77777777" w:rsidR="006A6F6C" w:rsidRDefault="006A6F6C" w:rsidP="006A6F6C">
      <w:pPr>
        <w:spacing w:after="0"/>
        <w:jc w:val="both"/>
        <w:rPr>
          <w:rFonts w:eastAsia="MS Mincho"/>
          <w:lang w:eastAsia="ja-JP"/>
        </w:rPr>
      </w:pPr>
      <w:r>
        <w:rPr>
          <w:rFonts w:eastAsia="MS Mincho"/>
          <w:lang w:eastAsia="ja-JP"/>
        </w:rPr>
        <w:t xml:space="preserve">[1] </w:t>
      </w:r>
      <w:r>
        <w:rPr>
          <w:lang w:val="en-US"/>
        </w:rPr>
        <w:t>Draft Report of 3GPP TSG RAN WG1 #91 v0.2.0, MCC</w:t>
      </w:r>
    </w:p>
    <w:p w14:paraId="39E53C6E" w14:textId="09632015" w:rsidR="003C3B35" w:rsidRPr="00EE006E" w:rsidRDefault="003C3B35" w:rsidP="003C3B35">
      <w:pPr>
        <w:spacing w:after="0"/>
        <w:jc w:val="both"/>
        <w:rPr>
          <w:rFonts w:eastAsia="MS Mincho"/>
          <w:lang w:eastAsia="ja-JP"/>
        </w:rPr>
      </w:pPr>
    </w:p>
    <w:sectPr w:rsidR="003C3B35" w:rsidRPr="00EE006E"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CD137" w14:textId="77777777" w:rsidR="007253E5" w:rsidRDefault="007253E5" w:rsidP="00083046">
      <w:r>
        <w:separator/>
      </w:r>
    </w:p>
  </w:endnote>
  <w:endnote w:type="continuationSeparator" w:id="0">
    <w:p w14:paraId="5EDB9FD8" w14:textId="77777777" w:rsidR="007253E5" w:rsidRDefault="007253E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13DE6" w14:textId="77777777" w:rsidR="007253E5" w:rsidRDefault="007253E5" w:rsidP="00083046">
      <w:r>
        <w:separator/>
      </w:r>
    </w:p>
  </w:footnote>
  <w:footnote w:type="continuationSeparator" w:id="0">
    <w:p w14:paraId="039ED33E" w14:textId="77777777" w:rsidR="007253E5" w:rsidRDefault="007253E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15E3"/>
    <w:multiLevelType w:val="hybridMultilevel"/>
    <w:tmpl w:val="CFFEFFE2"/>
    <w:lvl w:ilvl="0" w:tplc="819E0B6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787ADC"/>
    <w:multiLevelType w:val="multilevel"/>
    <w:tmpl w:val="457E7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Malgun Gothic"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2857492D"/>
    <w:multiLevelType w:val="hybridMultilevel"/>
    <w:tmpl w:val="13A6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C71F5"/>
    <w:multiLevelType w:val="hybridMultilevel"/>
    <w:tmpl w:val="38B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2">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2BFF0E9A"/>
    <w:multiLevelType w:val="hybridMultilevel"/>
    <w:tmpl w:val="B326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7">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8">
    <w:nsid w:val="38FF552B"/>
    <w:multiLevelType w:val="hybridMultilevel"/>
    <w:tmpl w:val="3F6EEFC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ED0E54"/>
    <w:multiLevelType w:val="hybridMultilevel"/>
    <w:tmpl w:val="3162CF8E"/>
    <w:lvl w:ilvl="0" w:tplc="3F04CD3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AF367A"/>
    <w:multiLevelType w:val="multilevel"/>
    <w:tmpl w:val="342E4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5">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8">
    <w:nsid w:val="51462C01"/>
    <w:multiLevelType w:val="hybridMultilevel"/>
    <w:tmpl w:val="D0947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4C432AC"/>
    <w:multiLevelType w:val="multilevel"/>
    <w:tmpl w:val="5E7E6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3">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A5378F1"/>
    <w:multiLevelType w:val="hybridMultilevel"/>
    <w:tmpl w:val="C064333C"/>
    <w:lvl w:ilvl="0" w:tplc="913E9690">
      <w:start w:val="2"/>
      <w:numFmt w:val="bullet"/>
      <w:lvlText w:val=""/>
      <w:lvlJc w:val="left"/>
      <w:pPr>
        <w:ind w:left="720" w:hanging="360"/>
      </w:pPr>
      <w:rPr>
        <w:rFonts w:ascii="Symbol" w:eastAsia="Malgun Gothic"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A6648A"/>
    <w:multiLevelType w:val="hybridMultilevel"/>
    <w:tmpl w:val="D4FED4EA"/>
    <w:lvl w:ilvl="0" w:tplc="7472D8A6">
      <w:start w:val="3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3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8">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9">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1C1C60"/>
    <w:multiLevelType w:val="multilevel"/>
    <w:tmpl w:val="75000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3">
    <w:nsid w:val="70636044"/>
    <w:multiLevelType w:val="multilevel"/>
    <w:tmpl w:val="9AF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1977A5"/>
    <w:multiLevelType w:val="hybridMultilevel"/>
    <w:tmpl w:val="9D789974"/>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47">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31"/>
  </w:num>
  <w:num w:numId="4">
    <w:abstractNumId w:val="44"/>
  </w:num>
  <w:num w:numId="5">
    <w:abstractNumId w:val="37"/>
  </w:num>
  <w:num w:numId="6">
    <w:abstractNumId w:val="32"/>
  </w:num>
  <w:num w:numId="7">
    <w:abstractNumId w:val="38"/>
  </w:num>
  <w:num w:numId="8">
    <w:abstractNumId w:val="33"/>
  </w:num>
  <w:num w:numId="9">
    <w:abstractNumId w:val="3"/>
  </w:num>
  <w:num w:numId="10">
    <w:abstractNumId w:val="30"/>
  </w:num>
  <w:num w:numId="11">
    <w:abstractNumId w:val="41"/>
  </w:num>
  <w:num w:numId="12">
    <w:abstractNumId w:val="0"/>
  </w:num>
  <w:num w:numId="13">
    <w:abstractNumId w:val="5"/>
  </w:num>
  <w:num w:numId="14">
    <w:abstractNumId w:val="42"/>
  </w:num>
  <w:num w:numId="15">
    <w:abstractNumId w:val="11"/>
  </w:num>
  <w:num w:numId="16">
    <w:abstractNumId w:val="35"/>
  </w:num>
  <w:num w:numId="17">
    <w:abstractNumId w:val="16"/>
  </w:num>
  <w:num w:numId="18">
    <w:abstractNumId w:val="27"/>
  </w:num>
  <w:num w:numId="19">
    <w:abstractNumId w:val="6"/>
  </w:num>
  <w:num w:numId="20">
    <w:abstractNumId w:val="12"/>
  </w:num>
  <w:num w:numId="21">
    <w:abstractNumId w:val="47"/>
  </w:num>
  <w:num w:numId="22">
    <w:abstractNumId w:val="8"/>
  </w:num>
  <w:num w:numId="23">
    <w:abstractNumId w:val="25"/>
  </w:num>
  <w:num w:numId="24">
    <w:abstractNumId w:val="19"/>
  </w:num>
  <w:num w:numId="25">
    <w:abstractNumId w:val="45"/>
  </w:num>
  <w:num w:numId="26">
    <w:abstractNumId w:val="7"/>
  </w:num>
  <w:num w:numId="27">
    <w:abstractNumId w:val="36"/>
  </w:num>
  <w:num w:numId="28">
    <w:abstractNumId w:val="14"/>
  </w:num>
  <w:num w:numId="29">
    <w:abstractNumId w:val="17"/>
  </w:num>
  <w:num w:numId="30">
    <w:abstractNumId w:val="34"/>
  </w:num>
  <w:num w:numId="31">
    <w:abstractNumId w:val="4"/>
  </w:num>
  <w:num w:numId="32">
    <w:abstractNumId w:val="39"/>
  </w:num>
  <w:num w:numId="33">
    <w:abstractNumId w:val="13"/>
  </w:num>
  <w:num w:numId="34">
    <w:abstractNumId w:val="2"/>
  </w:num>
  <w:num w:numId="35">
    <w:abstractNumId w:val="29"/>
  </w:num>
  <w:num w:numId="36">
    <w:abstractNumId w:val="22"/>
  </w:num>
  <w:num w:numId="37">
    <w:abstractNumId w:val="43"/>
  </w:num>
  <w:num w:numId="38">
    <w:abstractNumId w:val="40"/>
  </w:num>
  <w:num w:numId="39">
    <w:abstractNumId w:val="24"/>
  </w:num>
  <w:num w:numId="40">
    <w:abstractNumId w:val="20"/>
  </w:num>
  <w:num w:numId="41">
    <w:abstractNumId w:val="23"/>
  </w:num>
  <w:num w:numId="42">
    <w:abstractNumId w:val="46"/>
  </w:num>
  <w:num w:numId="43">
    <w:abstractNumId w:val="26"/>
  </w:num>
  <w:num w:numId="44">
    <w:abstractNumId w:val="28"/>
  </w:num>
  <w:num w:numId="45">
    <w:abstractNumId w:val="1"/>
  </w:num>
  <w:num w:numId="46">
    <w:abstractNumId w:val="21"/>
  </w:num>
  <w:num w:numId="47">
    <w:abstractNumId w:val="9"/>
  </w:num>
  <w:num w:numId="48">
    <w:abstractNumId w:val="18"/>
  </w:num>
  <w:num w:numId="49">
    <w:abstractNumId w:val="26"/>
  </w:num>
  <w:num w:numId="5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semiHidden/>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semiHidden/>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Users\merias\Documents\ETSI\RANWG1\TSGR1_91-USA\Docs\R1-1721601.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0E069-8205-4E60-8BE9-8A6D97F4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18</cp:revision>
  <cp:lastPrinted>2012-03-15T10:36:00Z</cp:lastPrinted>
  <dcterms:created xsi:type="dcterms:W3CDTF">2017-11-18T02:50:00Z</dcterms:created>
  <dcterms:modified xsi:type="dcterms:W3CDTF">2018-01-11T22:49:00Z</dcterms:modified>
</cp:coreProperties>
</file>