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776364A8" w:rsidR="00EE53DC" w:rsidRPr="00C30E7C"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383215">
        <w:rPr>
          <w:rFonts w:ascii="Arial" w:eastAsia="맑은 고딕" w:hAnsi="Arial" w:cs="Arial" w:hint="eastAsia"/>
          <w:b/>
          <w:bCs/>
          <w:sz w:val="28"/>
        </w:rPr>
        <w:t>AH 1801</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sidR="00383215">
        <w:rPr>
          <w:rFonts w:ascii="Arial" w:eastAsia="맑은 고딕" w:hAnsi="Arial" w:cs="Arial" w:hint="eastAsia"/>
          <w:b/>
          <w:bCs/>
          <w:sz w:val="28"/>
        </w:rPr>
        <w:t>1</w:t>
      </w:r>
      <w:r w:rsidR="005E23B9">
        <w:rPr>
          <w:rFonts w:ascii="Arial" w:eastAsia="맑은 고딕" w:hAnsi="Arial" w:cs="Arial"/>
          <w:b/>
          <w:bCs/>
          <w:sz w:val="28"/>
        </w:rPr>
        <w:t>800372</w:t>
      </w:r>
    </w:p>
    <w:p w14:paraId="3D07D895" w14:textId="651C2458" w:rsidR="006B3E50" w:rsidRPr="002031E8" w:rsidRDefault="00383215" w:rsidP="00EE53DC">
      <w:pPr>
        <w:tabs>
          <w:tab w:val="center" w:pos="4536"/>
          <w:tab w:val="right" w:pos="9072"/>
        </w:tabs>
        <w:rPr>
          <w:rFonts w:ascii="Times New Roman"/>
          <w:b/>
          <w:bCs/>
          <w:sz w:val="28"/>
        </w:rPr>
      </w:pPr>
      <w:r>
        <w:rPr>
          <w:rFonts w:ascii="Arial" w:eastAsia="맑은 고딕" w:hAnsi="Arial" w:cs="Arial"/>
          <w:b/>
          <w:bCs/>
          <w:sz w:val="28"/>
        </w:rPr>
        <w:t>Vancouver</w:t>
      </w:r>
      <w:r w:rsidR="00EE53DC">
        <w:rPr>
          <w:rFonts w:ascii="Arial" w:eastAsia="맑은 고딕" w:hAnsi="Arial" w:cs="Arial" w:hint="eastAsia"/>
          <w:b/>
          <w:bCs/>
          <w:sz w:val="28"/>
        </w:rPr>
        <w:t xml:space="preserve">, </w:t>
      </w:r>
      <w:r>
        <w:rPr>
          <w:rFonts w:ascii="Arial" w:eastAsia="맑은 고딕" w:hAnsi="Arial" w:cs="Arial"/>
          <w:b/>
          <w:bCs/>
          <w:sz w:val="28"/>
        </w:rPr>
        <w:t>Canada</w:t>
      </w:r>
      <w:r w:rsidR="00444F45">
        <w:rPr>
          <w:rFonts w:ascii="Arial" w:eastAsia="맑은 고딕" w:hAnsi="Arial" w:cs="Arial" w:hint="eastAsia"/>
          <w:b/>
          <w:bCs/>
          <w:sz w:val="28"/>
        </w:rPr>
        <w:t xml:space="preserve">, </w:t>
      </w:r>
      <w:r>
        <w:rPr>
          <w:rFonts w:ascii="Arial" w:eastAsia="맑은 고딕" w:hAnsi="Arial" w:cs="Arial"/>
          <w:b/>
          <w:bCs/>
          <w:sz w:val="28"/>
        </w:rPr>
        <w:t>January 22</w:t>
      </w:r>
      <w:r>
        <w:rPr>
          <w:rFonts w:ascii="Arial" w:eastAsia="맑은 고딕" w:hAnsi="Arial" w:cs="Arial"/>
          <w:b/>
          <w:bCs/>
          <w:sz w:val="28"/>
          <w:vertAlign w:val="superscript"/>
        </w:rPr>
        <w:t>nd</w:t>
      </w:r>
      <w:r w:rsidR="00C30E7C">
        <w:rPr>
          <w:rFonts w:ascii="Arial" w:eastAsia="맑은 고딕" w:hAnsi="Arial" w:cs="Arial"/>
          <w:b/>
          <w:bCs/>
          <w:sz w:val="28"/>
        </w:rPr>
        <w:t xml:space="preserve"> – </w:t>
      </w:r>
      <w:r>
        <w:rPr>
          <w:rFonts w:ascii="Arial" w:eastAsia="맑은 고딕" w:hAnsi="Arial" w:cs="Arial"/>
          <w:b/>
          <w:bCs/>
          <w:sz w:val="28"/>
        </w:rPr>
        <w:t>26</w:t>
      </w:r>
      <w:r w:rsidRPr="00383215">
        <w:rPr>
          <w:rFonts w:ascii="Arial" w:eastAsia="맑은 고딕" w:hAnsi="Arial" w:cs="Arial"/>
          <w:b/>
          <w:bCs/>
          <w:sz w:val="28"/>
          <w:vertAlign w:val="superscript"/>
        </w:rPr>
        <w:t>th</w:t>
      </w:r>
      <w:r w:rsidR="00C30E7C">
        <w:rPr>
          <w:rFonts w:ascii="Arial" w:eastAsia="맑은 고딕" w:hAnsi="Arial" w:cs="Arial"/>
          <w:b/>
          <w:bCs/>
          <w:sz w:val="28"/>
        </w:rPr>
        <w:t>,</w:t>
      </w:r>
      <w:r w:rsidR="00EE53DC">
        <w:rPr>
          <w:rFonts w:ascii="Arial" w:eastAsia="맑은 고딕" w:hAnsi="Arial" w:cs="Arial" w:hint="eastAsia"/>
          <w:b/>
          <w:bCs/>
          <w:sz w:val="28"/>
        </w:rPr>
        <w:t xml:space="preserve"> 201</w:t>
      </w:r>
      <w:r>
        <w:rPr>
          <w:rFonts w:ascii="Arial" w:eastAsia="맑은 고딕" w:hAnsi="Arial" w:cs="Arial" w:hint="eastAsia"/>
          <w:b/>
          <w:bCs/>
          <w:sz w:val="28"/>
        </w:rPr>
        <w:t>8</w:t>
      </w:r>
    </w:p>
    <w:p w14:paraId="710C9E79" w14:textId="52A2A95C"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.3.1.</w:t>
      </w:r>
      <w:r w:rsidR="005E23B9">
        <w:rPr>
          <w:rFonts w:ascii="Arial" w:hAnsi="Arial" w:cs="Arial"/>
          <w:snapToGrid w:val="0"/>
          <w:sz w:val="24"/>
        </w:rPr>
        <w:t>2</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B5FBA20"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5E23B9">
        <w:rPr>
          <w:rFonts w:ascii="Arial" w:hAnsi="Arial" w:cs="Arial"/>
          <w:snapToGrid w:val="0"/>
          <w:sz w:val="24"/>
        </w:rPr>
        <w:t>search space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bookmarkStart w:id="2" w:name="_GoBack"/>
      <w:bookmarkEnd w:id="2"/>
    </w:p>
    <w:p w14:paraId="552A395C" w14:textId="2D95B2C7"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156F2D">
        <w:rPr>
          <w:szCs w:val="22"/>
          <w:lang w:val="en-US"/>
        </w:rPr>
        <w:t>it was concluded that RAN1 common understanding is that the PDCCH channel estimation complexity is not negligible at least in some cases, and followings were discussed</w:t>
      </w:r>
      <w:r w:rsidR="00E77D4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10910BF6" w14:textId="77777777" w:rsidR="00156F2D" w:rsidRPr="00156F2D" w:rsidRDefault="00156F2D" w:rsidP="00156F2D">
            <w:pPr>
              <w:rPr>
                <w:rFonts w:ascii="Times New Roman"/>
                <w:sz w:val="22"/>
                <w:szCs w:val="22"/>
              </w:rPr>
            </w:pPr>
            <w:r w:rsidRPr="00156F2D">
              <w:rPr>
                <w:rFonts w:ascii="Times New Roman"/>
                <w:sz w:val="22"/>
                <w:szCs w:val="22"/>
              </w:rPr>
              <w:t>Conclusion:</w:t>
            </w:r>
          </w:p>
          <w:p w14:paraId="2784A8A5" w14:textId="77777777" w:rsidR="00156F2D" w:rsidRPr="00156F2D" w:rsidRDefault="00156F2D" w:rsidP="00156F2D">
            <w:pPr>
              <w:widowControl/>
              <w:numPr>
                <w:ilvl w:val="0"/>
                <w:numId w:val="30"/>
              </w:numPr>
              <w:wordWrap/>
              <w:autoSpaceDE/>
              <w:autoSpaceDN/>
              <w:jc w:val="left"/>
              <w:rPr>
                <w:rFonts w:ascii="Times New Roman"/>
                <w:sz w:val="22"/>
                <w:szCs w:val="22"/>
              </w:rPr>
            </w:pPr>
            <w:r w:rsidRPr="00156F2D">
              <w:rPr>
                <w:rFonts w:ascii="Times New Roman"/>
                <w:sz w:val="22"/>
                <w:szCs w:val="22"/>
              </w:rPr>
              <w:t>RAN1 common understanding is that the PDCCH channel estimation complexity is not negligible at least in some cases.</w:t>
            </w:r>
          </w:p>
          <w:p w14:paraId="27469856" w14:textId="77777777" w:rsidR="00156F2D" w:rsidRPr="00156F2D" w:rsidRDefault="00156F2D" w:rsidP="00156F2D">
            <w:pPr>
              <w:widowControl/>
              <w:numPr>
                <w:ilvl w:val="1"/>
                <w:numId w:val="30"/>
              </w:numPr>
              <w:wordWrap/>
              <w:autoSpaceDE/>
              <w:autoSpaceDN/>
              <w:jc w:val="left"/>
              <w:rPr>
                <w:rFonts w:ascii="Times New Roman"/>
                <w:sz w:val="22"/>
                <w:szCs w:val="22"/>
              </w:rPr>
            </w:pPr>
            <w:r w:rsidRPr="00156F2D">
              <w:rPr>
                <w:rFonts w:ascii="Times New Roman"/>
                <w:sz w:val="22"/>
                <w:szCs w:val="22"/>
              </w:rPr>
              <w:t>FFS: Possible solutions to resolve the channel estimation complexity issue together with the impact on PDCCH blocking probability</w:t>
            </w:r>
          </w:p>
          <w:p w14:paraId="5A4EDF47" w14:textId="77777777" w:rsidR="00156F2D" w:rsidRPr="00156F2D" w:rsidRDefault="00156F2D" w:rsidP="00156F2D">
            <w:pPr>
              <w:widowControl/>
              <w:numPr>
                <w:ilvl w:val="1"/>
                <w:numId w:val="30"/>
              </w:numPr>
              <w:wordWrap/>
              <w:autoSpaceDE/>
              <w:autoSpaceDN/>
              <w:jc w:val="left"/>
              <w:rPr>
                <w:rFonts w:ascii="Times New Roman"/>
                <w:sz w:val="22"/>
                <w:szCs w:val="22"/>
              </w:rPr>
            </w:pPr>
            <w:r w:rsidRPr="00156F2D">
              <w:rPr>
                <w:rFonts w:ascii="Times New Roman"/>
                <w:sz w:val="22"/>
                <w:szCs w:val="22"/>
              </w:rPr>
              <w:t>Opt.1: Define the limits of “the number of CCEs for PDCCH channel estimation which refers to the union of the sets of CCEs for PDCCH candidates”</w:t>
            </w:r>
          </w:p>
          <w:p w14:paraId="1ED87DF0" w14:textId="77777777" w:rsidR="00156F2D" w:rsidRPr="00156F2D" w:rsidRDefault="00156F2D" w:rsidP="00156F2D">
            <w:pPr>
              <w:widowControl/>
              <w:numPr>
                <w:ilvl w:val="2"/>
                <w:numId w:val="30"/>
              </w:numPr>
              <w:wordWrap/>
              <w:autoSpaceDE/>
              <w:autoSpaceDN/>
              <w:jc w:val="left"/>
              <w:rPr>
                <w:rFonts w:ascii="Times New Roman"/>
                <w:sz w:val="22"/>
                <w:szCs w:val="22"/>
              </w:rPr>
            </w:pPr>
            <w:r w:rsidRPr="00156F2D">
              <w:rPr>
                <w:rFonts w:ascii="Times New Roman"/>
                <w:sz w:val="22"/>
                <w:szCs w:val="22"/>
              </w:rPr>
              <w:t>Note: the overlapped CCEs associated with different CORESETs are counted separately.</w:t>
            </w:r>
          </w:p>
          <w:p w14:paraId="72641D2D" w14:textId="77777777" w:rsidR="00156F2D" w:rsidRPr="00156F2D" w:rsidRDefault="00156F2D" w:rsidP="00156F2D">
            <w:pPr>
              <w:widowControl/>
              <w:numPr>
                <w:ilvl w:val="2"/>
                <w:numId w:val="30"/>
              </w:numPr>
              <w:wordWrap/>
              <w:autoSpaceDE/>
              <w:autoSpaceDN/>
              <w:jc w:val="left"/>
              <w:rPr>
                <w:rFonts w:ascii="Times New Roman"/>
                <w:sz w:val="22"/>
                <w:szCs w:val="22"/>
              </w:rPr>
            </w:pPr>
            <w:r w:rsidRPr="00156F2D">
              <w:rPr>
                <w:rFonts w:ascii="Times New Roman"/>
                <w:sz w:val="22"/>
                <w:szCs w:val="22"/>
              </w:rPr>
              <w:t>FFS: CCEs for the same precoder-granularity are counted as one channel estimation</w:t>
            </w:r>
          </w:p>
          <w:p w14:paraId="05C04202" w14:textId="77777777" w:rsidR="00156F2D" w:rsidRPr="00156F2D" w:rsidRDefault="00156F2D" w:rsidP="00156F2D">
            <w:pPr>
              <w:widowControl/>
              <w:numPr>
                <w:ilvl w:val="2"/>
                <w:numId w:val="30"/>
              </w:numPr>
              <w:wordWrap/>
              <w:autoSpaceDE/>
              <w:autoSpaceDN/>
              <w:jc w:val="left"/>
              <w:rPr>
                <w:rFonts w:ascii="Times New Roman"/>
                <w:sz w:val="22"/>
                <w:szCs w:val="22"/>
              </w:rPr>
            </w:pPr>
            <w:r w:rsidRPr="00156F2D">
              <w:rPr>
                <w:rFonts w:ascii="Times New Roman"/>
                <w:sz w:val="22"/>
                <w:szCs w:val="22"/>
              </w:rPr>
              <w:t>FFS: whether/how to handle the variation on the actual number of CCEs for PDCCH channel estimation and BDs over time</w:t>
            </w:r>
          </w:p>
          <w:p w14:paraId="3BB1078A" w14:textId="77777777" w:rsidR="00156F2D" w:rsidRPr="00156F2D" w:rsidRDefault="00156F2D" w:rsidP="00156F2D">
            <w:pPr>
              <w:widowControl/>
              <w:numPr>
                <w:ilvl w:val="2"/>
                <w:numId w:val="30"/>
              </w:numPr>
              <w:wordWrap/>
              <w:autoSpaceDE/>
              <w:autoSpaceDN/>
              <w:jc w:val="left"/>
              <w:rPr>
                <w:rFonts w:ascii="Times New Roman"/>
                <w:sz w:val="22"/>
                <w:szCs w:val="22"/>
              </w:rPr>
            </w:pPr>
            <w:r w:rsidRPr="00156F2D">
              <w:rPr>
                <w:rFonts w:ascii="Times New Roman"/>
                <w:sz w:val="22"/>
                <w:szCs w:val="22"/>
              </w:rPr>
              <w:t>Application of overbooking is considered</w:t>
            </w:r>
          </w:p>
          <w:p w14:paraId="117B178C" w14:textId="77777777" w:rsidR="00156F2D" w:rsidRPr="00156F2D" w:rsidRDefault="00156F2D" w:rsidP="00156F2D">
            <w:pPr>
              <w:widowControl/>
              <w:numPr>
                <w:ilvl w:val="2"/>
                <w:numId w:val="30"/>
              </w:numPr>
              <w:wordWrap/>
              <w:autoSpaceDE/>
              <w:autoSpaceDN/>
              <w:jc w:val="left"/>
              <w:rPr>
                <w:rFonts w:ascii="Times New Roman"/>
                <w:sz w:val="22"/>
                <w:szCs w:val="22"/>
              </w:rPr>
            </w:pPr>
            <w:r w:rsidRPr="00156F2D">
              <w:rPr>
                <w:rFonts w:ascii="Times New Roman"/>
                <w:sz w:val="22"/>
                <w:szCs w:val="22"/>
              </w:rPr>
              <w:t>Strive for not having specific UE capability to report the maximum number of CCEs for PDCCH channel estimation.</w:t>
            </w:r>
          </w:p>
          <w:p w14:paraId="3A43043E" w14:textId="77777777" w:rsidR="00156F2D" w:rsidRPr="00156F2D" w:rsidRDefault="00156F2D" w:rsidP="00156F2D">
            <w:pPr>
              <w:widowControl/>
              <w:numPr>
                <w:ilvl w:val="2"/>
                <w:numId w:val="30"/>
              </w:numPr>
              <w:wordWrap/>
              <w:autoSpaceDE/>
              <w:autoSpaceDN/>
              <w:jc w:val="left"/>
              <w:rPr>
                <w:rFonts w:ascii="Times New Roman"/>
                <w:sz w:val="22"/>
                <w:szCs w:val="22"/>
              </w:rPr>
            </w:pPr>
            <w:r w:rsidRPr="00156F2D">
              <w:rPr>
                <w:rFonts w:ascii="Times New Roman"/>
                <w:sz w:val="22"/>
                <w:szCs w:val="22"/>
              </w:rPr>
              <w:t>Study the solutions considering the cases 1-1, 1-2, 2, and 2’.</w:t>
            </w:r>
          </w:p>
          <w:p w14:paraId="380682B6" w14:textId="77777777" w:rsidR="00156F2D" w:rsidRPr="00156F2D" w:rsidRDefault="00156F2D" w:rsidP="00156F2D">
            <w:pPr>
              <w:widowControl/>
              <w:numPr>
                <w:ilvl w:val="1"/>
                <w:numId w:val="30"/>
              </w:numPr>
              <w:wordWrap/>
              <w:autoSpaceDE/>
              <w:autoSpaceDN/>
              <w:jc w:val="left"/>
              <w:rPr>
                <w:rFonts w:ascii="Times New Roman"/>
                <w:sz w:val="22"/>
                <w:szCs w:val="22"/>
              </w:rPr>
            </w:pPr>
            <w:r w:rsidRPr="00156F2D">
              <w:rPr>
                <w:rFonts w:ascii="Times New Roman"/>
                <w:sz w:val="22"/>
                <w:szCs w:val="22"/>
              </w:rPr>
              <w:t>Opt.2: Modify the hashing function</w:t>
            </w:r>
          </w:p>
          <w:p w14:paraId="7CB0C1A2" w14:textId="1D272603" w:rsidR="005B1686" w:rsidRPr="00156F2D" w:rsidRDefault="00156F2D" w:rsidP="008A788E">
            <w:pPr>
              <w:widowControl/>
              <w:numPr>
                <w:ilvl w:val="1"/>
                <w:numId w:val="30"/>
              </w:numPr>
              <w:wordWrap/>
              <w:autoSpaceDE/>
              <w:autoSpaceDN/>
              <w:jc w:val="left"/>
              <w:rPr>
                <w:rFonts w:ascii="Times New Roman"/>
                <w:sz w:val="22"/>
                <w:szCs w:val="22"/>
              </w:rPr>
            </w:pPr>
            <w:r w:rsidRPr="00156F2D">
              <w:rPr>
                <w:rFonts w:ascii="Times New Roman"/>
                <w:sz w:val="22"/>
                <w:szCs w:val="22"/>
              </w:rPr>
              <w:t>Opt.3: Increase the size of the precoder granularity</w:t>
            </w:r>
          </w:p>
        </w:tc>
      </w:tr>
    </w:tbl>
    <w:p w14:paraId="629973BA" w14:textId="3CCDD3BB"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156F2D">
        <w:rPr>
          <w:szCs w:val="22"/>
          <w:lang w:val="en-US"/>
        </w:rPr>
        <w:t>how to define channel estimation complexity and resolve that issue</w:t>
      </w:r>
      <w:r w:rsidR="00D5017E">
        <w:rPr>
          <w:szCs w:val="22"/>
          <w:lang w:val="en-US"/>
        </w:rPr>
        <w:t>.</w:t>
      </w:r>
    </w:p>
    <w:p w14:paraId="33F99936" w14:textId="77777777" w:rsidR="006B3E50" w:rsidRPr="0056447D" w:rsidRDefault="006B3E50" w:rsidP="00E0680A">
      <w:pPr>
        <w:pStyle w:val="LGTdoc0"/>
        <w:spacing w:afterLines="0" w:after="0" w:line="240" w:lineRule="exact"/>
        <w:rPr>
          <w:szCs w:val="22"/>
          <w:lang w:val="en-US"/>
        </w:rPr>
      </w:pPr>
    </w:p>
    <w:p w14:paraId="4C8BA2EC" w14:textId="77777777" w:rsidR="005244AE" w:rsidRDefault="00A8617D" w:rsidP="00975CB1">
      <w:pPr>
        <w:pStyle w:val="LGTdoc1"/>
        <w:numPr>
          <w:ilvl w:val="0"/>
          <w:numId w:val="3"/>
        </w:numPr>
        <w:spacing w:beforeLines="0" w:after="0" w:afterAutospacing="0"/>
        <w:rPr>
          <w:lang w:val="en-US"/>
        </w:rPr>
      </w:pPr>
      <w:r w:rsidRPr="00773C67">
        <w:rPr>
          <w:rFonts w:hint="eastAsia"/>
          <w:lang w:val="en-US"/>
        </w:rPr>
        <w:t>Discussions</w:t>
      </w:r>
    </w:p>
    <w:p w14:paraId="09778303" w14:textId="6D868822" w:rsidR="00343337" w:rsidRPr="00773C67" w:rsidRDefault="005244AE" w:rsidP="00BC3489">
      <w:pPr>
        <w:pStyle w:val="LGTdoc1"/>
        <w:numPr>
          <w:ilvl w:val="1"/>
          <w:numId w:val="3"/>
        </w:numPr>
        <w:spacing w:beforeLines="0" w:after="0" w:afterAutospacing="0"/>
        <w:rPr>
          <w:lang w:val="en-US"/>
        </w:rPr>
      </w:pPr>
      <w:r>
        <w:rPr>
          <w:lang w:val="en-US"/>
        </w:rPr>
        <w:t>Channel Estimation Complexity</w:t>
      </w:r>
    </w:p>
    <w:p w14:paraId="0869CF56" w14:textId="5EFE172E" w:rsidR="003647EE" w:rsidRDefault="001B4EF6"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In LTE PDCCH, a channel estimation is performed using CRS, </w:t>
      </w:r>
      <w:r w:rsidR="007C4031">
        <w:rPr>
          <w:b w:val="0"/>
          <w:snapToGrid/>
          <w:kern w:val="2"/>
          <w:sz w:val="22"/>
          <w:szCs w:val="22"/>
          <w:lang w:val="en-US"/>
        </w:rPr>
        <w:t xml:space="preserve">so a </w:t>
      </w:r>
      <w:r>
        <w:rPr>
          <w:b w:val="0"/>
          <w:snapToGrid/>
          <w:kern w:val="2"/>
          <w:sz w:val="22"/>
          <w:szCs w:val="22"/>
          <w:lang w:val="en-US"/>
        </w:rPr>
        <w:t>wideband channel estimation</w:t>
      </w:r>
      <w:r w:rsidR="007C4031">
        <w:rPr>
          <w:b w:val="0"/>
          <w:snapToGrid/>
          <w:kern w:val="2"/>
          <w:sz w:val="22"/>
          <w:szCs w:val="22"/>
          <w:lang w:val="en-US"/>
        </w:rPr>
        <w:t xml:space="preserve"> on CRS</w:t>
      </w:r>
      <w:r>
        <w:rPr>
          <w:b w:val="0"/>
          <w:snapToGrid/>
          <w:kern w:val="2"/>
          <w:sz w:val="22"/>
          <w:szCs w:val="22"/>
          <w:lang w:val="en-US"/>
        </w:rPr>
        <w:t xml:space="preserve"> can be done and </w:t>
      </w:r>
      <w:r w:rsidR="003647EE">
        <w:rPr>
          <w:b w:val="0"/>
          <w:snapToGrid/>
          <w:kern w:val="2"/>
          <w:sz w:val="22"/>
          <w:szCs w:val="22"/>
          <w:lang w:val="en-US"/>
        </w:rPr>
        <w:t>there is no need to perform channel estimation to each CCE</w:t>
      </w:r>
      <w:r>
        <w:rPr>
          <w:b w:val="0"/>
          <w:snapToGrid/>
          <w:kern w:val="2"/>
          <w:sz w:val="22"/>
          <w:szCs w:val="22"/>
          <w:lang w:val="en-US"/>
        </w:rPr>
        <w:t>. On the other hand, in NR, DMRS</w:t>
      </w:r>
      <w:r w:rsidR="003647EE">
        <w:rPr>
          <w:b w:val="0"/>
          <w:snapToGrid/>
          <w:kern w:val="2"/>
          <w:sz w:val="22"/>
          <w:szCs w:val="22"/>
          <w:lang w:val="en-US"/>
        </w:rPr>
        <w:t xml:space="preserve"> and REG bundle</w:t>
      </w:r>
      <w:r>
        <w:rPr>
          <w:b w:val="0"/>
          <w:snapToGrid/>
          <w:kern w:val="2"/>
          <w:sz w:val="22"/>
          <w:szCs w:val="22"/>
          <w:lang w:val="en-US"/>
        </w:rPr>
        <w:t xml:space="preserve"> </w:t>
      </w:r>
      <w:r w:rsidR="003647EE">
        <w:rPr>
          <w:b w:val="0"/>
          <w:snapToGrid/>
          <w:kern w:val="2"/>
          <w:sz w:val="22"/>
          <w:szCs w:val="22"/>
          <w:lang w:val="en-US"/>
        </w:rPr>
        <w:t>are</w:t>
      </w:r>
      <w:r>
        <w:rPr>
          <w:b w:val="0"/>
          <w:snapToGrid/>
          <w:kern w:val="2"/>
          <w:sz w:val="22"/>
          <w:szCs w:val="22"/>
          <w:lang w:val="en-US"/>
        </w:rPr>
        <w:t xml:space="preserve"> used for channel estimation, </w:t>
      </w:r>
      <w:r w:rsidR="003647EE">
        <w:rPr>
          <w:b w:val="0"/>
          <w:snapToGrid/>
          <w:kern w:val="2"/>
          <w:sz w:val="22"/>
          <w:szCs w:val="22"/>
          <w:lang w:val="en-US"/>
        </w:rPr>
        <w:t>and the number of channel estimation is increased dramatically compared to LTE PDCCH</w:t>
      </w:r>
      <w:r w:rsidR="007C4031">
        <w:rPr>
          <w:b w:val="0"/>
          <w:snapToGrid/>
          <w:kern w:val="2"/>
          <w:sz w:val="22"/>
          <w:szCs w:val="22"/>
          <w:lang w:val="en-US"/>
        </w:rPr>
        <w:t xml:space="preserve">. </w:t>
      </w:r>
      <w:r w:rsidR="003647EE">
        <w:rPr>
          <w:b w:val="0"/>
          <w:snapToGrid/>
          <w:kern w:val="2"/>
          <w:sz w:val="22"/>
          <w:szCs w:val="22"/>
          <w:lang w:val="en-US"/>
        </w:rPr>
        <w:t>In conclusion, the UE may not perform channel estimation in time on some cases.</w:t>
      </w:r>
    </w:p>
    <w:p w14:paraId="3F8822C2" w14:textId="5E43DBA0" w:rsidR="007C4031" w:rsidRDefault="007C4031"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There are three options for resolving channel estimation complexity issue. </w:t>
      </w:r>
    </w:p>
    <w:p w14:paraId="7224D0EF" w14:textId="0297060A" w:rsidR="007C4031" w:rsidRPr="000A6EC6" w:rsidRDefault="007C4031" w:rsidP="00156F2D">
      <w:pPr>
        <w:pStyle w:val="LGTdoc1"/>
        <w:spacing w:beforeLines="0" w:after="0" w:afterAutospacing="0"/>
        <w:rPr>
          <w:snapToGrid/>
          <w:kern w:val="2"/>
          <w:sz w:val="22"/>
          <w:szCs w:val="22"/>
          <w:lang w:val="en-US"/>
        </w:rPr>
      </w:pPr>
      <w:r w:rsidRPr="000A6EC6">
        <w:rPr>
          <w:snapToGrid/>
          <w:kern w:val="2"/>
          <w:sz w:val="22"/>
          <w:szCs w:val="22"/>
          <w:lang w:val="en-US"/>
        </w:rPr>
        <w:t>Option 1) the limited number of channel estimation</w:t>
      </w:r>
    </w:p>
    <w:p w14:paraId="46F75F08" w14:textId="15FBDED0" w:rsidR="007C4031" w:rsidRDefault="007C4031" w:rsidP="00156F2D">
      <w:pPr>
        <w:pStyle w:val="LGTdoc1"/>
        <w:spacing w:beforeLines="0" w:after="0" w:afterAutospacing="0"/>
        <w:rPr>
          <w:b w:val="0"/>
          <w:snapToGrid/>
          <w:kern w:val="2"/>
          <w:sz w:val="22"/>
          <w:szCs w:val="22"/>
          <w:lang w:val="en-US"/>
        </w:rPr>
      </w:pPr>
      <w:r>
        <w:rPr>
          <w:b w:val="0"/>
          <w:snapToGrid/>
          <w:kern w:val="2"/>
          <w:sz w:val="22"/>
          <w:szCs w:val="22"/>
          <w:lang w:val="en-US"/>
        </w:rPr>
        <w:t>In option 1, it was proposed that the number of CCEs for PDCCH channel estimation which refers to the union of the sets of CCEs for PDCCH candidates is limited to “Y”. (Exact value of Y is FFS.) For this option, followings should be considered;</w:t>
      </w:r>
    </w:p>
    <w:p w14:paraId="45457DE7" w14:textId="48A2BA48" w:rsidR="007C4031" w:rsidRPr="000A6EC6" w:rsidRDefault="003E3725" w:rsidP="00156F2D">
      <w:pPr>
        <w:pStyle w:val="LGTdoc1"/>
        <w:spacing w:beforeLines="0" w:after="0" w:afterAutospacing="0"/>
        <w:rPr>
          <w:b w:val="0"/>
          <w:snapToGrid/>
          <w:kern w:val="2"/>
          <w:sz w:val="22"/>
          <w:szCs w:val="22"/>
          <w:u w:val="single"/>
          <w:lang w:val="en-US"/>
        </w:rPr>
      </w:pPr>
      <w:r w:rsidRPr="000A6EC6">
        <w:rPr>
          <w:b w:val="0"/>
          <w:snapToGrid/>
          <w:kern w:val="2"/>
          <w:sz w:val="22"/>
          <w:szCs w:val="22"/>
          <w:u w:val="single"/>
          <w:lang w:val="en-US"/>
        </w:rPr>
        <w:t>CCE counting rule</w:t>
      </w:r>
    </w:p>
    <w:p w14:paraId="7EA986BB" w14:textId="0A62E609" w:rsidR="003E3725" w:rsidRDefault="003E3725" w:rsidP="00156F2D">
      <w:pPr>
        <w:pStyle w:val="LGTdoc1"/>
        <w:spacing w:beforeLines="0" w:after="0" w:afterAutospacing="0"/>
        <w:rPr>
          <w:b w:val="0"/>
          <w:snapToGrid/>
          <w:kern w:val="2"/>
          <w:sz w:val="22"/>
          <w:szCs w:val="22"/>
          <w:lang w:val="en-US"/>
        </w:rPr>
      </w:pPr>
      <w:r>
        <w:rPr>
          <w:b w:val="0"/>
          <w:snapToGrid/>
          <w:kern w:val="2"/>
          <w:sz w:val="22"/>
          <w:szCs w:val="22"/>
          <w:lang w:val="en-US"/>
        </w:rPr>
        <w:lastRenderedPageBreak/>
        <w:t xml:space="preserve">For candidates in a same CORESET, same properties (such as CCE-to-REG mapping, REG bundle size, </w:t>
      </w:r>
      <w:r w:rsidR="00ED08CE">
        <w:rPr>
          <w:b w:val="0"/>
          <w:snapToGrid/>
          <w:kern w:val="2"/>
          <w:sz w:val="22"/>
          <w:szCs w:val="22"/>
          <w:lang w:val="en-US"/>
        </w:rPr>
        <w:t xml:space="preserve">precoder granularity, RS scrambling parameter, </w:t>
      </w:r>
      <w:r>
        <w:rPr>
          <w:b w:val="0"/>
          <w:snapToGrid/>
          <w:kern w:val="2"/>
          <w:sz w:val="22"/>
          <w:szCs w:val="22"/>
          <w:lang w:val="en-US"/>
        </w:rPr>
        <w:t xml:space="preserve">QCL, and REG &amp; CCE indexing) are applied. So, the overlapped </w:t>
      </w:r>
      <w:r w:rsidR="00ED08CE">
        <w:rPr>
          <w:b w:val="0"/>
          <w:snapToGrid/>
          <w:kern w:val="2"/>
          <w:sz w:val="22"/>
          <w:szCs w:val="22"/>
          <w:lang w:val="en-US"/>
        </w:rPr>
        <w:t>CCE</w:t>
      </w:r>
      <w:r>
        <w:rPr>
          <w:b w:val="0"/>
          <w:snapToGrid/>
          <w:kern w:val="2"/>
          <w:sz w:val="22"/>
          <w:szCs w:val="22"/>
          <w:lang w:val="en-US"/>
        </w:rPr>
        <w:t xml:space="preserve"> </w:t>
      </w:r>
      <w:r w:rsidR="00ED08CE">
        <w:rPr>
          <w:b w:val="0"/>
          <w:snapToGrid/>
          <w:kern w:val="2"/>
          <w:sz w:val="22"/>
          <w:szCs w:val="22"/>
          <w:lang w:val="en-US"/>
        </w:rPr>
        <w:t>among</w:t>
      </w:r>
      <w:r>
        <w:rPr>
          <w:b w:val="0"/>
          <w:snapToGrid/>
          <w:kern w:val="2"/>
          <w:sz w:val="22"/>
          <w:szCs w:val="22"/>
          <w:lang w:val="en-US"/>
        </w:rPr>
        <w:t xml:space="preserve"> different candidates </w:t>
      </w:r>
      <w:r w:rsidR="00ED70EF">
        <w:rPr>
          <w:b w:val="0"/>
          <w:snapToGrid/>
          <w:kern w:val="2"/>
          <w:sz w:val="22"/>
          <w:szCs w:val="22"/>
          <w:lang w:val="en-US"/>
        </w:rPr>
        <w:t>in a CORESET can be</w:t>
      </w:r>
      <w:r>
        <w:rPr>
          <w:b w:val="0"/>
          <w:snapToGrid/>
          <w:kern w:val="2"/>
          <w:sz w:val="22"/>
          <w:szCs w:val="22"/>
          <w:lang w:val="en-US"/>
        </w:rPr>
        <w:t xml:space="preserve"> counted as one channel estimation. On the other hand, it is desirable that the overlapped CCEs between different CORESETs are counted separately</w:t>
      </w:r>
      <w:r w:rsidR="00ED70EF">
        <w:rPr>
          <w:b w:val="0"/>
          <w:snapToGrid/>
          <w:kern w:val="2"/>
          <w:sz w:val="22"/>
          <w:szCs w:val="22"/>
          <w:lang w:val="en-US"/>
        </w:rPr>
        <w:t xml:space="preserve"> even if same precoder granularity is applied</w:t>
      </w:r>
      <w:r>
        <w:rPr>
          <w:b w:val="0"/>
          <w:snapToGrid/>
          <w:kern w:val="2"/>
          <w:sz w:val="22"/>
          <w:szCs w:val="22"/>
          <w:lang w:val="en-US"/>
        </w:rPr>
        <w:t>, because associated CORESETs might have own CORESET configuration.</w:t>
      </w:r>
      <w:r w:rsidR="00ED70EF">
        <w:rPr>
          <w:b w:val="0"/>
          <w:snapToGrid/>
          <w:kern w:val="2"/>
          <w:sz w:val="22"/>
          <w:szCs w:val="22"/>
          <w:lang w:val="en-US"/>
        </w:rPr>
        <w:t xml:space="preserve"> For example, </w:t>
      </w:r>
      <w:r w:rsidR="00ED08CE">
        <w:rPr>
          <w:b w:val="0"/>
          <w:snapToGrid/>
          <w:kern w:val="2"/>
          <w:sz w:val="22"/>
          <w:szCs w:val="22"/>
          <w:lang w:val="en-US"/>
        </w:rPr>
        <w:t>each CORSET has an own DMRS scrambling sequence initialization value</w:t>
      </w:r>
      <w:r w:rsidR="00ED70EF">
        <w:rPr>
          <w:b w:val="0"/>
          <w:snapToGrid/>
          <w:kern w:val="2"/>
          <w:sz w:val="22"/>
          <w:szCs w:val="22"/>
          <w:lang w:val="en-US"/>
        </w:rPr>
        <w:t xml:space="preserve">, a UE should set the </w:t>
      </w:r>
      <w:r w:rsidR="00ED08CE">
        <w:rPr>
          <w:b w:val="0"/>
          <w:snapToGrid/>
          <w:kern w:val="2"/>
          <w:sz w:val="22"/>
          <w:szCs w:val="22"/>
          <w:lang w:val="en-US"/>
        </w:rPr>
        <w:t>parameter</w:t>
      </w:r>
      <w:r w:rsidR="00ED70EF">
        <w:rPr>
          <w:b w:val="0"/>
          <w:snapToGrid/>
          <w:kern w:val="2"/>
          <w:sz w:val="22"/>
          <w:szCs w:val="22"/>
          <w:lang w:val="en-US"/>
        </w:rPr>
        <w:t xml:space="preserve"> based on </w:t>
      </w:r>
      <w:r w:rsidR="00ED08CE">
        <w:rPr>
          <w:b w:val="0"/>
          <w:snapToGrid/>
          <w:kern w:val="2"/>
          <w:sz w:val="22"/>
          <w:szCs w:val="22"/>
          <w:lang w:val="en-US"/>
        </w:rPr>
        <w:t xml:space="preserve">a </w:t>
      </w:r>
      <w:r w:rsidR="00ED70EF">
        <w:rPr>
          <w:b w:val="0"/>
          <w:snapToGrid/>
          <w:kern w:val="2"/>
          <w:sz w:val="22"/>
          <w:szCs w:val="22"/>
          <w:lang w:val="en-US"/>
        </w:rPr>
        <w:t>CORESET</w:t>
      </w:r>
      <w:r w:rsidR="00ED08CE">
        <w:rPr>
          <w:b w:val="0"/>
          <w:snapToGrid/>
          <w:kern w:val="2"/>
          <w:sz w:val="22"/>
          <w:szCs w:val="22"/>
          <w:lang w:val="en-US"/>
        </w:rPr>
        <w:t xml:space="preserve"> configuration.</w:t>
      </w:r>
    </w:p>
    <w:p w14:paraId="0F1F8D7C" w14:textId="38876AF3" w:rsidR="000A6EC6" w:rsidRDefault="000A6EC6"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In addition, the REG bundle size of a CORESET could be considered for counting CCEs. </w:t>
      </w:r>
      <w:r>
        <w:rPr>
          <w:b w:val="0"/>
          <w:snapToGrid/>
          <w:kern w:val="2"/>
          <w:sz w:val="22"/>
          <w:szCs w:val="22"/>
          <w:lang w:val="en-US"/>
        </w:rPr>
        <w:t>The MMSE channel estimation is general appro</w:t>
      </w:r>
      <w:r w:rsidR="00274F62">
        <w:rPr>
          <w:b w:val="0"/>
          <w:snapToGrid/>
          <w:kern w:val="2"/>
          <w:sz w:val="22"/>
          <w:szCs w:val="22"/>
          <w:lang w:val="en-US"/>
        </w:rPr>
        <w:t xml:space="preserve">ach for a PDCCH decoding in NR, and matrix sizes for an MMSE algorithm depend on REG bundle size of a CORESET. It means that the number of multiplications could be increased dramatically when a large REG bundle size is used. </w:t>
      </w:r>
    </w:p>
    <w:p w14:paraId="2AA1A498" w14:textId="77777777" w:rsidR="007A7643" w:rsidRDefault="00274F62" w:rsidP="00156F2D">
      <w:pPr>
        <w:pStyle w:val="LGTdoc1"/>
        <w:spacing w:beforeLines="0" w:after="0" w:afterAutospacing="0"/>
        <w:rPr>
          <w:b w:val="0"/>
          <w:snapToGrid/>
          <w:kern w:val="2"/>
          <w:sz w:val="22"/>
          <w:szCs w:val="22"/>
          <w:lang w:val="en-US"/>
        </w:rPr>
      </w:pPr>
      <w:r>
        <w:rPr>
          <w:b w:val="0"/>
          <w:snapToGrid/>
          <w:kern w:val="2"/>
          <w:sz w:val="22"/>
          <w:szCs w:val="22"/>
          <w:lang w:val="en-US"/>
        </w:rPr>
        <w:t>The MMSE channel estimation can be described as</w:t>
      </w:r>
      <w:r w:rsidR="007A7643">
        <w:rPr>
          <w:b w:val="0"/>
          <w:snapToGrid/>
          <w:kern w:val="2"/>
          <w:sz w:val="22"/>
          <w:szCs w:val="22"/>
          <w:lang w:val="en-US"/>
        </w:rPr>
        <w:t xml:space="preserve"> follows;</w:t>
      </w:r>
    </w:p>
    <w:p w14:paraId="628E42DA" w14:textId="77777777" w:rsidR="007A7643" w:rsidRDefault="00274F62"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 </w:t>
      </w:r>
      <m:oMath>
        <m:acc>
          <m:accPr>
            <m:ctrlPr>
              <w:rPr>
                <w:rFonts w:ascii="Cambria Math" w:hAnsi="Cambria Math"/>
                <w:b w:val="0"/>
                <w:snapToGrid/>
                <w:kern w:val="2"/>
                <w:sz w:val="22"/>
                <w:szCs w:val="22"/>
                <w:lang w:val="en-US"/>
              </w:rPr>
            </m:ctrlPr>
          </m:accPr>
          <m:e>
            <m:r>
              <m:rPr>
                <m:sty m:val="bi"/>
              </m:rPr>
              <w:rPr>
                <w:rFonts w:ascii="Cambria Math" w:hAnsi="Cambria Math"/>
                <w:snapToGrid/>
                <w:kern w:val="2"/>
                <w:sz w:val="22"/>
                <w:szCs w:val="22"/>
                <w:lang w:val="en-US"/>
              </w:rPr>
              <m:t>H</m:t>
            </m:r>
          </m:e>
        </m:acc>
        <m:r>
          <m:rPr>
            <m:sty m:val="bi"/>
          </m:rPr>
          <w:rPr>
            <w:rFonts w:ascii="Cambria Math" w:hAnsi="Cambria Math"/>
            <w:snapToGrid/>
            <w:kern w:val="2"/>
            <w:sz w:val="22"/>
            <w:szCs w:val="22"/>
            <w:lang w:val="en-US"/>
          </w:rPr>
          <m:t>=</m:t>
        </m:r>
        <m:sSub>
          <m:sSubPr>
            <m:ctrlPr>
              <w:rPr>
                <w:rFonts w:ascii="Cambria Math" w:hAnsi="Cambria Math"/>
                <w:b w:val="0"/>
                <w:i/>
                <w:snapToGrid/>
                <w:kern w:val="2"/>
                <w:sz w:val="22"/>
                <w:szCs w:val="22"/>
                <w:lang w:val="en-US"/>
              </w:rPr>
            </m:ctrlPr>
          </m:sSubPr>
          <m:e>
            <m:r>
              <m:rPr>
                <m:sty m:val="bi"/>
              </m:rPr>
              <w:rPr>
                <w:rFonts w:ascii="Cambria Math" w:hAnsi="Cambria Math"/>
                <w:snapToGrid/>
                <w:kern w:val="2"/>
                <w:sz w:val="22"/>
                <w:szCs w:val="22"/>
                <w:lang w:val="en-US"/>
              </w:rPr>
              <m:t>R</m:t>
            </m:r>
          </m:e>
          <m:sub>
            <m:r>
              <m:rPr>
                <m:sty m:val="bi"/>
              </m:rPr>
              <w:rPr>
                <w:rFonts w:ascii="Cambria Math" w:hAnsi="Cambria Math"/>
                <w:snapToGrid/>
                <w:kern w:val="2"/>
                <w:sz w:val="22"/>
                <w:szCs w:val="22"/>
                <w:lang w:val="en-US"/>
              </w:rPr>
              <m:t>H</m:t>
            </m:r>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sSubSup>
          <m:sSubSupPr>
            <m:ctrlPr>
              <w:rPr>
                <w:rFonts w:ascii="Cambria Math" w:hAnsi="Cambria Math"/>
                <w:b w:val="0"/>
                <w:i/>
                <w:snapToGrid/>
                <w:kern w:val="2"/>
                <w:sz w:val="22"/>
                <w:szCs w:val="22"/>
                <w:lang w:val="en-US"/>
              </w:rPr>
            </m:ctrlPr>
          </m:sSubSupPr>
          <m:e>
            <m:r>
              <m:rPr>
                <m:sty m:val="bi"/>
              </m:rPr>
              <w:rPr>
                <w:rFonts w:ascii="Cambria Math" w:hAnsi="Cambria Math"/>
                <w:snapToGrid/>
                <w:kern w:val="2"/>
                <w:sz w:val="22"/>
                <w:szCs w:val="22"/>
                <w:lang w:val="en-US"/>
              </w:rPr>
              <m:t>R</m:t>
            </m:r>
          </m:e>
          <m:sub>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up>
            <m:r>
              <m:rPr>
                <m:sty m:val="bi"/>
              </m:rPr>
              <w:rPr>
                <w:rFonts w:ascii="Cambria Math" w:hAnsi="Cambria Math"/>
                <w:snapToGrid/>
                <w:kern w:val="2"/>
                <w:sz w:val="22"/>
                <w:szCs w:val="22"/>
                <w:lang w:val="en-US"/>
              </w:rPr>
              <m:t>-1</m:t>
            </m:r>
          </m:sup>
        </m:sSubSup>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oMath>
    </w:p>
    <w:p w14:paraId="0160E3DD" w14:textId="39B52BD6" w:rsidR="00274F62" w:rsidRDefault="00274F62" w:rsidP="00156F2D">
      <w:pPr>
        <w:pStyle w:val="LGTdoc1"/>
        <w:spacing w:beforeLines="0" w:after="0" w:afterAutospacing="0"/>
        <w:rPr>
          <w:b w:val="0"/>
          <w:snapToGrid/>
          <w:kern w:val="2"/>
          <w:sz w:val="22"/>
          <w:szCs w:val="22"/>
          <w:lang w:val="en-US"/>
        </w:rPr>
      </w:pPr>
      <w:proofErr w:type="gramStart"/>
      <w:r>
        <w:rPr>
          <w:b w:val="0"/>
          <w:snapToGrid/>
          <w:kern w:val="2"/>
          <w:sz w:val="22"/>
          <w:szCs w:val="22"/>
          <w:lang w:val="en-US"/>
        </w:rPr>
        <w:t>where</w:t>
      </w:r>
      <w:proofErr w:type="gramEnd"/>
      <w:r>
        <w:rPr>
          <w:b w:val="0"/>
          <w:snapToGrid/>
          <w:kern w:val="2"/>
          <w:sz w:val="22"/>
          <w:szCs w:val="22"/>
          <w:lang w:val="en-US"/>
        </w:rPr>
        <w:t xml:space="preserve"> </w:t>
      </w:r>
      <m:oMath>
        <m:sSub>
          <m:sSubPr>
            <m:ctrlPr>
              <w:rPr>
                <w:rFonts w:ascii="Cambria Math" w:hAnsi="Cambria Math"/>
                <w:b w:val="0"/>
                <w:snapToGrid/>
                <w:kern w:val="2"/>
                <w:sz w:val="22"/>
                <w:szCs w:val="22"/>
                <w:lang w:val="en-US"/>
              </w:rPr>
            </m:ctrlPr>
          </m:sSubPr>
          <m:e>
            <m:r>
              <m:rPr>
                <m:sty m:val="bi"/>
              </m:rPr>
              <w:rPr>
                <w:rFonts w:ascii="Cambria Math" w:hAnsi="Cambria Math"/>
                <w:snapToGrid/>
                <w:kern w:val="2"/>
                <w:sz w:val="22"/>
                <w:szCs w:val="22"/>
                <w:lang w:val="en-US"/>
              </w:rPr>
              <m:t>R</m:t>
            </m:r>
          </m:e>
          <m:sub>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oMath>
      <w:r w:rsidR="007A7643">
        <w:rPr>
          <w:rFonts w:hint="eastAsia"/>
          <w:b w:val="0"/>
          <w:snapToGrid/>
          <w:kern w:val="2"/>
          <w:sz w:val="22"/>
          <w:szCs w:val="22"/>
          <w:lang w:val="en-US"/>
        </w:rPr>
        <w:t xml:space="preserve"> is the autocorrelation </w:t>
      </w:r>
      <w:r w:rsidR="007A7643">
        <w:rPr>
          <w:b w:val="0"/>
          <w:snapToGrid/>
          <w:kern w:val="2"/>
          <w:sz w:val="22"/>
          <w:szCs w:val="22"/>
          <w:lang w:val="en-US"/>
        </w:rPr>
        <w:t xml:space="preserve">of </w:t>
      </w:r>
      <m:oMath>
        <m:acc>
          <m:accPr>
            <m:chr m:val="̃"/>
            <m:ctrlPr>
              <w:rPr>
                <w:rFonts w:ascii="Cambria Math" w:hAnsi="Cambria Math"/>
                <w:b w:val="0"/>
                <w:snapToGrid/>
                <w:kern w:val="2"/>
                <w:sz w:val="22"/>
                <w:szCs w:val="22"/>
                <w:lang w:val="en-US"/>
              </w:rPr>
            </m:ctrlPr>
          </m:accPr>
          <m:e>
            <m:r>
              <m:rPr>
                <m:sty m:val="bi"/>
              </m:rPr>
              <w:rPr>
                <w:rFonts w:ascii="Cambria Math" w:hAnsi="Cambria Math"/>
                <w:snapToGrid/>
                <w:kern w:val="2"/>
                <w:sz w:val="22"/>
                <w:szCs w:val="22"/>
                <w:lang w:val="en-US"/>
              </w:rPr>
              <m:t>H</m:t>
            </m:r>
          </m:e>
        </m:acc>
      </m:oMath>
      <w:r w:rsidR="007A7643">
        <w:rPr>
          <w:b w:val="0"/>
          <w:snapToGrid/>
          <w:kern w:val="2"/>
          <w:sz w:val="22"/>
          <w:szCs w:val="22"/>
          <w:lang w:val="en-US"/>
        </w:rPr>
        <w:t xml:space="preserve">, </w:t>
      </w:r>
      <m:oMath>
        <m:sSub>
          <m:sSubPr>
            <m:ctrlPr>
              <w:rPr>
                <w:rFonts w:ascii="Cambria Math" w:hAnsi="Cambria Math"/>
                <w:b w:val="0"/>
                <w:i/>
                <w:snapToGrid/>
                <w:kern w:val="2"/>
                <w:sz w:val="22"/>
                <w:szCs w:val="22"/>
                <w:lang w:val="en-US"/>
              </w:rPr>
            </m:ctrlPr>
          </m:sSubPr>
          <m:e>
            <m:r>
              <m:rPr>
                <m:sty m:val="bi"/>
              </m:rPr>
              <w:rPr>
                <w:rFonts w:ascii="Cambria Math" w:hAnsi="Cambria Math"/>
                <w:snapToGrid/>
                <w:kern w:val="2"/>
                <w:sz w:val="22"/>
                <w:szCs w:val="22"/>
                <w:lang w:val="en-US"/>
              </w:rPr>
              <m:t>R</m:t>
            </m:r>
          </m:e>
          <m:sub>
            <m:r>
              <m:rPr>
                <m:sty m:val="bi"/>
              </m:rPr>
              <w:rPr>
                <w:rFonts w:ascii="Cambria Math" w:hAnsi="Cambria Math"/>
                <w:snapToGrid/>
                <w:kern w:val="2"/>
                <w:sz w:val="22"/>
                <w:szCs w:val="22"/>
                <w:lang w:val="en-US"/>
              </w:rPr>
              <m:t>H</m:t>
            </m:r>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oMath>
      <w:r w:rsidR="007A7643">
        <w:rPr>
          <w:rFonts w:hint="eastAsia"/>
          <w:b w:val="0"/>
          <w:snapToGrid/>
          <w:kern w:val="2"/>
          <w:sz w:val="22"/>
          <w:szCs w:val="22"/>
          <w:lang w:val="en-US"/>
        </w:rPr>
        <w:t xml:space="preserve"> is </w:t>
      </w:r>
      <w:r w:rsidR="007A7643">
        <w:rPr>
          <w:b w:val="0"/>
          <w:snapToGrid/>
          <w:kern w:val="2"/>
          <w:sz w:val="22"/>
          <w:szCs w:val="22"/>
          <w:lang w:val="en-US"/>
        </w:rPr>
        <w:t xml:space="preserve">the cross-correlation matrix between the true channel vector and temporary channel estimate vector. </w:t>
      </w:r>
    </w:p>
    <w:p w14:paraId="765F7AB2" w14:textId="594583EC" w:rsidR="007A7643" w:rsidRDefault="007A7643"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A simple comparison </w:t>
      </w:r>
      <w:r w:rsidR="00895D4A">
        <w:rPr>
          <w:b w:val="0"/>
          <w:snapToGrid/>
          <w:kern w:val="2"/>
          <w:sz w:val="22"/>
          <w:szCs w:val="22"/>
          <w:lang w:val="en-US"/>
        </w:rPr>
        <w:t>among</w:t>
      </w:r>
      <w:r>
        <w:rPr>
          <w:b w:val="0"/>
          <w:snapToGrid/>
          <w:kern w:val="2"/>
          <w:sz w:val="22"/>
          <w:szCs w:val="22"/>
          <w:lang w:val="en-US"/>
        </w:rPr>
        <w:t xml:space="preserve"> bundle size</w:t>
      </w:r>
      <w:r w:rsidR="00895D4A">
        <w:rPr>
          <w:b w:val="0"/>
          <w:snapToGrid/>
          <w:kern w:val="2"/>
          <w:sz w:val="22"/>
          <w:szCs w:val="22"/>
          <w:lang w:val="en-US"/>
        </w:rPr>
        <w:t>s</w:t>
      </w:r>
      <w:r>
        <w:rPr>
          <w:b w:val="0"/>
          <w:snapToGrid/>
          <w:kern w:val="2"/>
          <w:sz w:val="22"/>
          <w:szCs w:val="22"/>
          <w:lang w:val="en-US"/>
        </w:rPr>
        <w:t xml:space="preserve"> is as follows; (In this comparison, complexity for deriving matrix </w:t>
      </w:r>
      <m:oMath>
        <m:sSub>
          <m:sSubPr>
            <m:ctrlPr>
              <w:rPr>
                <w:rFonts w:ascii="Cambria Math" w:hAnsi="Cambria Math"/>
                <w:b w:val="0"/>
                <w:i/>
                <w:snapToGrid/>
                <w:kern w:val="2"/>
                <w:sz w:val="22"/>
                <w:szCs w:val="22"/>
                <w:lang w:val="en-US"/>
              </w:rPr>
            </m:ctrlPr>
          </m:sSubPr>
          <m:e>
            <m:r>
              <m:rPr>
                <m:sty m:val="bi"/>
              </m:rPr>
              <w:rPr>
                <w:rFonts w:ascii="Cambria Math" w:hAnsi="Cambria Math"/>
                <w:snapToGrid/>
                <w:kern w:val="2"/>
                <w:sz w:val="22"/>
                <w:szCs w:val="22"/>
                <w:lang w:val="en-US"/>
              </w:rPr>
              <m:t>R</m:t>
            </m:r>
          </m:e>
          <m:sub>
            <m:r>
              <m:rPr>
                <m:sty m:val="bi"/>
              </m:rPr>
              <w:rPr>
                <w:rFonts w:ascii="Cambria Math" w:hAnsi="Cambria Math"/>
                <w:snapToGrid/>
                <w:kern w:val="2"/>
                <w:sz w:val="22"/>
                <w:szCs w:val="22"/>
                <w:lang w:val="en-US"/>
              </w:rPr>
              <m:t>H</m:t>
            </m:r>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oMath>
      <w:r>
        <w:rPr>
          <w:rFonts w:hint="eastAsia"/>
          <w:b w:val="0"/>
          <w:snapToGrid/>
          <w:kern w:val="2"/>
          <w:sz w:val="22"/>
          <w:szCs w:val="22"/>
          <w:lang w:val="en-US"/>
        </w:rPr>
        <w:t xml:space="preserve"> and </w:t>
      </w:r>
      <m:oMath>
        <m:sSubSup>
          <m:sSubSupPr>
            <m:ctrlPr>
              <w:rPr>
                <w:rFonts w:ascii="Cambria Math" w:hAnsi="Cambria Math"/>
                <w:b w:val="0"/>
                <w:i/>
                <w:snapToGrid/>
                <w:kern w:val="2"/>
                <w:sz w:val="22"/>
                <w:szCs w:val="22"/>
                <w:lang w:val="en-US"/>
              </w:rPr>
            </m:ctrlPr>
          </m:sSubSupPr>
          <m:e>
            <m:r>
              <m:rPr>
                <m:sty m:val="bi"/>
              </m:rPr>
              <w:rPr>
                <w:rFonts w:ascii="Cambria Math" w:hAnsi="Cambria Math"/>
                <w:snapToGrid/>
                <w:kern w:val="2"/>
                <w:sz w:val="22"/>
                <w:szCs w:val="22"/>
                <w:lang w:val="en-US"/>
              </w:rPr>
              <m:t>R</m:t>
            </m:r>
          </m:e>
          <m:sub>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up>
            <m:r>
              <m:rPr>
                <m:sty m:val="bi"/>
              </m:rPr>
              <w:rPr>
                <w:rFonts w:ascii="Cambria Math" w:hAnsi="Cambria Math"/>
                <w:snapToGrid/>
                <w:kern w:val="2"/>
                <w:sz w:val="22"/>
                <w:szCs w:val="22"/>
                <w:lang w:val="en-US"/>
              </w:rPr>
              <m:t>-1</m:t>
            </m:r>
          </m:sup>
        </m:sSubSup>
      </m:oMath>
      <w:r>
        <w:rPr>
          <w:b w:val="0"/>
          <w:snapToGrid/>
          <w:kern w:val="2"/>
          <w:sz w:val="22"/>
          <w:szCs w:val="22"/>
          <w:lang w:val="en-US"/>
        </w:rPr>
        <w:t xml:space="preserve"> is not considered.</w:t>
      </w:r>
      <w:r w:rsidR="00895D4A">
        <w:rPr>
          <w:b w:val="0"/>
          <w:snapToGrid/>
          <w:kern w:val="2"/>
          <w:sz w:val="22"/>
          <w:szCs w:val="22"/>
          <w:lang w:val="en-US"/>
        </w:rPr>
        <w:t xml:space="preserve"> The number of multiplications is calculated per CCE.</w:t>
      </w:r>
      <w:r>
        <w:rPr>
          <w:b w:val="0"/>
          <w:snapToGrid/>
          <w:kern w:val="2"/>
          <w:sz w:val="22"/>
          <w:szCs w:val="22"/>
          <w:lang w:val="en-US"/>
        </w:rPr>
        <w:t>)</w:t>
      </w:r>
    </w:p>
    <w:tbl>
      <w:tblPr>
        <w:tblStyle w:val="aa"/>
        <w:tblW w:w="0" w:type="auto"/>
        <w:tblLook w:val="04A0" w:firstRow="1" w:lastRow="0" w:firstColumn="1" w:lastColumn="0" w:noHBand="0" w:noVBand="1"/>
      </w:tblPr>
      <w:tblGrid>
        <w:gridCol w:w="1803"/>
        <w:gridCol w:w="1712"/>
        <w:gridCol w:w="1713"/>
        <w:gridCol w:w="1713"/>
        <w:gridCol w:w="2075"/>
      </w:tblGrid>
      <w:tr w:rsidR="007A7643" w14:paraId="1E917108" w14:textId="77777777" w:rsidTr="00BD4A58">
        <w:tc>
          <w:tcPr>
            <w:tcW w:w="1803" w:type="dxa"/>
          </w:tcPr>
          <w:p w14:paraId="6275D1B3" w14:textId="77777777" w:rsidR="007A7643" w:rsidRPr="007A7643" w:rsidRDefault="007A7643" w:rsidP="00BD4A58">
            <w:pPr>
              <w:jc w:val="center"/>
              <w:rPr>
                <w:rFonts w:ascii="Times New Roman"/>
                <w:sz w:val="22"/>
                <w:szCs w:val="22"/>
              </w:rPr>
            </w:pPr>
            <w:r w:rsidRPr="007A7643">
              <w:rPr>
                <w:rFonts w:ascii="Times New Roman" w:hint="eastAsia"/>
                <w:sz w:val="22"/>
                <w:szCs w:val="22"/>
              </w:rPr>
              <w:t xml:space="preserve">REG </w:t>
            </w:r>
            <w:r w:rsidRPr="007A7643">
              <w:rPr>
                <w:rFonts w:ascii="Times New Roman"/>
                <w:sz w:val="22"/>
                <w:szCs w:val="22"/>
              </w:rPr>
              <w:t>bundle size</w:t>
            </w:r>
          </w:p>
        </w:tc>
        <w:tc>
          <w:tcPr>
            <w:tcW w:w="1712" w:type="dxa"/>
          </w:tcPr>
          <w:p w14:paraId="5CFAB344" w14:textId="48A733F0" w:rsidR="007A7643" w:rsidRPr="007A7643" w:rsidRDefault="002651CC" w:rsidP="00BD4A58">
            <w:pPr>
              <w:jc w:val="center"/>
              <w:rPr>
                <w:rFonts w:ascii="Times New Roman"/>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H</m:t>
                    </m:r>
                    <m:acc>
                      <m:accPr>
                        <m:chr m:val="̃"/>
                        <m:ctrlPr>
                          <w:rPr>
                            <w:rFonts w:ascii="Cambria Math" w:hAnsi="Cambria Math"/>
                            <w:i/>
                            <w:sz w:val="22"/>
                            <w:szCs w:val="22"/>
                          </w:rPr>
                        </m:ctrlPr>
                      </m:accPr>
                      <m:e>
                        <m:r>
                          <m:rPr>
                            <m:sty m:val="bi"/>
                          </m:rPr>
                          <w:rPr>
                            <w:rFonts w:ascii="Cambria Math" w:hAnsi="Cambria Math"/>
                            <w:sz w:val="22"/>
                            <w:szCs w:val="22"/>
                          </w:rPr>
                          <m:t>H</m:t>
                        </m:r>
                      </m:e>
                    </m:acc>
                  </m:sub>
                </m:sSub>
              </m:oMath>
            </m:oMathPara>
          </w:p>
        </w:tc>
        <w:tc>
          <w:tcPr>
            <w:tcW w:w="1713" w:type="dxa"/>
          </w:tcPr>
          <w:p w14:paraId="18BC1F7B" w14:textId="234B5446" w:rsidR="007A7643" w:rsidRPr="007A7643" w:rsidRDefault="002651CC" w:rsidP="00BD4A58">
            <w:pPr>
              <w:jc w:val="center"/>
              <w:rPr>
                <w:rFonts w:ascii="Times New Roman"/>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R</m:t>
                    </m:r>
                  </m:e>
                  <m:sub>
                    <m:acc>
                      <m:accPr>
                        <m:chr m:val="̃"/>
                        <m:ctrlPr>
                          <w:rPr>
                            <w:rFonts w:ascii="Cambria Math" w:hAnsi="Cambria Math"/>
                            <w:i/>
                            <w:sz w:val="22"/>
                            <w:szCs w:val="22"/>
                          </w:rPr>
                        </m:ctrlPr>
                      </m:accPr>
                      <m:e>
                        <m:r>
                          <m:rPr>
                            <m:sty m:val="bi"/>
                          </m:rPr>
                          <w:rPr>
                            <w:rFonts w:ascii="Cambria Math" w:hAnsi="Cambria Math"/>
                            <w:sz w:val="22"/>
                            <w:szCs w:val="22"/>
                          </w:rPr>
                          <m:t>H</m:t>
                        </m:r>
                      </m:e>
                    </m:acc>
                    <m:acc>
                      <m:accPr>
                        <m:chr m:val="̃"/>
                        <m:ctrlPr>
                          <w:rPr>
                            <w:rFonts w:ascii="Cambria Math" w:hAnsi="Cambria Math"/>
                            <w:i/>
                            <w:sz w:val="22"/>
                            <w:szCs w:val="22"/>
                          </w:rPr>
                        </m:ctrlPr>
                      </m:accPr>
                      <m:e>
                        <m:r>
                          <m:rPr>
                            <m:sty m:val="bi"/>
                          </m:rPr>
                          <w:rPr>
                            <w:rFonts w:ascii="Cambria Math" w:hAnsi="Cambria Math"/>
                            <w:sz w:val="22"/>
                            <w:szCs w:val="22"/>
                          </w:rPr>
                          <m:t>H</m:t>
                        </m:r>
                      </m:e>
                    </m:acc>
                  </m:sub>
                  <m:sup>
                    <m:r>
                      <m:rPr>
                        <m:sty m:val="bi"/>
                      </m:rPr>
                      <w:rPr>
                        <w:rFonts w:ascii="Cambria Math" w:hAnsi="Cambria Math"/>
                        <w:sz w:val="22"/>
                        <w:szCs w:val="22"/>
                      </w:rPr>
                      <m:t>-1</m:t>
                    </m:r>
                  </m:sup>
                </m:sSubSup>
              </m:oMath>
            </m:oMathPara>
          </w:p>
        </w:tc>
        <w:tc>
          <w:tcPr>
            <w:tcW w:w="1713" w:type="dxa"/>
          </w:tcPr>
          <w:p w14:paraId="04107B1E" w14:textId="36F38A84" w:rsidR="007A7643" w:rsidRPr="007A7643" w:rsidRDefault="002651CC" w:rsidP="00BD4A58">
            <w:pPr>
              <w:jc w:val="center"/>
              <w:rPr>
                <w:rFonts w:ascii="Times New Roman"/>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H</m:t>
                    </m:r>
                  </m:e>
                </m:acc>
              </m:oMath>
            </m:oMathPara>
          </w:p>
        </w:tc>
        <w:tc>
          <w:tcPr>
            <w:tcW w:w="2075" w:type="dxa"/>
          </w:tcPr>
          <w:p w14:paraId="074FE1AD" w14:textId="77777777" w:rsidR="007A7643" w:rsidRPr="007A7643" w:rsidRDefault="007A7643" w:rsidP="00BD4A58">
            <w:pPr>
              <w:jc w:val="center"/>
              <w:rPr>
                <w:rFonts w:ascii="Times New Roman"/>
                <w:sz w:val="22"/>
                <w:szCs w:val="22"/>
              </w:rPr>
            </w:pPr>
            <w:r w:rsidRPr="007A7643">
              <w:rPr>
                <w:rFonts w:ascii="Times New Roman" w:hint="eastAsia"/>
                <w:sz w:val="22"/>
                <w:szCs w:val="22"/>
              </w:rPr>
              <w:t># of multiplications</w:t>
            </w:r>
          </w:p>
        </w:tc>
      </w:tr>
      <w:tr w:rsidR="007A7643" w14:paraId="5648FE0C" w14:textId="77777777" w:rsidTr="00BD4A58">
        <w:tc>
          <w:tcPr>
            <w:tcW w:w="1803" w:type="dxa"/>
          </w:tcPr>
          <w:p w14:paraId="4CAA08D0" w14:textId="77777777" w:rsidR="007A7643" w:rsidRPr="007A7643" w:rsidRDefault="007A7643" w:rsidP="00BD4A58">
            <w:pPr>
              <w:jc w:val="center"/>
              <w:rPr>
                <w:rFonts w:ascii="Times New Roman"/>
                <w:sz w:val="22"/>
                <w:szCs w:val="22"/>
              </w:rPr>
            </w:pPr>
            <w:r w:rsidRPr="007A7643">
              <w:rPr>
                <w:rFonts w:ascii="Times New Roman" w:hint="eastAsia"/>
                <w:sz w:val="22"/>
                <w:szCs w:val="22"/>
              </w:rPr>
              <w:t>2</w:t>
            </w:r>
          </w:p>
        </w:tc>
        <w:tc>
          <w:tcPr>
            <w:tcW w:w="1712" w:type="dxa"/>
          </w:tcPr>
          <w:p w14:paraId="3220E34A" w14:textId="77777777" w:rsidR="007A7643" w:rsidRPr="007A7643" w:rsidRDefault="007A7643" w:rsidP="00BD4A58">
            <w:pPr>
              <w:jc w:val="center"/>
              <w:rPr>
                <w:rFonts w:ascii="Times New Roman"/>
                <w:sz w:val="22"/>
                <w:szCs w:val="22"/>
              </w:rPr>
            </w:pPr>
            <w:r w:rsidRPr="007A7643">
              <w:rPr>
                <w:rFonts w:ascii="Times New Roman" w:hint="eastAsia"/>
                <w:sz w:val="22"/>
                <w:szCs w:val="22"/>
              </w:rPr>
              <w:t>24x6 matrix</w:t>
            </w:r>
          </w:p>
        </w:tc>
        <w:tc>
          <w:tcPr>
            <w:tcW w:w="1713" w:type="dxa"/>
          </w:tcPr>
          <w:p w14:paraId="32BC4B8D" w14:textId="77777777" w:rsidR="007A7643" w:rsidRPr="007A7643" w:rsidRDefault="007A7643" w:rsidP="00BD4A58">
            <w:pPr>
              <w:jc w:val="center"/>
              <w:rPr>
                <w:rFonts w:ascii="Times New Roman"/>
                <w:sz w:val="22"/>
                <w:szCs w:val="22"/>
              </w:rPr>
            </w:pPr>
            <w:r w:rsidRPr="007A7643">
              <w:rPr>
                <w:rFonts w:ascii="Times New Roman" w:hint="eastAsia"/>
                <w:sz w:val="22"/>
                <w:szCs w:val="22"/>
              </w:rPr>
              <w:t>6x6 matrix</w:t>
            </w:r>
          </w:p>
        </w:tc>
        <w:tc>
          <w:tcPr>
            <w:tcW w:w="1713" w:type="dxa"/>
          </w:tcPr>
          <w:p w14:paraId="7CAB2681" w14:textId="77777777" w:rsidR="007A7643" w:rsidRPr="007A7643" w:rsidRDefault="007A7643" w:rsidP="00BD4A58">
            <w:pPr>
              <w:jc w:val="center"/>
              <w:rPr>
                <w:rFonts w:ascii="Times New Roman"/>
                <w:sz w:val="22"/>
                <w:szCs w:val="22"/>
              </w:rPr>
            </w:pPr>
            <w:r w:rsidRPr="007A7643">
              <w:rPr>
                <w:rFonts w:ascii="Times New Roman" w:hint="eastAsia"/>
                <w:sz w:val="22"/>
                <w:szCs w:val="22"/>
              </w:rPr>
              <w:t>6x1 matrix</w:t>
            </w:r>
          </w:p>
        </w:tc>
        <w:tc>
          <w:tcPr>
            <w:tcW w:w="2075" w:type="dxa"/>
          </w:tcPr>
          <w:p w14:paraId="4CF10B3D" w14:textId="77777777" w:rsidR="007A7643" w:rsidRPr="007A7643" w:rsidRDefault="007A7643" w:rsidP="00BD4A58">
            <w:pPr>
              <w:jc w:val="center"/>
              <w:rPr>
                <w:rFonts w:ascii="Times New Roman"/>
                <w:sz w:val="22"/>
                <w:szCs w:val="22"/>
              </w:rPr>
            </w:pPr>
            <w:r w:rsidRPr="007A7643">
              <w:rPr>
                <w:rFonts w:ascii="Times New Roman" w:hint="eastAsia"/>
                <w:sz w:val="22"/>
                <w:szCs w:val="22"/>
              </w:rPr>
              <w:t>3024</w:t>
            </w:r>
          </w:p>
        </w:tc>
      </w:tr>
      <w:tr w:rsidR="007A7643" w14:paraId="12A63F69" w14:textId="77777777" w:rsidTr="00BD4A58">
        <w:tc>
          <w:tcPr>
            <w:tcW w:w="1803" w:type="dxa"/>
          </w:tcPr>
          <w:p w14:paraId="4946F8DC" w14:textId="77777777" w:rsidR="007A7643" w:rsidRPr="007A7643" w:rsidRDefault="007A7643" w:rsidP="00BD4A58">
            <w:pPr>
              <w:jc w:val="center"/>
              <w:rPr>
                <w:rFonts w:ascii="Times New Roman"/>
                <w:sz w:val="22"/>
                <w:szCs w:val="22"/>
              </w:rPr>
            </w:pPr>
            <w:r w:rsidRPr="007A7643">
              <w:rPr>
                <w:rFonts w:ascii="Times New Roman" w:hint="eastAsia"/>
                <w:sz w:val="22"/>
                <w:szCs w:val="22"/>
              </w:rPr>
              <w:t>3</w:t>
            </w:r>
          </w:p>
        </w:tc>
        <w:tc>
          <w:tcPr>
            <w:tcW w:w="1712" w:type="dxa"/>
          </w:tcPr>
          <w:p w14:paraId="42C5FC58" w14:textId="77777777" w:rsidR="007A7643" w:rsidRPr="007A7643" w:rsidRDefault="007A7643" w:rsidP="00BD4A58">
            <w:pPr>
              <w:jc w:val="center"/>
              <w:rPr>
                <w:rFonts w:ascii="Times New Roman"/>
                <w:sz w:val="22"/>
                <w:szCs w:val="22"/>
              </w:rPr>
            </w:pPr>
            <w:r w:rsidRPr="007A7643">
              <w:rPr>
                <w:rFonts w:ascii="Times New Roman" w:hint="eastAsia"/>
                <w:sz w:val="22"/>
                <w:szCs w:val="22"/>
              </w:rPr>
              <w:t>36x9 matrix</w:t>
            </w:r>
          </w:p>
        </w:tc>
        <w:tc>
          <w:tcPr>
            <w:tcW w:w="1713" w:type="dxa"/>
          </w:tcPr>
          <w:p w14:paraId="406E8F70" w14:textId="77777777" w:rsidR="007A7643" w:rsidRPr="007A7643" w:rsidRDefault="007A7643" w:rsidP="00BD4A58">
            <w:pPr>
              <w:jc w:val="center"/>
              <w:rPr>
                <w:rFonts w:ascii="Times New Roman"/>
                <w:sz w:val="22"/>
                <w:szCs w:val="22"/>
              </w:rPr>
            </w:pPr>
            <w:r w:rsidRPr="007A7643">
              <w:rPr>
                <w:rFonts w:ascii="Times New Roman" w:hint="eastAsia"/>
                <w:sz w:val="22"/>
                <w:szCs w:val="22"/>
              </w:rPr>
              <w:t>9x9 matrix</w:t>
            </w:r>
          </w:p>
        </w:tc>
        <w:tc>
          <w:tcPr>
            <w:tcW w:w="1713" w:type="dxa"/>
          </w:tcPr>
          <w:p w14:paraId="6C81A2DD" w14:textId="77777777" w:rsidR="007A7643" w:rsidRPr="007A7643" w:rsidRDefault="007A7643" w:rsidP="00BD4A58">
            <w:pPr>
              <w:jc w:val="center"/>
              <w:rPr>
                <w:rFonts w:ascii="Times New Roman"/>
                <w:sz w:val="22"/>
                <w:szCs w:val="22"/>
              </w:rPr>
            </w:pPr>
            <w:r w:rsidRPr="007A7643">
              <w:rPr>
                <w:rFonts w:ascii="Times New Roman" w:hint="eastAsia"/>
                <w:sz w:val="22"/>
                <w:szCs w:val="22"/>
              </w:rPr>
              <w:t>9x1 matrix</w:t>
            </w:r>
          </w:p>
        </w:tc>
        <w:tc>
          <w:tcPr>
            <w:tcW w:w="2075" w:type="dxa"/>
          </w:tcPr>
          <w:p w14:paraId="4451D6B2" w14:textId="77777777" w:rsidR="007A7643" w:rsidRPr="007A7643" w:rsidRDefault="007A7643" w:rsidP="00BD4A58">
            <w:pPr>
              <w:jc w:val="center"/>
              <w:rPr>
                <w:rFonts w:ascii="Times New Roman"/>
                <w:sz w:val="22"/>
                <w:szCs w:val="22"/>
              </w:rPr>
            </w:pPr>
            <w:r w:rsidRPr="007A7643">
              <w:rPr>
                <w:rFonts w:ascii="Times New Roman" w:hint="eastAsia"/>
                <w:sz w:val="22"/>
                <w:szCs w:val="22"/>
              </w:rPr>
              <w:t>6480</w:t>
            </w:r>
          </w:p>
        </w:tc>
      </w:tr>
      <w:tr w:rsidR="007A7643" w14:paraId="473A7E57" w14:textId="77777777" w:rsidTr="00BD4A58">
        <w:tc>
          <w:tcPr>
            <w:tcW w:w="1803" w:type="dxa"/>
          </w:tcPr>
          <w:p w14:paraId="0EDB6355" w14:textId="77777777" w:rsidR="007A7643" w:rsidRPr="007A7643" w:rsidRDefault="007A7643" w:rsidP="00BD4A58">
            <w:pPr>
              <w:jc w:val="center"/>
              <w:rPr>
                <w:rFonts w:ascii="Times New Roman"/>
                <w:sz w:val="22"/>
                <w:szCs w:val="22"/>
              </w:rPr>
            </w:pPr>
            <w:r w:rsidRPr="007A7643">
              <w:rPr>
                <w:rFonts w:ascii="Times New Roman" w:hint="eastAsia"/>
                <w:sz w:val="22"/>
                <w:szCs w:val="22"/>
              </w:rPr>
              <w:t>6</w:t>
            </w:r>
          </w:p>
        </w:tc>
        <w:tc>
          <w:tcPr>
            <w:tcW w:w="1712" w:type="dxa"/>
          </w:tcPr>
          <w:p w14:paraId="117E7299" w14:textId="77777777" w:rsidR="007A7643" w:rsidRPr="007A7643" w:rsidRDefault="007A7643" w:rsidP="00BD4A58">
            <w:pPr>
              <w:jc w:val="center"/>
              <w:rPr>
                <w:rFonts w:ascii="Times New Roman"/>
                <w:sz w:val="22"/>
                <w:szCs w:val="22"/>
              </w:rPr>
            </w:pPr>
            <w:r w:rsidRPr="007A7643">
              <w:rPr>
                <w:rFonts w:ascii="Times New Roman" w:hint="eastAsia"/>
                <w:sz w:val="22"/>
                <w:szCs w:val="22"/>
              </w:rPr>
              <w:t>72x18 matrix</w:t>
            </w:r>
          </w:p>
        </w:tc>
        <w:tc>
          <w:tcPr>
            <w:tcW w:w="1713" w:type="dxa"/>
          </w:tcPr>
          <w:p w14:paraId="3AFF0C55" w14:textId="77777777" w:rsidR="007A7643" w:rsidRPr="007A7643" w:rsidRDefault="007A7643" w:rsidP="00BD4A58">
            <w:pPr>
              <w:jc w:val="center"/>
              <w:rPr>
                <w:rFonts w:ascii="Times New Roman"/>
                <w:sz w:val="22"/>
                <w:szCs w:val="22"/>
              </w:rPr>
            </w:pPr>
            <w:r w:rsidRPr="007A7643">
              <w:rPr>
                <w:rFonts w:ascii="Times New Roman" w:hint="eastAsia"/>
                <w:sz w:val="22"/>
                <w:szCs w:val="22"/>
              </w:rPr>
              <w:t>18x18 matrix</w:t>
            </w:r>
          </w:p>
        </w:tc>
        <w:tc>
          <w:tcPr>
            <w:tcW w:w="1713" w:type="dxa"/>
          </w:tcPr>
          <w:p w14:paraId="6588EDEC" w14:textId="77777777" w:rsidR="007A7643" w:rsidRPr="007A7643" w:rsidRDefault="007A7643" w:rsidP="00BD4A58">
            <w:pPr>
              <w:jc w:val="center"/>
              <w:rPr>
                <w:rFonts w:ascii="Times New Roman"/>
                <w:sz w:val="22"/>
                <w:szCs w:val="22"/>
              </w:rPr>
            </w:pPr>
            <w:r w:rsidRPr="007A7643">
              <w:rPr>
                <w:rFonts w:ascii="Times New Roman" w:hint="eastAsia"/>
                <w:sz w:val="22"/>
                <w:szCs w:val="22"/>
              </w:rPr>
              <w:t>18x1 matrix</w:t>
            </w:r>
          </w:p>
        </w:tc>
        <w:tc>
          <w:tcPr>
            <w:tcW w:w="2075" w:type="dxa"/>
          </w:tcPr>
          <w:p w14:paraId="511C56CB" w14:textId="77777777" w:rsidR="007A7643" w:rsidRPr="007A7643" w:rsidRDefault="007A7643" w:rsidP="00BD4A58">
            <w:pPr>
              <w:jc w:val="center"/>
              <w:rPr>
                <w:rFonts w:ascii="Times New Roman"/>
                <w:sz w:val="22"/>
                <w:szCs w:val="22"/>
              </w:rPr>
            </w:pPr>
            <w:r w:rsidRPr="007A7643">
              <w:rPr>
                <w:rFonts w:ascii="Times New Roman" w:hint="eastAsia"/>
                <w:sz w:val="22"/>
                <w:szCs w:val="22"/>
              </w:rPr>
              <w:t>24624</w:t>
            </w:r>
          </w:p>
        </w:tc>
      </w:tr>
    </w:tbl>
    <w:p w14:paraId="49E8DF79" w14:textId="4D2AB226" w:rsidR="007A7643" w:rsidRDefault="007A7643"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Table 1. </w:t>
      </w:r>
      <w:r w:rsidR="00895D4A">
        <w:rPr>
          <w:b w:val="0"/>
          <w:snapToGrid/>
          <w:kern w:val="2"/>
          <w:sz w:val="22"/>
          <w:szCs w:val="22"/>
          <w:lang w:val="en-US"/>
        </w:rPr>
        <w:t>T</w:t>
      </w:r>
      <w:r>
        <w:rPr>
          <w:b w:val="0"/>
          <w:snapToGrid/>
          <w:kern w:val="2"/>
          <w:sz w:val="22"/>
          <w:szCs w:val="22"/>
          <w:lang w:val="en-US"/>
        </w:rPr>
        <w:t xml:space="preserve">he number of multiplications for channel estimation </w:t>
      </w:r>
    </w:p>
    <w:p w14:paraId="3E1EABE4" w14:textId="4A62F459" w:rsidR="007A7643" w:rsidRDefault="00895D4A"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As shown in the table, the number of multiplications for channel estimation</w:t>
      </w:r>
      <w:r>
        <w:rPr>
          <w:b w:val="0"/>
          <w:snapToGrid/>
          <w:kern w:val="2"/>
          <w:sz w:val="22"/>
          <w:szCs w:val="22"/>
          <w:lang w:val="en-US"/>
        </w:rPr>
        <w:t>s</w:t>
      </w:r>
      <w:r>
        <w:rPr>
          <w:rFonts w:hint="eastAsia"/>
          <w:b w:val="0"/>
          <w:snapToGrid/>
          <w:kern w:val="2"/>
          <w:sz w:val="22"/>
          <w:szCs w:val="22"/>
          <w:lang w:val="en-US"/>
        </w:rPr>
        <w:t xml:space="preserve"> of a CCE</w:t>
      </w:r>
      <w:r>
        <w:rPr>
          <w:b w:val="0"/>
          <w:snapToGrid/>
          <w:kern w:val="2"/>
          <w:sz w:val="22"/>
          <w:szCs w:val="22"/>
          <w:lang w:val="en-US"/>
        </w:rPr>
        <w:t xml:space="preserve"> is increased exponentially as the REG bundle size is increased. So, it is desirable that the REG bundle size of a CORESET should be reflected</w:t>
      </w:r>
      <w:r w:rsidR="00470FC2">
        <w:rPr>
          <w:b w:val="0"/>
          <w:snapToGrid/>
          <w:kern w:val="2"/>
          <w:sz w:val="22"/>
          <w:szCs w:val="22"/>
          <w:lang w:val="en-US"/>
        </w:rPr>
        <w:t xml:space="preserve"> to count CCEs</w:t>
      </w:r>
      <w:r>
        <w:rPr>
          <w:b w:val="0"/>
          <w:snapToGrid/>
          <w:kern w:val="2"/>
          <w:sz w:val="22"/>
          <w:szCs w:val="22"/>
          <w:lang w:val="en-US"/>
        </w:rPr>
        <w:t>. For example, each REG bundle size can have a weight factor for counting CCE.</w:t>
      </w:r>
    </w:p>
    <w:p w14:paraId="1528EE39" w14:textId="4B73ABF4" w:rsidR="00895D4A" w:rsidRPr="002F36B9" w:rsidRDefault="00895D4A" w:rsidP="00156F2D">
      <w:pPr>
        <w:pStyle w:val="LGTdoc1"/>
        <w:spacing w:beforeLines="0" w:after="0" w:afterAutospacing="0"/>
        <w:rPr>
          <w:b w:val="0"/>
          <w:snapToGrid/>
          <w:kern w:val="2"/>
          <w:sz w:val="22"/>
          <w:szCs w:val="22"/>
          <w:u w:val="single"/>
          <w:lang w:val="en-US"/>
        </w:rPr>
      </w:pPr>
      <w:r w:rsidRPr="002F36B9">
        <w:rPr>
          <w:b w:val="0"/>
          <w:snapToGrid/>
          <w:kern w:val="2"/>
          <w:sz w:val="22"/>
          <w:szCs w:val="22"/>
          <w:u w:val="single"/>
          <w:lang w:val="en-US"/>
        </w:rPr>
        <w:t>Candidate dropping rule</w:t>
      </w:r>
    </w:p>
    <w:p w14:paraId="00F4D3F2" w14:textId="645A3FD6" w:rsidR="00895D4A" w:rsidRDefault="00895D4A"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If the number of CCEs derived by the counting rule is larger than </w:t>
      </w:r>
      <w:r w:rsidR="002F36B9">
        <w:rPr>
          <w:b w:val="0"/>
          <w:snapToGrid/>
          <w:kern w:val="2"/>
          <w:sz w:val="22"/>
          <w:szCs w:val="22"/>
          <w:lang w:val="en-US"/>
        </w:rPr>
        <w:t>a</w:t>
      </w:r>
      <w:r>
        <w:rPr>
          <w:b w:val="0"/>
          <w:snapToGrid/>
          <w:kern w:val="2"/>
          <w:sz w:val="22"/>
          <w:szCs w:val="22"/>
          <w:lang w:val="en-US"/>
        </w:rPr>
        <w:t xml:space="preserve"> limit for </w:t>
      </w:r>
      <w:r w:rsidR="002F36B9">
        <w:rPr>
          <w:b w:val="0"/>
          <w:snapToGrid/>
          <w:kern w:val="2"/>
          <w:sz w:val="22"/>
          <w:szCs w:val="22"/>
          <w:lang w:val="en-US"/>
        </w:rPr>
        <w:t xml:space="preserve">resolving channel estimation complexity issue, a UE should determine which candidates are skipped on configured blind decodings. A straightforward way is to give priority to a resource unit such as CORESET, search space, or candidate. A UE can perform blind decoding on candidates which has higher priority first. </w:t>
      </w:r>
      <w:r w:rsidR="00470FC2">
        <w:rPr>
          <w:b w:val="0"/>
          <w:snapToGrid/>
          <w:kern w:val="2"/>
          <w:sz w:val="22"/>
          <w:szCs w:val="22"/>
          <w:lang w:val="en-US"/>
        </w:rPr>
        <w:t xml:space="preserve">The priority can be determined considering CORESET configuration, search space type and/or aggregation level. For example, candidates included in CSS and/or GC CSS can have high priority. </w:t>
      </w:r>
    </w:p>
    <w:p w14:paraId="754FF072" w14:textId="2474E629" w:rsidR="00345927" w:rsidRDefault="00BF1B5F"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O</w:t>
      </w:r>
      <w:r>
        <w:rPr>
          <w:b w:val="0"/>
          <w:snapToGrid/>
          <w:kern w:val="2"/>
          <w:sz w:val="22"/>
          <w:szCs w:val="22"/>
          <w:lang w:val="en-US"/>
        </w:rPr>
        <w:t xml:space="preserve">n the other hand, it can be also considered that there is a maximum channel estimation complexity that a UE supports per each numerology similar to blind decoding capability where the network ensures configuration would not exceed the UE capability. For both blind decoding and channel estimation, this can be inefficient as the network has to ensure configuration does not exceed UE capability in the worst case. For example, if multiple candidates share the same REG bundles, the overall channel estimations can be reduced. However, if it is ensured by configuration only, the network has to assume the worst case (e.g., no overlap between candidates) to estimate the channel estimation complexity as the overlapping among candidates can change over time depending on hashing function. Thus, it is desirable to allow configuration may exceed UE’s capability and then consider priority rules to drop. The same rules can be applied to both BD and channel estimation capabilities. </w:t>
      </w:r>
    </w:p>
    <w:p w14:paraId="16C84159" w14:textId="23F59A3E" w:rsidR="00345927" w:rsidRDefault="00345927" w:rsidP="00156F2D">
      <w:pPr>
        <w:pStyle w:val="LGTdoc1"/>
        <w:spacing w:beforeLines="0" w:after="0" w:afterAutospacing="0"/>
        <w:rPr>
          <w:b w:val="0"/>
          <w:snapToGrid/>
          <w:kern w:val="2"/>
          <w:sz w:val="22"/>
          <w:szCs w:val="22"/>
          <w:lang w:val="en-US"/>
        </w:rPr>
      </w:pPr>
      <w:r w:rsidRPr="00345927">
        <w:rPr>
          <w:snapToGrid/>
          <w:kern w:val="2"/>
          <w:sz w:val="22"/>
          <w:szCs w:val="22"/>
          <w:lang w:val="en-US"/>
        </w:rPr>
        <w:t>O</w:t>
      </w:r>
      <w:r w:rsidRPr="00345927">
        <w:rPr>
          <w:rFonts w:hint="eastAsia"/>
          <w:snapToGrid/>
          <w:kern w:val="2"/>
          <w:sz w:val="22"/>
          <w:szCs w:val="22"/>
          <w:lang w:val="en-US"/>
        </w:rPr>
        <w:t xml:space="preserve">ption </w:t>
      </w:r>
      <w:r w:rsidRPr="00345927">
        <w:rPr>
          <w:snapToGrid/>
          <w:kern w:val="2"/>
          <w:sz w:val="22"/>
          <w:szCs w:val="22"/>
          <w:lang w:val="en-US"/>
        </w:rPr>
        <w:t>2) the modification of hashing function</w:t>
      </w:r>
    </w:p>
    <w:p w14:paraId="1B7FB798" w14:textId="22F89833" w:rsidR="00345927" w:rsidRDefault="00345927" w:rsidP="00156F2D">
      <w:pPr>
        <w:pStyle w:val="LGTdoc1"/>
        <w:spacing w:beforeLines="0" w:after="0" w:afterAutospacing="0"/>
        <w:rPr>
          <w:b w:val="0"/>
          <w:snapToGrid/>
          <w:kern w:val="2"/>
          <w:sz w:val="22"/>
          <w:szCs w:val="22"/>
          <w:lang w:val="en-US"/>
        </w:rPr>
      </w:pPr>
      <w:r>
        <w:rPr>
          <w:b w:val="0"/>
          <w:snapToGrid/>
          <w:kern w:val="2"/>
          <w:sz w:val="22"/>
          <w:szCs w:val="22"/>
          <w:lang w:val="en-US"/>
        </w:rPr>
        <w:t>F</w:t>
      </w:r>
      <w:r>
        <w:rPr>
          <w:rFonts w:hint="eastAsia"/>
          <w:b w:val="0"/>
          <w:snapToGrid/>
          <w:kern w:val="2"/>
          <w:sz w:val="22"/>
          <w:szCs w:val="22"/>
          <w:lang w:val="en-US"/>
        </w:rPr>
        <w:t xml:space="preserve">rom </w:t>
      </w:r>
      <w:r>
        <w:rPr>
          <w:b w:val="0"/>
          <w:snapToGrid/>
          <w:kern w:val="2"/>
          <w:sz w:val="22"/>
          <w:szCs w:val="22"/>
          <w:lang w:val="en-US"/>
        </w:rPr>
        <w:t>our perspective, option 2 means a nested structure. The nested structure is useful for decreasing channel estimation complexity, because a channel estimation of low aggregation level candidate can be reused for a high aggregation level candidate. However, since multiple CORESETs can be monitored in a same slot, option 1 may be still needed to control channel estimation complexity.</w:t>
      </w:r>
    </w:p>
    <w:p w14:paraId="318BC700" w14:textId="77777777" w:rsidR="00345927" w:rsidRDefault="00345927" w:rsidP="00156F2D">
      <w:pPr>
        <w:pStyle w:val="LGTdoc1"/>
        <w:spacing w:beforeLines="0" w:after="0" w:afterAutospacing="0"/>
        <w:rPr>
          <w:b w:val="0"/>
          <w:snapToGrid/>
          <w:kern w:val="2"/>
          <w:sz w:val="22"/>
          <w:szCs w:val="22"/>
          <w:lang w:val="en-US"/>
        </w:rPr>
      </w:pPr>
    </w:p>
    <w:p w14:paraId="65488559" w14:textId="26C90DC1" w:rsidR="00345927" w:rsidRPr="00345927" w:rsidRDefault="00345927" w:rsidP="00156F2D">
      <w:pPr>
        <w:pStyle w:val="LGTdoc1"/>
        <w:spacing w:beforeLines="0" w:after="0" w:afterAutospacing="0"/>
        <w:rPr>
          <w:snapToGrid/>
          <w:kern w:val="2"/>
          <w:sz w:val="22"/>
          <w:szCs w:val="22"/>
          <w:lang w:val="en-US"/>
        </w:rPr>
      </w:pPr>
      <w:r w:rsidRPr="00345927">
        <w:rPr>
          <w:snapToGrid/>
          <w:kern w:val="2"/>
          <w:sz w:val="22"/>
          <w:szCs w:val="22"/>
          <w:lang w:val="en-US"/>
        </w:rPr>
        <w:lastRenderedPageBreak/>
        <w:t>Option 3) higher precoder granularity</w:t>
      </w:r>
    </w:p>
    <w:p w14:paraId="72CAD992" w14:textId="7F82F815" w:rsidR="00345927" w:rsidRDefault="00345927"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In our understanding, higher precoder granularity (e.g.,</w:t>
      </w:r>
      <w:r>
        <w:rPr>
          <w:b w:val="0"/>
          <w:snapToGrid/>
          <w:kern w:val="2"/>
          <w:sz w:val="22"/>
          <w:szCs w:val="22"/>
          <w:lang w:val="en-US"/>
        </w:rPr>
        <w:t xml:space="preserve"> inter-CCE bundling) cannot decrease channel estimation complexity as shown in Table 1. </w:t>
      </w:r>
      <w:r>
        <w:rPr>
          <w:rFonts w:hint="eastAsia"/>
          <w:b w:val="0"/>
          <w:snapToGrid/>
          <w:kern w:val="2"/>
          <w:sz w:val="22"/>
          <w:szCs w:val="22"/>
          <w:lang w:val="en-US"/>
        </w:rPr>
        <w:t>S</w:t>
      </w:r>
      <w:r>
        <w:rPr>
          <w:b w:val="0"/>
          <w:snapToGrid/>
          <w:kern w:val="2"/>
          <w:sz w:val="22"/>
          <w:szCs w:val="22"/>
          <w:lang w:val="en-US"/>
        </w:rPr>
        <w:t xml:space="preserve">o, this option could be excluded. </w:t>
      </w:r>
    </w:p>
    <w:p w14:paraId="45521EC7" w14:textId="77777777" w:rsidR="0009454C" w:rsidRDefault="0009454C" w:rsidP="00156F2D">
      <w:pPr>
        <w:pStyle w:val="LGTdoc1"/>
        <w:spacing w:beforeLines="0" w:after="0" w:afterAutospacing="0"/>
        <w:rPr>
          <w:b w:val="0"/>
          <w:snapToGrid/>
          <w:kern w:val="2"/>
          <w:sz w:val="22"/>
          <w:szCs w:val="22"/>
          <w:lang w:val="en-US"/>
        </w:rPr>
      </w:pPr>
    </w:p>
    <w:p w14:paraId="7A738863" w14:textId="49C97801" w:rsidR="0009454C" w:rsidRPr="0009454C" w:rsidRDefault="0009454C" w:rsidP="00156F2D">
      <w:pPr>
        <w:pStyle w:val="LGTdoc1"/>
        <w:spacing w:beforeLines="0" w:after="0" w:afterAutospacing="0"/>
        <w:rPr>
          <w:snapToGrid/>
          <w:kern w:val="2"/>
          <w:sz w:val="22"/>
          <w:szCs w:val="22"/>
          <w:lang w:val="en-US"/>
        </w:rPr>
      </w:pPr>
      <w:r w:rsidRPr="0009454C">
        <w:rPr>
          <w:snapToGrid/>
          <w:kern w:val="2"/>
          <w:sz w:val="22"/>
          <w:szCs w:val="22"/>
          <w:lang w:val="en-US"/>
        </w:rPr>
        <w:t>Proposal 1: The limitation of channel estimated CCEs is preferred for resolving channel estimation complexity issue.</w:t>
      </w:r>
    </w:p>
    <w:p w14:paraId="4ADEFC63" w14:textId="6A09AE29" w:rsidR="0009454C" w:rsidRPr="0009454C" w:rsidRDefault="0009454C" w:rsidP="00156F2D">
      <w:pPr>
        <w:pStyle w:val="LGTdoc1"/>
        <w:spacing w:beforeLines="0" w:after="0" w:afterAutospacing="0"/>
        <w:rPr>
          <w:snapToGrid/>
          <w:kern w:val="2"/>
          <w:sz w:val="22"/>
          <w:szCs w:val="22"/>
          <w:lang w:val="en-US"/>
        </w:rPr>
      </w:pPr>
      <w:r w:rsidRPr="0009454C">
        <w:rPr>
          <w:snapToGrid/>
          <w:kern w:val="2"/>
          <w:sz w:val="22"/>
          <w:szCs w:val="22"/>
          <w:lang w:val="en-US"/>
        </w:rPr>
        <w:t>Proposal 2: The CCE counting rule should be needed.</w:t>
      </w:r>
    </w:p>
    <w:p w14:paraId="65758F5C" w14:textId="5D217430" w:rsidR="0009454C" w:rsidRPr="0009454C" w:rsidRDefault="0009454C" w:rsidP="00BC3489">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 a CORESET is counted as one channel estimation.</w:t>
      </w:r>
    </w:p>
    <w:p w14:paraId="6E8CB21F" w14:textId="67734EBF" w:rsidR="0009454C" w:rsidRPr="0009454C" w:rsidRDefault="0009454C" w:rsidP="00BC3489">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included in different CORESETs is counted separately.</w:t>
      </w:r>
    </w:p>
    <w:p w14:paraId="6D68FA2C" w14:textId="77777777" w:rsidR="005244AE" w:rsidRDefault="005244AE" w:rsidP="00BC3489">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Different weight for each REG bundle size can be considered for CCE counting</w:t>
      </w:r>
      <w:r>
        <w:rPr>
          <w:rFonts w:hint="eastAsia"/>
          <w:snapToGrid/>
          <w:kern w:val="2"/>
          <w:sz w:val="22"/>
          <w:szCs w:val="22"/>
          <w:lang w:val="en-US"/>
        </w:rPr>
        <w:t xml:space="preserve"> </w:t>
      </w:r>
    </w:p>
    <w:p w14:paraId="465AAB80" w14:textId="1BF0E097" w:rsidR="005244AE" w:rsidRDefault="005244AE" w:rsidP="00BC3489">
      <w:pPr>
        <w:pStyle w:val="LGTdoc1"/>
        <w:numPr>
          <w:ilvl w:val="1"/>
          <w:numId w:val="31"/>
        </w:numPr>
        <w:spacing w:beforeLines="0" w:after="0" w:afterAutospacing="0"/>
        <w:rPr>
          <w:snapToGrid/>
          <w:kern w:val="2"/>
          <w:sz w:val="22"/>
          <w:szCs w:val="22"/>
          <w:lang w:val="en-US"/>
        </w:rPr>
      </w:pPr>
      <w:r>
        <w:rPr>
          <w:rFonts w:hint="eastAsia"/>
          <w:snapToGrid/>
          <w:kern w:val="2"/>
          <w:sz w:val="22"/>
          <w:szCs w:val="22"/>
          <w:lang w:val="en-US"/>
        </w:rPr>
        <w:t>One CCE is considered as one for channel estimated CCE if REG bundle size is 2</w:t>
      </w:r>
      <w:r>
        <w:rPr>
          <w:snapToGrid/>
          <w:kern w:val="2"/>
          <w:sz w:val="22"/>
          <w:szCs w:val="22"/>
          <w:lang w:val="en-US"/>
        </w:rPr>
        <w:t xml:space="preserve"> or 3</w:t>
      </w:r>
    </w:p>
    <w:p w14:paraId="0649AF1E" w14:textId="0D153527" w:rsidR="0009454C" w:rsidRPr="005244AE" w:rsidRDefault="005244AE" w:rsidP="00BC3489">
      <w:pPr>
        <w:pStyle w:val="LGTdoc1"/>
        <w:numPr>
          <w:ilvl w:val="1"/>
          <w:numId w:val="31"/>
        </w:numPr>
        <w:spacing w:beforeLines="0" w:after="0" w:afterAutospacing="0"/>
        <w:rPr>
          <w:snapToGrid/>
          <w:kern w:val="2"/>
          <w:sz w:val="22"/>
          <w:szCs w:val="22"/>
          <w:lang w:val="en-US"/>
        </w:rPr>
      </w:pPr>
      <w:r w:rsidRPr="005244AE">
        <w:rPr>
          <w:snapToGrid/>
          <w:kern w:val="2"/>
          <w:sz w:val="22"/>
          <w:szCs w:val="22"/>
          <w:lang w:val="en-US"/>
        </w:rPr>
        <w:t>One CCE is considered as two for channel estimated CCE if REG bundle size is 6</w:t>
      </w:r>
    </w:p>
    <w:p w14:paraId="06407843" w14:textId="0EC4C26D" w:rsidR="005244AE" w:rsidRDefault="0009454C" w:rsidP="00156F2D">
      <w:pPr>
        <w:pStyle w:val="LGTdoc1"/>
        <w:spacing w:beforeLines="0" w:after="0" w:afterAutospacing="0"/>
        <w:rPr>
          <w:snapToGrid/>
          <w:kern w:val="2"/>
          <w:sz w:val="22"/>
          <w:szCs w:val="22"/>
          <w:lang w:val="en-US"/>
        </w:rPr>
      </w:pPr>
      <w:r w:rsidRPr="0009454C">
        <w:rPr>
          <w:snapToGrid/>
          <w:kern w:val="2"/>
          <w:sz w:val="22"/>
          <w:szCs w:val="22"/>
          <w:lang w:val="en-US"/>
        </w:rPr>
        <w:t xml:space="preserve">Proposal 3: </w:t>
      </w:r>
      <w:r w:rsidR="005244AE">
        <w:rPr>
          <w:snapToGrid/>
          <w:kern w:val="2"/>
          <w:sz w:val="22"/>
          <w:szCs w:val="22"/>
          <w:lang w:val="en-US"/>
        </w:rPr>
        <w:t>A UE is expected to be configured with search space configurations which may lead larger number of channel estimated CCEs than the UE supports.</w:t>
      </w:r>
    </w:p>
    <w:p w14:paraId="71CE3499" w14:textId="55E229F5" w:rsidR="005244AE" w:rsidRDefault="005244AE" w:rsidP="00BC3489">
      <w:pPr>
        <w:pStyle w:val="LGTdoc1"/>
        <w:numPr>
          <w:ilvl w:val="0"/>
          <w:numId w:val="32"/>
        </w:numPr>
        <w:spacing w:beforeLines="0" w:after="0" w:afterAutospacing="0"/>
        <w:rPr>
          <w:snapToGrid/>
          <w:kern w:val="2"/>
          <w:sz w:val="22"/>
          <w:szCs w:val="22"/>
          <w:lang w:val="en-US"/>
        </w:rPr>
      </w:pPr>
      <w:r>
        <w:rPr>
          <w:rFonts w:hint="eastAsia"/>
          <w:snapToGrid/>
          <w:kern w:val="2"/>
          <w:sz w:val="22"/>
          <w:szCs w:val="22"/>
          <w:lang w:val="en-US"/>
        </w:rPr>
        <w:t>T</w:t>
      </w:r>
      <w:r>
        <w:rPr>
          <w:snapToGrid/>
          <w:kern w:val="2"/>
          <w:sz w:val="22"/>
          <w:szCs w:val="22"/>
          <w:lang w:val="en-US"/>
        </w:rPr>
        <w:t>h</w:t>
      </w:r>
      <w:r>
        <w:rPr>
          <w:rFonts w:hint="eastAsia"/>
          <w:snapToGrid/>
          <w:kern w:val="2"/>
          <w:sz w:val="22"/>
          <w:szCs w:val="22"/>
          <w:lang w:val="en-US"/>
        </w:rPr>
        <w:t xml:space="preserve">e </w:t>
      </w:r>
      <w:r>
        <w:rPr>
          <w:snapToGrid/>
          <w:kern w:val="2"/>
          <w:sz w:val="22"/>
          <w:szCs w:val="22"/>
          <w:lang w:val="en-US"/>
        </w:rPr>
        <w:t>UE is not required to perform monitoring beyond its BD capability and channel estimation capability</w:t>
      </w:r>
    </w:p>
    <w:p w14:paraId="2270A121" w14:textId="5CD963E4" w:rsidR="005244AE" w:rsidRDefault="005244AE" w:rsidP="00BC3489">
      <w:pPr>
        <w:pStyle w:val="LGTdoc1"/>
        <w:numPr>
          <w:ilvl w:val="0"/>
          <w:numId w:val="32"/>
        </w:numPr>
        <w:spacing w:beforeLines="0" w:after="0" w:afterAutospacing="0"/>
        <w:rPr>
          <w:snapToGrid/>
          <w:kern w:val="2"/>
          <w:sz w:val="22"/>
          <w:szCs w:val="22"/>
          <w:lang w:val="en-US"/>
        </w:rPr>
      </w:pPr>
      <w:r>
        <w:rPr>
          <w:snapToGrid/>
          <w:kern w:val="2"/>
          <w:sz w:val="22"/>
          <w:szCs w:val="22"/>
          <w:lang w:val="en-US"/>
        </w:rPr>
        <w:t>The UE can skip monitoring on candidates based on the priority rule</w:t>
      </w:r>
    </w:p>
    <w:p w14:paraId="63A79AD9" w14:textId="77777777" w:rsidR="005244AE" w:rsidRDefault="005244AE" w:rsidP="00BC3489">
      <w:pPr>
        <w:pStyle w:val="LGTdoc1"/>
        <w:numPr>
          <w:ilvl w:val="1"/>
          <w:numId w:val="32"/>
        </w:numPr>
        <w:spacing w:beforeLines="0" w:after="0" w:afterAutospacing="0"/>
        <w:rPr>
          <w:snapToGrid/>
          <w:kern w:val="2"/>
          <w:sz w:val="22"/>
          <w:szCs w:val="22"/>
          <w:lang w:val="en-US"/>
        </w:rPr>
      </w:pPr>
      <w:r>
        <w:rPr>
          <w:snapToGrid/>
          <w:kern w:val="2"/>
          <w:sz w:val="22"/>
          <w:szCs w:val="22"/>
          <w:lang w:val="en-US"/>
        </w:rPr>
        <w:t>Priority rule is determined between</w:t>
      </w:r>
    </w:p>
    <w:p w14:paraId="030473C1" w14:textId="2FEC759D" w:rsidR="005244AE" w:rsidRDefault="005244AE" w:rsidP="00BC3489">
      <w:pPr>
        <w:pStyle w:val="LGTdoc1"/>
        <w:numPr>
          <w:ilvl w:val="2"/>
          <w:numId w:val="32"/>
        </w:numPr>
        <w:spacing w:beforeLines="0" w:after="0" w:afterAutospacing="0"/>
        <w:rPr>
          <w:snapToGrid/>
          <w:kern w:val="2"/>
          <w:sz w:val="22"/>
          <w:szCs w:val="22"/>
          <w:lang w:val="en-US"/>
        </w:rPr>
      </w:pPr>
      <w:r>
        <w:rPr>
          <w:rFonts w:hint="eastAsia"/>
          <w:snapToGrid/>
          <w:kern w:val="2"/>
          <w:sz w:val="22"/>
          <w:szCs w:val="22"/>
          <w:lang w:val="en-US"/>
        </w:rPr>
        <w:t>Priority can be given based on CORESET index</w:t>
      </w:r>
    </w:p>
    <w:p w14:paraId="4FEB39FA" w14:textId="0AFA5936" w:rsidR="005244AE" w:rsidRDefault="005244AE" w:rsidP="00BC3489">
      <w:pPr>
        <w:pStyle w:val="LGTdoc1"/>
        <w:numPr>
          <w:ilvl w:val="2"/>
          <w:numId w:val="32"/>
        </w:numPr>
        <w:spacing w:beforeLines="0" w:after="0" w:afterAutospacing="0"/>
        <w:rPr>
          <w:snapToGrid/>
          <w:kern w:val="2"/>
          <w:sz w:val="22"/>
          <w:szCs w:val="22"/>
          <w:lang w:val="en-US"/>
        </w:rPr>
      </w:pPr>
      <w:r>
        <w:rPr>
          <w:snapToGrid/>
          <w:kern w:val="2"/>
          <w:sz w:val="22"/>
          <w:szCs w:val="22"/>
          <w:lang w:val="en-US"/>
        </w:rPr>
        <w:t>Priority can be given based on AL from the highest AL to the lowest AL</w:t>
      </w:r>
    </w:p>
    <w:p w14:paraId="71C418DA" w14:textId="413D2364" w:rsidR="005244AE" w:rsidRDefault="005244AE" w:rsidP="00BC3489">
      <w:pPr>
        <w:pStyle w:val="LGTdoc1"/>
        <w:numPr>
          <w:ilvl w:val="3"/>
          <w:numId w:val="32"/>
        </w:numPr>
        <w:spacing w:beforeLines="0" w:after="0" w:afterAutospacing="0"/>
        <w:rPr>
          <w:snapToGrid/>
          <w:kern w:val="2"/>
          <w:sz w:val="22"/>
          <w:szCs w:val="22"/>
          <w:lang w:val="en-US"/>
        </w:rPr>
      </w:pPr>
      <w:r>
        <w:rPr>
          <w:snapToGrid/>
          <w:kern w:val="2"/>
          <w:sz w:val="22"/>
          <w:szCs w:val="22"/>
          <w:lang w:val="en-US"/>
        </w:rPr>
        <w:t>FFS whether to give highest priority on the AL used in the most recent DCI</w:t>
      </w:r>
    </w:p>
    <w:p w14:paraId="599F3C86" w14:textId="77777777" w:rsidR="005244AE" w:rsidRDefault="005244AE" w:rsidP="00156F2D">
      <w:pPr>
        <w:pStyle w:val="LGTdoc1"/>
        <w:spacing w:beforeLines="0" w:after="0" w:afterAutospacing="0"/>
        <w:rPr>
          <w:snapToGrid/>
          <w:kern w:val="2"/>
          <w:sz w:val="22"/>
          <w:szCs w:val="22"/>
          <w:lang w:val="en-US"/>
        </w:rPr>
      </w:pPr>
    </w:p>
    <w:p w14:paraId="42CCCAEF" w14:textId="7A9D5347" w:rsidR="005244AE" w:rsidRPr="00773C67" w:rsidRDefault="005244AE" w:rsidP="005244AE">
      <w:pPr>
        <w:pStyle w:val="LGTdoc1"/>
        <w:numPr>
          <w:ilvl w:val="1"/>
          <w:numId w:val="3"/>
        </w:numPr>
        <w:spacing w:beforeLines="0" w:after="0" w:afterAutospacing="0"/>
        <w:rPr>
          <w:lang w:val="en-US"/>
        </w:rPr>
      </w:pPr>
      <w:r>
        <w:rPr>
          <w:lang w:val="en-US"/>
        </w:rPr>
        <w:t>BD Capability</w:t>
      </w:r>
    </w:p>
    <w:p w14:paraId="66D003E0" w14:textId="77777777" w:rsidR="00771C76" w:rsidRDefault="005244AE" w:rsidP="00BC3489">
      <w:pPr>
        <w:pStyle w:val="LGTdoc0"/>
        <w:tabs>
          <w:tab w:val="center" w:pos="851"/>
        </w:tabs>
        <w:spacing w:before="120" w:afterLines="0" w:line="240" w:lineRule="auto"/>
        <w:rPr>
          <w:szCs w:val="22"/>
          <w:lang w:val="en-US"/>
        </w:rPr>
      </w:pPr>
      <w:r>
        <w:rPr>
          <w:szCs w:val="22"/>
          <w:lang w:val="en-US"/>
        </w:rPr>
        <w:t>In LTE, UE’s BD capability is hard-split between CSS and USS where BDs cannot be used for USS even if the UE does</w:t>
      </w:r>
      <w:r w:rsidR="00455605">
        <w:rPr>
          <w:szCs w:val="22"/>
          <w:lang w:val="en-US"/>
        </w:rPr>
        <w:t xml:space="preserve"> not monitor CSS in a subframe. In NR, so far, the maximum BD capability is agreed in a slot for slot/non-slot based scheduling. As it does not matter whether CSS or USS from BD perspective, it is generally desirable to allow flexibility to share BD capabilities across different </w:t>
      </w:r>
      <w:r w:rsidR="00633F53">
        <w:rPr>
          <w:szCs w:val="22"/>
          <w:lang w:val="en-US"/>
        </w:rPr>
        <w:t xml:space="preserve">SSs as long as the total BDs do not exceed UE capability. </w:t>
      </w:r>
    </w:p>
    <w:p w14:paraId="19815E85" w14:textId="77777777" w:rsidR="00DA6424" w:rsidRDefault="00771C76" w:rsidP="00BC3489">
      <w:pPr>
        <w:pStyle w:val="LGTdoc0"/>
        <w:tabs>
          <w:tab w:val="center" w:pos="851"/>
        </w:tabs>
        <w:spacing w:before="120" w:afterLines="0" w:line="240" w:lineRule="auto"/>
        <w:rPr>
          <w:szCs w:val="22"/>
          <w:lang w:val="en-US"/>
        </w:rPr>
      </w:pPr>
      <w:r>
        <w:rPr>
          <w:szCs w:val="22"/>
          <w:lang w:val="en-US"/>
        </w:rPr>
        <w:t>It is however notable that as search space set is configured with periodicity, depending on the configuration, it sometimes is difficult to fully utilize BD capability in all slots. For example, if CSS with 20 candidates is configured in every 5slot with offset 0, and USS is configured in every slot, the maximum number of candidates allocable to USS would be 24 if the UE capability is 44. This can be addressed by two approaches. First approach is to allow more flexible configuration such as periodicity and multiple occasions within that period. For example, to address the above case, one USS is configured in every slot with 2</w:t>
      </w:r>
      <w:r w:rsidR="005C1D5D">
        <w:rPr>
          <w:szCs w:val="22"/>
          <w:lang w:val="en-US"/>
        </w:rPr>
        <w:t>4</w:t>
      </w:r>
      <w:r>
        <w:rPr>
          <w:szCs w:val="22"/>
          <w:lang w:val="en-US"/>
        </w:rPr>
        <w:t xml:space="preserve"> candidates, and another USS with 5 slots with bitmap of [0 1 1 1 1] (i.e., no USS monitoring in first slot in every 5 slots)</w:t>
      </w:r>
      <w:r w:rsidR="005C1D5D">
        <w:rPr>
          <w:szCs w:val="22"/>
          <w:lang w:val="en-US"/>
        </w:rPr>
        <w:t xml:space="preserve"> with 20 candidates can be configured. This can be also addressed by configuring different set of ALs/Candidates per each SS on different subset of slots. For example, 24 candidates are configured in slot 0, 5, 10, etc., and 44 candidates are configured in other slots. </w:t>
      </w:r>
      <w:r w:rsidR="00DA6424">
        <w:rPr>
          <w:szCs w:val="22"/>
          <w:lang w:val="en-US"/>
        </w:rPr>
        <w:t xml:space="preserve">Another approach is to allow configuration may exceed UE capability even for BD. Then, a UE can skip monitoring on certain candidates depending on the priority. Either way, particularly for small number of UE BD capabilities (e.g., with 120 kHz SCS), more efficient means of utilizing all the capability seems necessary. </w:t>
      </w:r>
    </w:p>
    <w:p w14:paraId="3D066AD3" w14:textId="01A4CFA5" w:rsidR="00DA6424" w:rsidRDefault="00DA6424" w:rsidP="00DA6424">
      <w:pPr>
        <w:pStyle w:val="LGTdoc1"/>
        <w:spacing w:beforeLines="0" w:after="0" w:afterAutospacing="0"/>
        <w:rPr>
          <w:snapToGrid/>
          <w:kern w:val="2"/>
          <w:sz w:val="22"/>
          <w:szCs w:val="22"/>
          <w:lang w:val="en-US"/>
        </w:rPr>
      </w:pPr>
      <w:r w:rsidRPr="0009454C">
        <w:rPr>
          <w:snapToGrid/>
          <w:kern w:val="2"/>
          <w:sz w:val="22"/>
          <w:szCs w:val="22"/>
          <w:lang w:val="en-US"/>
        </w:rPr>
        <w:t xml:space="preserve">Proposal </w:t>
      </w:r>
      <w:r w:rsidR="001A4A0E">
        <w:rPr>
          <w:snapToGrid/>
          <w:kern w:val="2"/>
          <w:sz w:val="22"/>
          <w:szCs w:val="22"/>
          <w:lang w:val="en-US"/>
        </w:rPr>
        <w:t>4</w:t>
      </w:r>
      <w:r w:rsidRPr="0009454C">
        <w:rPr>
          <w:snapToGrid/>
          <w:kern w:val="2"/>
          <w:sz w:val="22"/>
          <w:szCs w:val="22"/>
          <w:lang w:val="en-US"/>
        </w:rPr>
        <w:t xml:space="preserve">: </w:t>
      </w:r>
      <w:r>
        <w:rPr>
          <w:snapToGrid/>
          <w:kern w:val="2"/>
          <w:sz w:val="22"/>
          <w:szCs w:val="22"/>
          <w:lang w:val="en-US"/>
        </w:rPr>
        <w:t>Support flexible BD sharing among multiple search space set configurations. Consider either enhancing search space set configuration or allowing configuration exceeding UE capability.</w:t>
      </w:r>
    </w:p>
    <w:p w14:paraId="4D566AE9" w14:textId="22A05D9D" w:rsidR="00DA6424" w:rsidRDefault="00DA6424" w:rsidP="00BC3489">
      <w:pPr>
        <w:pStyle w:val="LGTdoc1"/>
        <w:numPr>
          <w:ilvl w:val="0"/>
          <w:numId w:val="33"/>
        </w:numPr>
        <w:spacing w:beforeLines="0" w:after="0" w:afterAutospacing="0"/>
        <w:rPr>
          <w:snapToGrid/>
          <w:kern w:val="2"/>
          <w:sz w:val="22"/>
          <w:szCs w:val="22"/>
          <w:lang w:val="en-US"/>
        </w:rPr>
      </w:pPr>
      <w:r>
        <w:rPr>
          <w:rFonts w:hint="eastAsia"/>
          <w:snapToGrid/>
          <w:kern w:val="2"/>
          <w:sz w:val="22"/>
          <w:szCs w:val="22"/>
          <w:lang w:val="en-US"/>
        </w:rPr>
        <w:lastRenderedPageBreak/>
        <w:t>If search space set configuration is enhanced, consider more flexible periodicity configuration</w:t>
      </w:r>
    </w:p>
    <w:p w14:paraId="01909492" w14:textId="7D3408D4" w:rsidR="00DA6424" w:rsidRDefault="00DA6424" w:rsidP="00BC3489">
      <w:pPr>
        <w:pStyle w:val="LGTdoc1"/>
        <w:numPr>
          <w:ilvl w:val="0"/>
          <w:numId w:val="33"/>
        </w:numPr>
        <w:spacing w:beforeLines="0" w:after="0" w:afterAutospacing="0"/>
        <w:rPr>
          <w:snapToGrid/>
          <w:kern w:val="2"/>
          <w:sz w:val="22"/>
          <w:szCs w:val="22"/>
          <w:lang w:val="en-US"/>
        </w:rPr>
      </w:pPr>
      <w:r>
        <w:rPr>
          <w:snapToGrid/>
          <w:kern w:val="2"/>
          <w:sz w:val="22"/>
          <w:szCs w:val="22"/>
          <w:lang w:val="en-US"/>
        </w:rPr>
        <w:t xml:space="preserve">If configuration exceeding UE capability is allowed, the same priority rule to skip monitoring on certain candidates is used between BD and channel estimation. </w:t>
      </w:r>
    </w:p>
    <w:p w14:paraId="08F528BF" w14:textId="3030A75A" w:rsidR="000F3B29" w:rsidRPr="0073525B" w:rsidRDefault="000F3B29" w:rsidP="00BC3489">
      <w:pPr>
        <w:pStyle w:val="LGTdoc0"/>
        <w:tabs>
          <w:tab w:val="center" w:pos="851"/>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2DC29746" w:rsidR="0009454C" w:rsidRDefault="00387F8E" w:rsidP="0009454C">
      <w:pPr>
        <w:pStyle w:val="LGTdoc0"/>
        <w:spacing w:before="120" w:afterLines="0" w:after="0" w:line="240" w:lineRule="auto"/>
        <w:rPr>
          <w:szCs w:val="22"/>
          <w:lang w:val="en-US"/>
        </w:rPr>
      </w:pPr>
      <w:r>
        <w:rPr>
          <w:szCs w:val="22"/>
          <w:lang w:val="en-US"/>
        </w:rPr>
        <w:t>I</w:t>
      </w:r>
      <w:r>
        <w:rPr>
          <w:rFonts w:hint="eastAsia"/>
          <w:szCs w:val="22"/>
          <w:lang w:val="en-US"/>
        </w:rPr>
        <w:t>n this contribution,</w:t>
      </w:r>
      <w:r w:rsidR="001A4A0E">
        <w:rPr>
          <w:szCs w:val="22"/>
          <w:lang w:val="en-US"/>
        </w:rPr>
        <w:t xml:space="preserve"> we discuss channel estimation complexity issue and BD capability, and followings are proposed.</w:t>
      </w:r>
    </w:p>
    <w:p w14:paraId="0372BC3E" w14:textId="77777777" w:rsidR="001A4A0E" w:rsidRPr="0009454C" w:rsidRDefault="001A4A0E" w:rsidP="001A4A0E">
      <w:pPr>
        <w:pStyle w:val="LGTdoc1"/>
        <w:spacing w:beforeLines="0" w:after="0" w:afterAutospacing="0"/>
        <w:rPr>
          <w:snapToGrid/>
          <w:kern w:val="2"/>
          <w:sz w:val="22"/>
          <w:szCs w:val="22"/>
          <w:lang w:val="en-US"/>
        </w:rPr>
      </w:pPr>
      <w:r w:rsidRPr="0009454C">
        <w:rPr>
          <w:snapToGrid/>
          <w:kern w:val="2"/>
          <w:sz w:val="22"/>
          <w:szCs w:val="22"/>
          <w:lang w:val="en-US"/>
        </w:rPr>
        <w:t>Proposal 1: The limitation of channel estimated CCEs is preferred for resolving channel estimation complexity issue.</w:t>
      </w:r>
    </w:p>
    <w:p w14:paraId="63AC3D69" w14:textId="77777777" w:rsidR="001A4A0E" w:rsidRPr="0009454C" w:rsidRDefault="001A4A0E" w:rsidP="001A4A0E">
      <w:pPr>
        <w:pStyle w:val="LGTdoc1"/>
        <w:spacing w:beforeLines="0" w:after="0" w:afterAutospacing="0"/>
        <w:rPr>
          <w:snapToGrid/>
          <w:kern w:val="2"/>
          <w:sz w:val="22"/>
          <w:szCs w:val="22"/>
          <w:lang w:val="en-US"/>
        </w:rPr>
      </w:pPr>
      <w:r w:rsidRPr="0009454C">
        <w:rPr>
          <w:snapToGrid/>
          <w:kern w:val="2"/>
          <w:sz w:val="22"/>
          <w:szCs w:val="22"/>
          <w:lang w:val="en-US"/>
        </w:rPr>
        <w:t>Proposal 2: The CCE counting rule should be needed.</w:t>
      </w:r>
    </w:p>
    <w:p w14:paraId="61BCC966" w14:textId="77777777" w:rsidR="001A4A0E" w:rsidRPr="0009454C" w:rsidRDefault="001A4A0E" w:rsidP="001A4A0E">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 a CORESET is counted as one channel estimation.</w:t>
      </w:r>
    </w:p>
    <w:p w14:paraId="2287293F" w14:textId="77777777" w:rsidR="001A4A0E" w:rsidRPr="0009454C" w:rsidRDefault="001A4A0E" w:rsidP="001A4A0E">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included in different CORESETs is counted separately.</w:t>
      </w:r>
    </w:p>
    <w:p w14:paraId="36460B89" w14:textId="77777777" w:rsidR="001A4A0E" w:rsidRDefault="001A4A0E" w:rsidP="001A4A0E">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Different weight for each REG bundle size can be considered for CCE counting</w:t>
      </w:r>
      <w:r>
        <w:rPr>
          <w:rFonts w:hint="eastAsia"/>
          <w:snapToGrid/>
          <w:kern w:val="2"/>
          <w:sz w:val="22"/>
          <w:szCs w:val="22"/>
          <w:lang w:val="en-US"/>
        </w:rPr>
        <w:t xml:space="preserve"> </w:t>
      </w:r>
    </w:p>
    <w:p w14:paraId="383562B5" w14:textId="77777777" w:rsidR="001A4A0E" w:rsidRDefault="001A4A0E" w:rsidP="001A4A0E">
      <w:pPr>
        <w:pStyle w:val="LGTdoc1"/>
        <w:numPr>
          <w:ilvl w:val="1"/>
          <w:numId w:val="31"/>
        </w:numPr>
        <w:spacing w:beforeLines="0" w:after="0" w:afterAutospacing="0"/>
        <w:rPr>
          <w:snapToGrid/>
          <w:kern w:val="2"/>
          <w:sz w:val="22"/>
          <w:szCs w:val="22"/>
          <w:lang w:val="en-US"/>
        </w:rPr>
      </w:pPr>
      <w:r>
        <w:rPr>
          <w:rFonts w:hint="eastAsia"/>
          <w:snapToGrid/>
          <w:kern w:val="2"/>
          <w:sz w:val="22"/>
          <w:szCs w:val="22"/>
          <w:lang w:val="en-US"/>
        </w:rPr>
        <w:t>One CCE is considered as one for channel estimated CCE if REG bundle size is 2</w:t>
      </w:r>
      <w:r>
        <w:rPr>
          <w:snapToGrid/>
          <w:kern w:val="2"/>
          <w:sz w:val="22"/>
          <w:szCs w:val="22"/>
          <w:lang w:val="en-US"/>
        </w:rPr>
        <w:t xml:space="preserve"> or 3</w:t>
      </w:r>
    </w:p>
    <w:p w14:paraId="73188EB8" w14:textId="77777777" w:rsidR="001A4A0E" w:rsidRPr="005244AE" w:rsidRDefault="001A4A0E" w:rsidP="001A4A0E">
      <w:pPr>
        <w:pStyle w:val="LGTdoc1"/>
        <w:numPr>
          <w:ilvl w:val="1"/>
          <w:numId w:val="31"/>
        </w:numPr>
        <w:spacing w:beforeLines="0" w:after="0" w:afterAutospacing="0"/>
        <w:rPr>
          <w:snapToGrid/>
          <w:kern w:val="2"/>
          <w:sz w:val="22"/>
          <w:szCs w:val="22"/>
          <w:lang w:val="en-US"/>
        </w:rPr>
      </w:pPr>
      <w:r w:rsidRPr="005244AE">
        <w:rPr>
          <w:snapToGrid/>
          <w:kern w:val="2"/>
          <w:sz w:val="22"/>
          <w:szCs w:val="22"/>
          <w:lang w:val="en-US"/>
        </w:rPr>
        <w:t>One CCE is considered as two for channel estimated CCE if REG bundle size is 6</w:t>
      </w:r>
    </w:p>
    <w:p w14:paraId="1028284D" w14:textId="77777777" w:rsidR="001A4A0E" w:rsidRDefault="001A4A0E" w:rsidP="001A4A0E">
      <w:pPr>
        <w:pStyle w:val="LGTdoc1"/>
        <w:spacing w:beforeLines="0" w:after="0" w:afterAutospacing="0"/>
        <w:rPr>
          <w:snapToGrid/>
          <w:kern w:val="2"/>
          <w:sz w:val="22"/>
          <w:szCs w:val="22"/>
          <w:lang w:val="en-US"/>
        </w:rPr>
      </w:pPr>
      <w:r w:rsidRPr="0009454C">
        <w:rPr>
          <w:snapToGrid/>
          <w:kern w:val="2"/>
          <w:sz w:val="22"/>
          <w:szCs w:val="22"/>
          <w:lang w:val="en-US"/>
        </w:rPr>
        <w:t xml:space="preserve">Proposal 3: </w:t>
      </w:r>
      <w:r>
        <w:rPr>
          <w:snapToGrid/>
          <w:kern w:val="2"/>
          <w:sz w:val="22"/>
          <w:szCs w:val="22"/>
          <w:lang w:val="en-US"/>
        </w:rPr>
        <w:t>A UE is expected to be configured with search space configurations which may lead larger number of channel estimated CCEs than the UE supports.</w:t>
      </w:r>
    </w:p>
    <w:p w14:paraId="6F9EC466" w14:textId="77777777" w:rsidR="001A4A0E" w:rsidRDefault="001A4A0E" w:rsidP="001A4A0E">
      <w:pPr>
        <w:pStyle w:val="LGTdoc1"/>
        <w:numPr>
          <w:ilvl w:val="0"/>
          <w:numId w:val="32"/>
        </w:numPr>
        <w:spacing w:beforeLines="0" w:after="0" w:afterAutospacing="0"/>
        <w:rPr>
          <w:snapToGrid/>
          <w:kern w:val="2"/>
          <w:sz w:val="22"/>
          <w:szCs w:val="22"/>
          <w:lang w:val="en-US"/>
        </w:rPr>
      </w:pPr>
      <w:r>
        <w:rPr>
          <w:rFonts w:hint="eastAsia"/>
          <w:snapToGrid/>
          <w:kern w:val="2"/>
          <w:sz w:val="22"/>
          <w:szCs w:val="22"/>
          <w:lang w:val="en-US"/>
        </w:rPr>
        <w:t>T</w:t>
      </w:r>
      <w:r>
        <w:rPr>
          <w:snapToGrid/>
          <w:kern w:val="2"/>
          <w:sz w:val="22"/>
          <w:szCs w:val="22"/>
          <w:lang w:val="en-US"/>
        </w:rPr>
        <w:t>h</w:t>
      </w:r>
      <w:r>
        <w:rPr>
          <w:rFonts w:hint="eastAsia"/>
          <w:snapToGrid/>
          <w:kern w:val="2"/>
          <w:sz w:val="22"/>
          <w:szCs w:val="22"/>
          <w:lang w:val="en-US"/>
        </w:rPr>
        <w:t xml:space="preserve">e </w:t>
      </w:r>
      <w:r>
        <w:rPr>
          <w:snapToGrid/>
          <w:kern w:val="2"/>
          <w:sz w:val="22"/>
          <w:szCs w:val="22"/>
          <w:lang w:val="en-US"/>
        </w:rPr>
        <w:t>UE is not required to perform monitoring beyond its BD capability and channel estimation capability</w:t>
      </w:r>
    </w:p>
    <w:p w14:paraId="38E16043" w14:textId="77777777" w:rsidR="001A4A0E" w:rsidRDefault="001A4A0E" w:rsidP="001A4A0E">
      <w:pPr>
        <w:pStyle w:val="LGTdoc1"/>
        <w:numPr>
          <w:ilvl w:val="0"/>
          <w:numId w:val="32"/>
        </w:numPr>
        <w:spacing w:beforeLines="0" w:after="0" w:afterAutospacing="0"/>
        <w:rPr>
          <w:snapToGrid/>
          <w:kern w:val="2"/>
          <w:sz w:val="22"/>
          <w:szCs w:val="22"/>
          <w:lang w:val="en-US"/>
        </w:rPr>
      </w:pPr>
      <w:r>
        <w:rPr>
          <w:snapToGrid/>
          <w:kern w:val="2"/>
          <w:sz w:val="22"/>
          <w:szCs w:val="22"/>
          <w:lang w:val="en-US"/>
        </w:rPr>
        <w:t>The UE can skip monitoring on candidates based on the priority rule</w:t>
      </w:r>
    </w:p>
    <w:p w14:paraId="3936B0B3" w14:textId="77777777" w:rsidR="001A4A0E" w:rsidRDefault="001A4A0E" w:rsidP="001A4A0E">
      <w:pPr>
        <w:pStyle w:val="LGTdoc1"/>
        <w:numPr>
          <w:ilvl w:val="1"/>
          <w:numId w:val="32"/>
        </w:numPr>
        <w:spacing w:beforeLines="0" w:after="0" w:afterAutospacing="0"/>
        <w:rPr>
          <w:snapToGrid/>
          <w:kern w:val="2"/>
          <w:sz w:val="22"/>
          <w:szCs w:val="22"/>
          <w:lang w:val="en-US"/>
        </w:rPr>
      </w:pPr>
      <w:r>
        <w:rPr>
          <w:snapToGrid/>
          <w:kern w:val="2"/>
          <w:sz w:val="22"/>
          <w:szCs w:val="22"/>
          <w:lang w:val="en-US"/>
        </w:rPr>
        <w:t>Priority rule is determined between</w:t>
      </w:r>
    </w:p>
    <w:p w14:paraId="02258C03" w14:textId="77777777" w:rsidR="001A4A0E" w:rsidRDefault="001A4A0E" w:rsidP="001A4A0E">
      <w:pPr>
        <w:pStyle w:val="LGTdoc1"/>
        <w:numPr>
          <w:ilvl w:val="2"/>
          <w:numId w:val="32"/>
        </w:numPr>
        <w:spacing w:beforeLines="0" w:after="0" w:afterAutospacing="0"/>
        <w:rPr>
          <w:snapToGrid/>
          <w:kern w:val="2"/>
          <w:sz w:val="22"/>
          <w:szCs w:val="22"/>
          <w:lang w:val="en-US"/>
        </w:rPr>
      </w:pPr>
      <w:r>
        <w:rPr>
          <w:rFonts w:hint="eastAsia"/>
          <w:snapToGrid/>
          <w:kern w:val="2"/>
          <w:sz w:val="22"/>
          <w:szCs w:val="22"/>
          <w:lang w:val="en-US"/>
        </w:rPr>
        <w:t>Priority can be given based on CORESET index</w:t>
      </w:r>
    </w:p>
    <w:p w14:paraId="7578FF6A" w14:textId="77777777" w:rsidR="001A4A0E" w:rsidRDefault="001A4A0E" w:rsidP="001A4A0E">
      <w:pPr>
        <w:pStyle w:val="LGTdoc1"/>
        <w:numPr>
          <w:ilvl w:val="2"/>
          <w:numId w:val="32"/>
        </w:numPr>
        <w:spacing w:beforeLines="0" w:after="0" w:afterAutospacing="0"/>
        <w:rPr>
          <w:snapToGrid/>
          <w:kern w:val="2"/>
          <w:sz w:val="22"/>
          <w:szCs w:val="22"/>
          <w:lang w:val="en-US"/>
        </w:rPr>
      </w:pPr>
      <w:r>
        <w:rPr>
          <w:snapToGrid/>
          <w:kern w:val="2"/>
          <w:sz w:val="22"/>
          <w:szCs w:val="22"/>
          <w:lang w:val="en-US"/>
        </w:rPr>
        <w:t>Priority can be given based on AL from the highest AL to the lowest AL</w:t>
      </w:r>
    </w:p>
    <w:p w14:paraId="4423D581" w14:textId="3DEB8BC8" w:rsidR="001A4A0E" w:rsidRPr="00BC3489" w:rsidRDefault="001A4A0E" w:rsidP="00BC3489">
      <w:pPr>
        <w:pStyle w:val="LGTdoc1"/>
        <w:numPr>
          <w:ilvl w:val="2"/>
          <w:numId w:val="32"/>
        </w:numPr>
        <w:spacing w:beforeLines="0" w:after="0" w:afterAutospacing="0"/>
        <w:rPr>
          <w:b w:val="0"/>
          <w:szCs w:val="22"/>
          <w:lang w:val="en-US"/>
        </w:rPr>
      </w:pPr>
      <w:r>
        <w:rPr>
          <w:snapToGrid/>
          <w:kern w:val="2"/>
          <w:sz w:val="22"/>
          <w:szCs w:val="22"/>
          <w:lang w:val="en-US"/>
        </w:rPr>
        <w:t>FFS whether to give highest priority on the AL used in the most recent DCI</w:t>
      </w:r>
    </w:p>
    <w:p w14:paraId="675DC278" w14:textId="77777777" w:rsidR="001A4A0E" w:rsidRDefault="001A4A0E" w:rsidP="001A4A0E">
      <w:pPr>
        <w:pStyle w:val="LGTdoc1"/>
        <w:spacing w:beforeLines="0" w:after="0" w:afterAutospacing="0"/>
        <w:rPr>
          <w:snapToGrid/>
          <w:kern w:val="2"/>
          <w:sz w:val="22"/>
          <w:szCs w:val="22"/>
          <w:lang w:val="en-US"/>
        </w:rPr>
      </w:pPr>
      <w:r w:rsidRPr="0009454C">
        <w:rPr>
          <w:snapToGrid/>
          <w:kern w:val="2"/>
          <w:sz w:val="22"/>
          <w:szCs w:val="22"/>
          <w:lang w:val="en-US"/>
        </w:rPr>
        <w:t xml:space="preserve">Proposal </w:t>
      </w:r>
      <w:r>
        <w:rPr>
          <w:snapToGrid/>
          <w:kern w:val="2"/>
          <w:sz w:val="22"/>
          <w:szCs w:val="22"/>
          <w:lang w:val="en-US"/>
        </w:rPr>
        <w:t>4</w:t>
      </w:r>
      <w:r w:rsidRPr="0009454C">
        <w:rPr>
          <w:snapToGrid/>
          <w:kern w:val="2"/>
          <w:sz w:val="22"/>
          <w:szCs w:val="22"/>
          <w:lang w:val="en-US"/>
        </w:rPr>
        <w:t xml:space="preserve">: </w:t>
      </w:r>
      <w:r>
        <w:rPr>
          <w:snapToGrid/>
          <w:kern w:val="2"/>
          <w:sz w:val="22"/>
          <w:szCs w:val="22"/>
          <w:lang w:val="en-US"/>
        </w:rPr>
        <w:t>Support flexible BD sharing among multiple search space set configurations. Consider either enhancing search space set configuration or allowing configuration exceeding UE capability.</w:t>
      </w:r>
    </w:p>
    <w:p w14:paraId="12FA6BE9" w14:textId="77777777" w:rsidR="001A4A0E" w:rsidRDefault="001A4A0E" w:rsidP="001A4A0E">
      <w:pPr>
        <w:pStyle w:val="LGTdoc1"/>
        <w:numPr>
          <w:ilvl w:val="0"/>
          <w:numId w:val="33"/>
        </w:numPr>
        <w:spacing w:beforeLines="0" w:after="0" w:afterAutospacing="0"/>
        <w:rPr>
          <w:snapToGrid/>
          <w:kern w:val="2"/>
          <w:sz w:val="22"/>
          <w:szCs w:val="22"/>
          <w:lang w:val="en-US"/>
        </w:rPr>
      </w:pPr>
      <w:r>
        <w:rPr>
          <w:rFonts w:hint="eastAsia"/>
          <w:snapToGrid/>
          <w:kern w:val="2"/>
          <w:sz w:val="22"/>
          <w:szCs w:val="22"/>
          <w:lang w:val="en-US"/>
        </w:rPr>
        <w:t>If search space set configuration is enhanced, consider more flexible periodicity configuration</w:t>
      </w:r>
    </w:p>
    <w:p w14:paraId="2C0A75DB" w14:textId="77777777" w:rsidR="001A4A0E" w:rsidRDefault="001A4A0E" w:rsidP="001A4A0E">
      <w:pPr>
        <w:pStyle w:val="LGTdoc1"/>
        <w:numPr>
          <w:ilvl w:val="0"/>
          <w:numId w:val="33"/>
        </w:numPr>
        <w:spacing w:beforeLines="0" w:after="0" w:afterAutospacing="0"/>
        <w:rPr>
          <w:snapToGrid/>
          <w:kern w:val="2"/>
          <w:sz w:val="22"/>
          <w:szCs w:val="22"/>
          <w:lang w:val="en-US"/>
        </w:rPr>
      </w:pPr>
      <w:r>
        <w:rPr>
          <w:snapToGrid/>
          <w:kern w:val="2"/>
          <w:sz w:val="22"/>
          <w:szCs w:val="22"/>
          <w:lang w:val="en-US"/>
        </w:rPr>
        <w:t xml:space="preserve">If configuration exceeding UE capability is allowed, the same priority rule to skip monitoring on certain candidates is used between BD and channel estimation. </w:t>
      </w:r>
    </w:p>
    <w:p w14:paraId="1FFF724A" w14:textId="5590F82B" w:rsidR="00D5017E" w:rsidRPr="00EA4AA7" w:rsidRDefault="00D5017E" w:rsidP="003F7800">
      <w:pPr>
        <w:pStyle w:val="LGTdoc0"/>
        <w:spacing w:before="120" w:afterLines="0" w:after="0" w:line="240" w:lineRule="auto"/>
        <w:rPr>
          <w:szCs w:val="22"/>
          <w:lang w:val="en-US"/>
        </w:rPr>
      </w:pPr>
    </w:p>
    <w:p w14:paraId="6041B355" w14:textId="77777777" w:rsidR="00677925" w:rsidRDefault="00677925" w:rsidP="00677925">
      <w:pPr>
        <w:pStyle w:val="LGTdoc0"/>
        <w:spacing w:before="120" w:afterLines="0" w:line="240" w:lineRule="auto"/>
        <w:rPr>
          <w:b/>
          <w:szCs w:val="22"/>
          <w:lang w:val="en-US"/>
        </w:rPr>
      </w:pPr>
    </w:p>
    <w:p w14:paraId="53899AF2" w14:textId="77777777" w:rsidR="002D05A3" w:rsidRPr="0017101D" w:rsidRDefault="002D05A3" w:rsidP="00677925">
      <w:pPr>
        <w:pStyle w:val="LGTdoc0"/>
        <w:spacing w:before="120" w:afterLines="0" w:line="240" w:lineRule="auto"/>
        <w:rPr>
          <w:b/>
          <w:szCs w:val="22"/>
          <w:lang w:val="en-US"/>
        </w:rPr>
      </w:pPr>
    </w:p>
    <w:sectPr w:rsidR="002D05A3" w:rsidRPr="0017101D" w:rsidSect="004274B1">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A1D6B" w14:textId="77777777" w:rsidR="002651CC" w:rsidRDefault="002651CC">
      <w:r>
        <w:separator/>
      </w:r>
    </w:p>
  </w:endnote>
  <w:endnote w:type="continuationSeparator" w:id="0">
    <w:p w14:paraId="4EACA2EE" w14:textId="77777777" w:rsidR="002651CC" w:rsidRDefault="0026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C3489">
      <w:rPr>
        <w:rStyle w:val="a8"/>
        <w:noProof/>
      </w:rPr>
      <w:t>4</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59525" w14:textId="77777777" w:rsidR="002651CC" w:rsidRDefault="002651CC">
      <w:r>
        <w:separator/>
      </w:r>
    </w:p>
  </w:footnote>
  <w:footnote w:type="continuationSeparator" w:id="0">
    <w:p w14:paraId="5F86B27E" w14:textId="77777777" w:rsidR="002651CC" w:rsidRDefault="00265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9.75pt;height:9.75pt" o:bullet="t">
        <v:imagedata r:id="rId1" o:title="art1695"/>
      </v:shape>
    </w:pict>
  </w:numPicBullet>
  <w:numPicBullet w:numPicBulletId="1">
    <w:pict>
      <v:shape id="_x0000_i1145" type="#_x0000_t75" style="width:9.75pt;height:9.75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309C5"/>
    <w:multiLevelType w:val="hybridMultilevel"/>
    <w:tmpl w:val="4CA232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BD1994"/>
    <w:multiLevelType w:val="hybridMultilevel"/>
    <w:tmpl w:val="108AD9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6360D7"/>
    <w:multiLevelType w:val="hybridMultilevel"/>
    <w:tmpl w:val="E20A19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6"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8"/>
  </w:num>
  <w:num w:numId="3">
    <w:abstractNumId w:val="20"/>
  </w:num>
  <w:num w:numId="4">
    <w:abstractNumId w:val="29"/>
  </w:num>
  <w:num w:numId="5">
    <w:abstractNumId w:val="31"/>
  </w:num>
  <w:num w:numId="6">
    <w:abstractNumId w:val="18"/>
  </w:num>
  <w:num w:numId="7">
    <w:abstractNumId w:val="15"/>
  </w:num>
  <w:num w:numId="8">
    <w:abstractNumId w:val="6"/>
  </w:num>
  <w:num w:numId="9">
    <w:abstractNumId w:val="23"/>
  </w:num>
  <w:num w:numId="10">
    <w:abstractNumId w:val="4"/>
  </w:num>
  <w:num w:numId="11">
    <w:abstractNumId w:val="10"/>
  </w:num>
  <w:num w:numId="12">
    <w:abstractNumId w:val="7"/>
  </w:num>
  <w:num w:numId="13">
    <w:abstractNumId w:val="3"/>
  </w:num>
  <w:num w:numId="14">
    <w:abstractNumId w:val="0"/>
  </w:num>
  <w:num w:numId="15">
    <w:abstractNumId w:val="14"/>
  </w:num>
  <w:num w:numId="16">
    <w:abstractNumId w:val="5"/>
  </w:num>
  <w:num w:numId="17">
    <w:abstractNumId w:val="25"/>
  </w:num>
  <w:num w:numId="18">
    <w:abstractNumId w:val="27"/>
  </w:num>
  <w:num w:numId="19">
    <w:abstractNumId w:val="17"/>
  </w:num>
  <w:num w:numId="20">
    <w:abstractNumId w:val="23"/>
  </w:num>
  <w:num w:numId="21">
    <w:abstractNumId w:val="22"/>
  </w:num>
  <w:num w:numId="22">
    <w:abstractNumId w:val="26"/>
  </w:num>
  <w:num w:numId="23">
    <w:abstractNumId w:val="19"/>
  </w:num>
  <w:num w:numId="24">
    <w:abstractNumId w:val="30"/>
  </w:num>
  <w:num w:numId="25">
    <w:abstractNumId w:val="21"/>
  </w:num>
  <w:num w:numId="26">
    <w:abstractNumId w:val="16"/>
  </w:num>
  <w:num w:numId="27">
    <w:abstractNumId w:val="28"/>
  </w:num>
  <w:num w:numId="28">
    <w:abstractNumId w:val="1"/>
  </w:num>
  <w:num w:numId="29">
    <w:abstractNumId w:val="12"/>
  </w:num>
  <w:num w:numId="30">
    <w:abstractNumId w:val="24"/>
  </w:num>
  <w:num w:numId="31">
    <w:abstractNumId w:val="2"/>
  </w:num>
  <w:num w:numId="32">
    <w:abstractNumId w:val="11"/>
  </w:num>
  <w:num w:numId="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54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6EC6"/>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0F5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6F2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A0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4EF6"/>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51CC"/>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4F6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D7D"/>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6B9"/>
    <w:rsid w:val="002F3928"/>
    <w:rsid w:val="002F3972"/>
    <w:rsid w:val="002F3BBB"/>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27"/>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47EE"/>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725"/>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32"/>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605"/>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0FC2"/>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5B9"/>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4A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D5D"/>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7E5"/>
    <w:rsid w:val="005E23B9"/>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64"/>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3F53"/>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C76"/>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64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31"/>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5D4A"/>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48F"/>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489"/>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1B5F"/>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481"/>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399"/>
    <w:rsid w:val="00DA3EFC"/>
    <w:rsid w:val="00DA423A"/>
    <w:rsid w:val="00DA4D14"/>
    <w:rsid w:val="00DA5163"/>
    <w:rsid w:val="00DA5415"/>
    <w:rsid w:val="00DA5816"/>
    <w:rsid w:val="00DA6389"/>
    <w:rsid w:val="00DA63E8"/>
    <w:rsid w:val="00DA6424"/>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6DE7"/>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08CE"/>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0EF"/>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77FC8"/>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character" w:styleId="af6">
    <w:name w:val="Placeholder Text"/>
    <w:basedOn w:val="a1"/>
    <w:uiPriority w:val="99"/>
    <w:semiHidden/>
    <w:rsid w:val="00274F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969CB-FCE3-4FE5-813F-13FFCA1AB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1788</Words>
  <Characters>10195</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15</cp:revision>
  <cp:lastPrinted>2014-01-26T05:26:00Z</cp:lastPrinted>
  <dcterms:created xsi:type="dcterms:W3CDTF">2018-01-11T08:24:00Z</dcterms:created>
  <dcterms:modified xsi:type="dcterms:W3CDTF">2018-01-12T15:45:00Z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