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50B" w:rsidRPr="0052548E" w:rsidRDefault="0098150B" w:rsidP="0098150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FA2F92">
        <w:t xml:space="preserve"> </w:t>
      </w:r>
      <w:r>
        <w:rPr>
          <w:rFonts w:ascii="Arial" w:hAnsi="Arial" w:cs="Arial"/>
          <w:b/>
          <w:bCs/>
          <w:sz w:val="28"/>
        </w:rPr>
        <w:t>NR#4</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t>R1-1800345</w:t>
      </w:r>
    </w:p>
    <w:p w:rsidR="0098150B" w:rsidRPr="009513AC" w:rsidRDefault="0098150B" w:rsidP="0098150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 22-26 2018</w:t>
      </w:r>
    </w:p>
    <w:p w:rsidR="0098150B" w:rsidRPr="009C718A" w:rsidRDefault="0098150B" w:rsidP="0098150B">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7.9</w:t>
      </w:r>
    </w:p>
    <w:p w:rsidR="0098150B" w:rsidRPr="009C718A" w:rsidRDefault="0098150B" w:rsidP="0098150B">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98150B" w:rsidRPr="009C718A" w:rsidRDefault="0098150B" w:rsidP="0098150B">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On UE peak data rate</w:t>
      </w:r>
    </w:p>
    <w:p w:rsidR="0098150B" w:rsidRPr="009C718A" w:rsidRDefault="0098150B" w:rsidP="0098150B">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98150B" w:rsidRPr="00D71F0D" w:rsidRDefault="0098150B" w:rsidP="0098150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98150B" w:rsidRDefault="0098150B" w:rsidP="0098150B">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hAnsi="Times New Roman" w:cs="Times New Roman"/>
          <w:sz w:val="20"/>
          <w:szCs w:val="20"/>
          <w:lang w:val="en-GB"/>
        </w:rPr>
        <w:t>In this contribution we discuss the following</w:t>
      </w:r>
      <w:r>
        <w:rPr>
          <w:rFonts w:ascii="Times New Roman" w:eastAsia="SimSun" w:hAnsi="Times New Roman" w:cs="Times New Roman"/>
          <w:sz w:val="20"/>
          <w:szCs w:val="20"/>
        </w:rPr>
        <w:t xml:space="preserve">: </w:t>
      </w:r>
    </w:p>
    <w:p w:rsidR="0098150B" w:rsidRDefault="0098150B" w:rsidP="0098150B">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bookmarkStart w:id="1" w:name="_GoBack"/>
      <w:bookmarkEnd w:id="1"/>
      <w:r>
        <w:rPr>
          <w:rFonts w:ascii="Times New Roman" w:eastAsia="SimSun" w:hAnsi="Times New Roman" w:cs="Times New Roman"/>
          <w:sz w:val="20"/>
          <w:szCs w:val="20"/>
        </w:rPr>
        <w:t>Peak rate based on TBS</w:t>
      </w:r>
    </w:p>
    <w:p w:rsidR="0098150B" w:rsidRDefault="0098150B" w:rsidP="0098150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Peak rate based on TBS</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At last RAN1#91</w:t>
      </w:r>
      <w:r w:rsidRPr="004271FB">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meeting, approximate data rate formula was agreed, including overhead factors depending upon frequency region/link type. RAN had a good discussion on peak rate and category using the formula and discussions are expected to continue in future meetings. </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The following overhead values were agreed for approximate data rate calculation: </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i/>
          <w:sz w:val="20"/>
          <w:szCs w:val="24"/>
          <w:lang w:val="en-GB" w:eastAsia="x-none"/>
        </w:rPr>
      </w:pPr>
      <w:r w:rsidRPr="00BF077E">
        <w:rPr>
          <w:rFonts w:ascii="Times New Roman" w:eastAsia="MS Mincho" w:hAnsi="Times New Roman" w:cs="Times New Roman"/>
          <w:i/>
          <w:position w:val="-6"/>
          <w:sz w:val="20"/>
          <w:szCs w:val="20"/>
          <w:lang w:val="en-GB" w:eastAsia="x-none"/>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pt" o:ole="">
            <v:imagedata r:id="rId5" o:title=""/>
          </v:shape>
          <o:OLEObject Type="Embed" ProgID="Equation.3" ShapeID="_x0000_i1025" DrawAspect="Content" ObjectID="_1577299097" r:id="rId6"/>
        </w:object>
      </w:r>
      <w:r w:rsidRPr="00BF077E">
        <w:rPr>
          <w:rFonts w:ascii="Times" w:eastAsia="Batang" w:hAnsi="Times" w:cs="Times New Roman"/>
          <w:i/>
          <w:sz w:val="20"/>
          <w:szCs w:val="24"/>
          <w:lang w:val="en-GB" w:eastAsia="x-none"/>
        </w:rPr>
        <w:t>is the overhead and takes the following values</w:t>
      </w:r>
    </w:p>
    <w:p w:rsidR="0098150B" w:rsidRPr="00BF077E" w:rsidRDefault="0098150B" w:rsidP="0098150B">
      <w:pPr>
        <w:numPr>
          <w:ilvl w:val="3"/>
          <w:numId w:val="3"/>
        </w:numPr>
        <w:spacing w:after="0" w:line="240" w:lineRule="auto"/>
        <w:ind w:left="3879"/>
        <w:rPr>
          <w:rFonts w:ascii="Times" w:eastAsia="Batang" w:hAnsi="Times" w:cs="Times New Roman"/>
          <w:i/>
          <w:sz w:val="20"/>
          <w:szCs w:val="24"/>
          <w:lang w:val="en-GB" w:eastAsia="x-none"/>
        </w:rPr>
      </w:pPr>
      <w:r w:rsidRPr="00BF077E">
        <w:rPr>
          <w:rFonts w:ascii="Times" w:eastAsia="Batang" w:hAnsi="Times" w:cs="Times New Roman"/>
          <w:i/>
          <w:sz w:val="20"/>
          <w:szCs w:val="24"/>
          <w:lang w:val="en-GB" w:eastAsia="x-none"/>
        </w:rPr>
        <w:t>0.14, for frequency range FR1 for DL</w:t>
      </w:r>
    </w:p>
    <w:p w:rsidR="0098150B" w:rsidRPr="00BF077E" w:rsidRDefault="0098150B" w:rsidP="0098150B">
      <w:pPr>
        <w:numPr>
          <w:ilvl w:val="3"/>
          <w:numId w:val="3"/>
        </w:numPr>
        <w:spacing w:after="0" w:line="240" w:lineRule="auto"/>
        <w:ind w:left="3879"/>
        <w:rPr>
          <w:rFonts w:ascii="Times New Roman" w:eastAsia="Times New Roman" w:hAnsi="Times New Roman" w:cs="Times New Roman"/>
          <w:i/>
          <w:sz w:val="20"/>
          <w:szCs w:val="20"/>
          <w:lang w:val="en-GB"/>
        </w:rPr>
      </w:pPr>
      <w:r w:rsidRPr="00BF077E">
        <w:rPr>
          <w:rFonts w:ascii="Times New Roman" w:eastAsia="Times New Roman" w:hAnsi="Times New Roman" w:cs="Times New Roman"/>
          <w:i/>
          <w:sz w:val="20"/>
          <w:szCs w:val="20"/>
          <w:lang w:val="en-GB"/>
        </w:rPr>
        <w:t>0.18, for frequency range FR2 for DL</w:t>
      </w:r>
    </w:p>
    <w:p w:rsidR="0098150B" w:rsidRPr="00BF077E" w:rsidRDefault="0098150B" w:rsidP="0098150B">
      <w:pPr>
        <w:numPr>
          <w:ilvl w:val="3"/>
          <w:numId w:val="3"/>
        </w:numPr>
        <w:spacing w:after="0" w:line="240" w:lineRule="auto"/>
        <w:ind w:left="3879"/>
        <w:rPr>
          <w:rFonts w:ascii="Times" w:eastAsia="Batang" w:hAnsi="Times" w:cs="Times New Roman"/>
          <w:i/>
          <w:sz w:val="20"/>
          <w:szCs w:val="24"/>
          <w:lang w:val="en-GB" w:eastAsia="x-none"/>
        </w:rPr>
      </w:pPr>
      <w:r w:rsidRPr="00BF077E">
        <w:rPr>
          <w:rFonts w:ascii="Times" w:eastAsia="Batang" w:hAnsi="Times" w:cs="Times New Roman"/>
          <w:i/>
          <w:sz w:val="20"/>
          <w:szCs w:val="24"/>
          <w:lang w:val="en-GB" w:eastAsia="x-none"/>
        </w:rPr>
        <w:t>0.08, for frequency range FR1 for UL</w:t>
      </w:r>
    </w:p>
    <w:p w:rsidR="0098150B" w:rsidRPr="00BF077E" w:rsidRDefault="0098150B" w:rsidP="0098150B">
      <w:pPr>
        <w:numPr>
          <w:ilvl w:val="3"/>
          <w:numId w:val="3"/>
        </w:numPr>
        <w:spacing w:after="0" w:line="240" w:lineRule="auto"/>
        <w:ind w:left="3879"/>
        <w:rPr>
          <w:rFonts w:ascii="Times New Roman" w:eastAsia="Times New Roman" w:hAnsi="Times New Roman" w:cs="Times New Roman"/>
          <w:i/>
          <w:sz w:val="20"/>
          <w:szCs w:val="20"/>
          <w:lang w:val="en-GB"/>
        </w:rPr>
      </w:pPr>
      <w:r w:rsidRPr="00BF077E">
        <w:rPr>
          <w:rFonts w:ascii="Times New Roman" w:eastAsia="Times New Roman" w:hAnsi="Times New Roman" w:cs="Times New Roman"/>
          <w:i/>
          <w:sz w:val="20"/>
          <w:szCs w:val="20"/>
          <w:lang w:val="en-GB"/>
        </w:rPr>
        <w:t>0.10, for frequency range FR2 for UL</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While the overhead numbers are fine for an approximate data rate calculation, from a UE perspective the peak data rate for a  given slot can be larger since the overhead for that particular slot might be much smaller than the average overhead value assumed above. In addition (unlike LTE), the TBS for a given slot depends on the overhead assumed. Thus, the peak data rate needs to consider the peak TBS under the suitable overhead assumptions. </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Looking at the TBS determination procedure in 38.214, sec 5.1.3.2, the smallest possible overhead value (at least for TBS calculation) corresponds to the case where </w:t>
      </w:r>
      <w:r w:rsidRPr="0048482F">
        <w:rPr>
          <w:position w:val="-10"/>
          <w:lang w:eastAsia="ko-KR"/>
        </w:rPr>
        <w:object w:dxaOrig="420" w:dyaOrig="340">
          <v:shape id="_x0000_i1026" type="#_x0000_t75" style="width:20.25pt;height:16.5pt" o:ole="">
            <v:imagedata r:id="rId7" o:title=""/>
          </v:shape>
          <o:OLEObject Type="Embed" ProgID="Equation.3" ShapeID="_x0000_i1026" DrawAspect="Content" ObjectID="_1577299098" r:id="rId8"/>
        </w:object>
      </w:r>
      <w:r w:rsidRPr="009D0437">
        <w:rPr>
          <w:rFonts w:ascii="Times New Roman" w:eastAsia="SimSun" w:hAnsi="Times New Roman" w:cs="Times New Roman"/>
          <w:sz w:val="20"/>
          <w:szCs w:val="20"/>
        </w:rPr>
        <w:t>(which is quantized number of REs) takes the highest value</w:t>
      </w:r>
      <w:r>
        <w:rPr>
          <w:rFonts w:ascii="Times New Roman" w:eastAsia="SimSun" w:hAnsi="Times New Roman" w:cs="Times New Roman"/>
          <w:sz w:val="20"/>
          <w:szCs w:val="20"/>
        </w:rPr>
        <w:t xml:space="preserve">, which is 156 REs per one PRB per slot duration. This would imply an overhead of 1 – (156/168) = 0.0714. </w:t>
      </w:r>
    </w:p>
    <w:p w:rsidR="0098150B" w:rsidRDefault="0098150B" w:rsidP="0098150B">
      <w:pPr>
        <w:tabs>
          <w:tab w:val="left" w:pos="3909"/>
        </w:tabs>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b/>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b/>
          <w:sz w:val="20"/>
          <w:szCs w:val="20"/>
        </w:rPr>
      </w:pPr>
      <w:r w:rsidRPr="009D0437">
        <w:rPr>
          <w:rFonts w:ascii="Times New Roman" w:eastAsia="SimSun" w:hAnsi="Times New Roman" w:cs="Times New Roman"/>
          <w:b/>
          <w:sz w:val="20"/>
          <w:szCs w:val="20"/>
        </w:rPr>
        <w:t xml:space="preserve">Observation </w:t>
      </w:r>
      <w:r>
        <w:rPr>
          <w:rFonts w:ascii="Times New Roman" w:eastAsia="SimSun" w:hAnsi="Times New Roman" w:cs="Times New Roman"/>
          <w:b/>
          <w:sz w:val="20"/>
          <w:szCs w:val="20"/>
        </w:rPr>
        <w:t>1</w:t>
      </w:r>
      <w:r w:rsidRPr="009D0437">
        <w:rPr>
          <w:rFonts w:ascii="Times New Roman" w:eastAsia="SimSun" w:hAnsi="Times New Roman" w:cs="Times New Roman"/>
          <w:b/>
          <w:sz w:val="20"/>
          <w:szCs w:val="20"/>
        </w:rPr>
        <w:t>: The overhead value for Downlink/uplink transport block size calculation can be as small as 0.0714</w:t>
      </w:r>
      <w:r>
        <w:rPr>
          <w:rFonts w:ascii="Times New Roman" w:eastAsia="SimSun" w:hAnsi="Times New Roman" w:cs="Times New Roman"/>
          <w:b/>
          <w:sz w:val="20"/>
          <w:szCs w:val="20"/>
        </w:rPr>
        <w:t>, which can be significantly different from the average OH assumed for approximate data rate calculation</w:t>
      </w:r>
      <w:r w:rsidRPr="009D0437">
        <w:rPr>
          <w:rFonts w:ascii="Times New Roman" w:eastAsia="SimSun" w:hAnsi="Times New Roman" w:cs="Times New Roman"/>
          <w:b/>
          <w:sz w:val="20"/>
          <w:szCs w:val="20"/>
        </w:rPr>
        <w:t>.</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b/>
          <w:sz w:val="20"/>
          <w:szCs w:val="20"/>
        </w:rPr>
      </w:pP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sidRPr="009D0437">
        <w:rPr>
          <w:rFonts w:ascii="Times New Roman" w:eastAsia="SimSun" w:hAnsi="Times New Roman" w:cs="Times New Roman"/>
          <w:sz w:val="20"/>
          <w:szCs w:val="20"/>
        </w:rPr>
        <w:t>Then</w:t>
      </w:r>
      <w:r>
        <w:rPr>
          <w:rFonts w:ascii="Times New Roman" w:eastAsia="SimSun" w:hAnsi="Times New Roman" w:cs="Times New Roman"/>
          <w:sz w:val="20"/>
          <w:szCs w:val="20"/>
        </w:rPr>
        <w:t>, based on this, there can be up to 11% difference in approximate data rate vs the actual peak data rate supported by the UE. While this number may look small, it is not negligible, for example a 20 Gbps rate UE yields an approximate data rate of 18 Gbps, which does not seem reasonable. Moreover, the peak rates may look not so competitive (or superiror) compared to LTE which uses a peak rate based on TBS. While it may be possible to also consider a more reasonable overhead (e.g.</w:t>
      </w:r>
      <w:r w:rsidRPr="00EA135C">
        <w:rPr>
          <w:rFonts w:ascii="Times New Roman" w:eastAsia="SimSun" w:hAnsi="Times New Roman" w:cs="Times New Roman"/>
          <w:sz w:val="20"/>
          <w:szCs w:val="20"/>
        </w:rPr>
        <w:t xml:space="preserve"> “best case” overhead values for different FR and link types for determining data rate</w:t>
      </w:r>
      <w:r>
        <w:rPr>
          <w:rFonts w:ascii="Times New Roman" w:eastAsia="SimSun" w:hAnsi="Times New Roman" w:cs="Times New Roman"/>
          <w:sz w:val="20"/>
          <w:szCs w:val="20"/>
        </w:rPr>
        <w:t>), we think the TBS based formula may be better as it can provide clearer limitations for the scheduling parallel TBs on different carriers for the UE.</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Pr="00EA135C"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b/>
          <w:sz w:val="20"/>
          <w:szCs w:val="20"/>
        </w:rPr>
      </w:pPr>
      <w:r w:rsidRPr="00741555">
        <w:rPr>
          <w:rFonts w:ascii="Times New Roman" w:eastAsia="SimSun" w:hAnsi="Times New Roman" w:cs="Times New Roman"/>
          <w:b/>
          <w:sz w:val="20"/>
          <w:szCs w:val="20"/>
        </w:rPr>
        <w:t xml:space="preserve">Proposal 1:   RAN1 should </w:t>
      </w:r>
      <w:r>
        <w:rPr>
          <w:rFonts w:ascii="Times New Roman" w:eastAsia="SimSun" w:hAnsi="Times New Roman" w:cs="Times New Roman"/>
          <w:b/>
          <w:sz w:val="20"/>
          <w:szCs w:val="20"/>
        </w:rPr>
        <w:t xml:space="preserve">also consider </w:t>
      </w:r>
      <w:r w:rsidRPr="00EA135C">
        <w:rPr>
          <w:rFonts w:ascii="Times New Roman" w:eastAsia="SimSun" w:hAnsi="Times New Roman" w:cs="Times New Roman"/>
          <w:b/>
          <w:sz w:val="20"/>
          <w:szCs w:val="20"/>
        </w:rPr>
        <w:t>us</w:t>
      </w:r>
      <w:r>
        <w:rPr>
          <w:rFonts w:ascii="Times New Roman" w:eastAsia="SimSun" w:hAnsi="Times New Roman" w:cs="Times New Roman"/>
          <w:b/>
          <w:sz w:val="20"/>
          <w:szCs w:val="20"/>
        </w:rPr>
        <w:t>ing</w:t>
      </w:r>
      <w:r w:rsidRPr="00EA135C">
        <w:rPr>
          <w:rFonts w:ascii="Times New Roman" w:eastAsia="SimSun" w:hAnsi="Times New Roman" w:cs="Times New Roman"/>
          <w:b/>
          <w:sz w:val="20"/>
          <w:szCs w:val="20"/>
        </w:rPr>
        <w:t xml:space="preserve"> a TBS based formulation of the peak data rate (An example formula shown in Figure </w:t>
      </w:r>
      <w:r>
        <w:rPr>
          <w:rFonts w:ascii="Times New Roman" w:eastAsia="SimSun" w:hAnsi="Times New Roman" w:cs="Times New Roman"/>
          <w:b/>
          <w:sz w:val="20"/>
          <w:szCs w:val="20"/>
        </w:rPr>
        <w:t>1</w:t>
      </w:r>
      <w:r w:rsidRPr="00EA135C">
        <w:rPr>
          <w:rFonts w:ascii="Times New Roman" w:eastAsia="SimSun" w:hAnsi="Times New Roman" w:cs="Times New Roman"/>
          <w:b/>
          <w:sz w:val="20"/>
          <w:szCs w:val="20"/>
        </w:rPr>
        <w:t>)</w:t>
      </w:r>
      <w:r>
        <w:rPr>
          <w:rFonts w:ascii="Times New Roman" w:eastAsia="SimSun" w:hAnsi="Times New Roman" w:cs="Times New Roman"/>
          <w:b/>
          <w:sz w:val="20"/>
          <w:szCs w:val="20"/>
        </w:rPr>
        <w:t>.</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If a TBS based formulation is used, then the updated formula looks like the following (a previous attempt at this was made in last RAN1 meeting and placed in the drafts folder for RAN1#91, AI 7.8): </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sidRPr="006862B6">
        <w:rPr>
          <w:rFonts w:ascii="Times New Roman" w:eastAsia="SimSun" w:hAnsi="Times New Roman" w:cs="Times New Roman"/>
          <w:sz w:val="20"/>
          <w:szCs w:val="20"/>
        </w:rPr>
        <w:lastRenderedPageBreak/>
        <w:t>Note</w:t>
      </w:r>
      <w:r>
        <w:rPr>
          <w:rFonts w:ascii="Times New Roman" w:eastAsia="SimSun" w:hAnsi="Times New Roman" w:cs="Times New Roman"/>
          <w:sz w:val="20"/>
          <w:szCs w:val="20"/>
        </w:rPr>
        <w:t xml:space="preserve"> 1:</w:t>
      </w:r>
      <w:r w:rsidRPr="006862B6">
        <w:rPr>
          <w:rFonts w:ascii="Times New Roman" w:eastAsia="SimSun" w:hAnsi="Times New Roman" w:cs="Times New Roman"/>
          <w:sz w:val="20"/>
          <w:szCs w:val="20"/>
        </w:rPr>
        <w:t xml:space="preserve"> </w:t>
      </w:r>
      <w:r>
        <w:rPr>
          <w:rFonts w:ascii="Times New Roman" w:eastAsia="SimSun" w:hAnsi="Times New Roman" w:cs="Times New Roman"/>
          <w:sz w:val="20"/>
          <w:szCs w:val="20"/>
        </w:rPr>
        <w:t>T</w:t>
      </w:r>
      <w:r w:rsidRPr="006862B6">
        <w:rPr>
          <w:rFonts w:ascii="Times New Roman" w:eastAsia="SimSun" w:hAnsi="Times New Roman" w:cs="Times New Roman"/>
          <w:sz w:val="20"/>
          <w:szCs w:val="20"/>
        </w:rPr>
        <w:t xml:space="preserve">he ceiling and floor operations on the number of layers is to reflect that there is a maximum of 1 TB for up to 4 layers, and two TBs for up to 8 layers. </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Note 2 : The configuration assumed (for least OH) would include DMRS Type 2 and PDSCH starting from the first symbol in the slot and so on (yielding </w:t>
      </w:r>
      <w:r w:rsidRPr="00741555">
        <w:rPr>
          <w:rFonts w:ascii="Times New Roman" w:eastAsia="SimSun" w:hAnsi="Times New Roman" w:cs="Times New Roman"/>
          <w:position w:val="-10"/>
          <w:sz w:val="20"/>
          <w:szCs w:val="20"/>
          <w:lang w:val="en-GB"/>
        </w:rPr>
        <w:object w:dxaOrig="1080" w:dyaOrig="360">
          <v:shape id="_x0000_i1027" type="#_x0000_t75" style="width:44.25pt;height:15.75pt" o:ole="">
            <v:imagedata r:id="rId9" o:title=""/>
          </v:shape>
          <o:OLEObject Type="Embed" ProgID="Equation.3" ShapeID="_x0000_i1027" DrawAspect="Content" ObjectID="_1577299099" r:id="rId10"/>
        </w:object>
      </w:r>
      <w:r>
        <w:rPr>
          <w:rFonts w:ascii="Times New Roman" w:eastAsia="SimSun" w:hAnsi="Times New Roman" w:cs="Times New Roman"/>
          <w:sz w:val="20"/>
          <w:szCs w:val="20"/>
        </w:rPr>
        <w:t xml:space="preserve">). </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Default="0098150B" w:rsidP="0098150B">
      <w:pPr>
        <w:keepNext/>
        <w:overflowPunct w:val="0"/>
        <w:autoSpaceDE w:val="0"/>
        <w:autoSpaceDN w:val="0"/>
        <w:adjustRightInd w:val="0"/>
        <w:spacing w:after="0" w:line="240" w:lineRule="auto"/>
        <w:jc w:val="both"/>
        <w:textAlignment w:val="baseline"/>
      </w:pPr>
      <w:r w:rsidRPr="001E7FF1">
        <w:rPr>
          <w:rFonts w:ascii="Times New Roman" w:eastAsia="SimSun" w:hAnsi="Times New Roman" w:cs="Times New Roman"/>
          <w:noProof/>
          <w:sz w:val="20"/>
          <w:szCs w:val="20"/>
        </w:rPr>
        <mc:AlternateContent>
          <mc:Choice Requires="wps">
            <w:drawing>
              <wp:inline distT="0" distB="0" distL="0" distR="0" wp14:anchorId="3D38D964" wp14:editId="48F8B91B">
                <wp:extent cx="6222365" cy="6958941"/>
                <wp:effectExtent l="0" t="0" r="26035"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6958941"/>
                        </a:xfrm>
                        <a:prstGeom prst="rect">
                          <a:avLst/>
                        </a:prstGeom>
                        <a:solidFill>
                          <a:srgbClr val="FFFFFF"/>
                        </a:solidFill>
                        <a:ln w="9525">
                          <a:solidFill>
                            <a:srgbClr val="000000"/>
                          </a:solidFill>
                          <a:miter lim="800000"/>
                          <a:headEnd/>
                          <a:tailEnd/>
                        </a:ln>
                      </wps:spPr>
                      <wps:txbx>
                        <w:txbxContent>
                          <w:p w:rsidR="0098150B" w:rsidRDefault="0098150B" w:rsidP="0098150B">
                            <w:pPr>
                              <w:overflowPunct w:val="0"/>
                              <w:autoSpaceDE w:val="0"/>
                              <w:autoSpaceDN w:val="0"/>
                              <w:adjustRightInd w:val="0"/>
                              <w:spacing w:after="0" w:line="240" w:lineRule="auto"/>
                              <w:jc w:val="both"/>
                              <w:textAlignment w:val="baseline"/>
                              <w:rPr>
                                <w:b/>
                                <w:color w:val="FF0000"/>
                                <w:u w:val="single"/>
                              </w:rPr>
                            </w:pPr>
                            <w:r w:rsidRPr="001E7FF1">
                              <w:rPr>
                                <w:b/>
                                <w:color w:val="FF0000"/>
                                <w:u w:val="single"/>
                              </w:rPr>
                              <w:t>Peak data rate based on TBS</w:t>
                            </w:r>
                            <w:r>
                              <w:rPr>
                                <w:b/>
                                <w:color w:val="FF0000"/>
                                <w:u w:val="single"/>
                              </w:rPr>
                              <w:t xml:space="preserve"> </w:t>
                            </w:r>
                          </w:p>
                          <w:p w:rsidR="0098150B" w:rsidRDefault="0098150B" w:rsidP="0098150B">
                            <w:pPr>
                              <w:overflowPunct w:val="0"/>
                              <w:autoSpaceDE w:val="0"/>
                              <w:autoSpaceDN w:val="0"/>
                              <w:adjustRightInd w:val="0"/>
                              <w:spacing w:after="0" w:line="240" w:lineRule="auto"/>
                              <w:jc w:val="both"/>
                              <w:textAlignment w:val="baseline"/>
                              <w:rPr>
                                <w:b/>
                                <w:color w:val="FF0000"/>
                                <w:u w:val="single"/>
                              </w:rPr>
                            </w:pPr>
                          </w:p>
                          <w:p w:rsidR="0098150B" w:rsidRPr="00BF077E" w:rsidRDefault="0098150B" w:rsidP="0098150B">
                            <w:pPr>
                              <w:spacing w:after="0" w:line="240" w:lineRule="auto"/>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data rate </w:t>
                            </w:r>
                            <w:r>
                              <w:rPr>
                                <w:rFonts w:ascii="Times New Roman" w:eastAsia="Times New Roman" w:hAnsi="Times New Roman" w:cs="Times New Roman"/>
                                <w:sz w:val="20"/>
                                <w:szCs w:val="20"/>
                                <w:lang w:val="en-GB"/>
                              </w:rPr>
                              <w:t xml:space="preserve">(based on maximum TBS) </w:t>
                            </w:r>
                            <w:r w:rsidRPr="00BF077E">
                              <w:rPr>
                                <w:rFonts w:ascii="Times New Roman" w:eastAsia="Times New Roman" w:hAnsi="Times New Roman" w:cs="Times New Roman"/>
                                <w:sz w:val="20"/>
                                <w:szCs w:val="20"/>
                                <w:lang w:val="en-GB"/>
                              </w:rPr>
                              <w:t xml:space="preserve">for a given number of aggregated carriers in a band or band combination is computed as follows. </w:t>
                            </w:r>
                          </w:p>
                          <w:p w:rsidR="0098150B" w:rsidRPr="001E7FF1" w:rsidRDefault="0098150B" w:rsidP="0098150B">
                            <w:pPr>
                              <w:overflowPunct w:val="0"/>
                              <w:autoSpaceDE w:val="0"/>
                              <w:autoSpaceDN w:val="0"/>
                              <w:adjustRightInd w:val="0"/>
                              <w:spacing w:after="0" w:line="240" w:lineRule="auto"/>
                              <w:jc w:val="both"/>
                              <w:textAlignment w:val="baseline"/>
                              <w:rPr>
                                <w:b/>
                                <w:color w:val="FF0000"/>
                                <w:u w:val="single"/>
                              </w:rPr>
                            </w:pPr>
                          </w:p>
                          <w:p w:rsidR="0098150B" w:rsidRDefault="0098150B" w:rsidP="0098150B">
                            <w:pPr>
                              <w:overflowPunct w:val="0"/>
                              <w:autoSpaceDE w:val="0"/>
                              <w:autoSpaceDN w:val="0"/>
                              <w:adjustRightInd w:val="0"/>
                              <w:spacing w:after="0" w:line="240" w:lineRule="auto"/>
                              <w:jc w:val="center"/>
                              <w:textAlignment w:val="baseline"/>
                            </w:pPr>
                            <w:r w:rsidRPr="00741555">
                              <w:rPr>
                                <w:position w:val="-38"/>
                              </w:rPr>
                              <w:object w:dxaOrig="5280" w:dyaOrig="880">
                                <v:shape id="_x0000_i1028" type="#_x0000_t75" style="width:264pt;height:42.75pt" o:ole="" o:bordertopcolor="red" o:borderleftcolor="red" o:borderbottomcolor="red" o:borderrightcolor="red">
                                  <v:imagedata r:id="rId11" o:title=""/>
                                  <w10:bordertop type="single" width="8"/>
                                  <w10:borderleft type="single" width="8"/>
                                  <w10:borderbottom type="single" width="8"/>
                                  <w10:borderright type="single" width="8"/>
                                </v:shape>
                                <o:OLEObject Type="Embed" ProgID="Equation.3" ShapeID="_x0000_i1028" DrawAspect="Content" ObjectID="_1577299100" r:id="rId12"/>
                              </w:object>
                            </w:r>
                          </w:p>
                          <w:p w:rsidR="0098150B" w:rsidRPr="001E7FF1" w:rsidRDefault="0098150B" w:rsidP="0098150B">
                            <w:p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1E7FF1">
                              <w:rPr>
                                <w:rFonts w:ascii="Times New Roman" w:hAnsi="Times New Roman" w:cs="Times New Roman"/>
                                <w:sz w:val="20"/>
                                <w:szCs w:val="20"/>
                              </w:rPr>
                              <w:t xml:space="preserve">For the j-th CC, </w:t>
                            </w:r>
                          </w:p>
                          <w:p w:rsidR="0098150B" w:rsidRPr="00BF077E" w:rsidRDefault="0098150B" w:rsidP="0098150B">
                            <w:pPr>
                              <w:spacing w:after="0" w:line="240" w:lineRule="auto"/>
                              <w:ind w:firstLine="360"/>
                              <w:rPr>
                                <w:rFonts w:ascii="Times New Roman" w:eastAsia="Times New Roman" w:hAnsi="Times New Roman" w:cs="Times New Roman"/>
                                <w:sz w:val="20"/>
                                <w:szCs w:val="20"/>
                              </w:rPr>
                            </w:pPr>
                            <w:r w:rsidRPr="00BF077E">
                              <w:rPr>
                                <w:rFonts w:ascii="Times New Roman" w:eastAsia="Times New Roman" w:hAnsi="Times New Roman" w:cs="Times New Roman"/>
                                <w:sz w:val="20"/>
                                <w:szCs w:val="20"/>
                              </w:rPr>
                              <w:t>wherein</w:t>
                            </w: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J is the number of aggregated component carriers in a band or band combination</w:t>
                            </w: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R</w:t>
                            </w:r>
                            <w:r w:rsidRPr="00BF077E">
                              <w:rPr>
                                <w:rFonts w:ascii="Times" w:eastAsia="Batang" w:hAnsi="Times" w:cs="Times New Roman"/>
                                <w:sz w:val="20"/>
                                <w:szCs w:val="24"/>
                                <w:vertAlign w:val="subscript"/>
                                <w:lang w:val="en-GB" w:eastAsia="x-none"/>
                              </w:rPr>
                              <w:t>max</w:t>
                            </w:r>
                            <w:r w:rsidRPr="00BF077E">
                              <w:rPr>
                                <w:rFonts w:ascii="Times" w:eastAsia="Batang" w:hAnsi="Times" w:cs="Times New Roman"/>
                                <w:sz w:val="20"/>
                                <w:szCs w:val="24"/>
                                <w:lang w:val="en-GB" w:eastAsia="x-none"/>
                              </w:rPr>
                              <w:t xml:space="preserve"> = 948/1024</w:t>
                            </w: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For the j-th CC,</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6"/>
                                <w:sz w:val="20"/>
                                <w:szCs w:val="20"/>
                              </w:rPr>
                              <w:drawing>
                                <wp:inline distT="0" distB="0" distL="0" distR="0">
                                  <wp:extent cx="30480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number of layers </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0"/>
                                <w:sz w:val="20"/>
                                <w:szCs w:val="20"/>
                              </w:rPr>
                              <w:drawing>
                                <wp:inline distT="0" distB="0" distL="0" distR="0">
                                  <wp:extent cx="247650" cy="20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modulation order</w:t>
                            </w:r>
                          </w:p>
                          <w:p w:rsidR="0098150B" w:rsidRPr="00BF077E" w:rsidRDefault="0098150B" w:rsidP="0098150B">
                            <w:pPr>
                              <w:numPr>
                                <w:ilvl w:val="1"/>
                                <w:numId w:val="3"/>
                              </w:numPr>
                              <w:overflowPunct w:val="0"/>
                              <w:autoSpaceDE w:val="0"/>
                              <w:autoSpaceDN w:val="0"/>
                              <w:adjustRightInd w:val="0"/>
                              <w:spacing w:after="0" w:line="240" w:lineRule="auto"/>
                              <w:ind w:left="14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4"/>
                                <w:sz w:val="20"/>
                                <w:szCs w:val="20"/>
                              </w:rPr>
                              <w:drawing>
                                <wp:inline distT="0" distB="0" distL="0" distR="0">
                                  <wp:extent cx="238125" cy="2476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is the scaling factor </w:t>
                            </w:r>
                          </w:p>
                          <w:p w:rsidR="0098150B" w:rsidRPr="00BF077E" w:rsidRDefault="0098150B" w:rsidP="0098150B">
                            <w:pPr>
                              <w:numPr>
                                <w:ilvl w:val="3"/>
                                <w:numId w:val="5"/>
                              </w:numPr>
                              <w:spacing w:after="0" w:line="240" w:lineRule="auto"/>
                              <w:ind w:left="216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scaling factor can at least take the values 1 and 0.75. </w:t>
                            </w:r>
                          </w:p>
                          <w:p w:rsidR="0098150B" w:rsidRPr="00BF077E" w:rsidRDefault="0098150B" w:rsidP="0098150B">
                            <w:pPr>
                              <w:numPr>
                                <w:ilvl w:val="3"/>
                                <w:numId w:val="5"/>
                              </w:numPr>
                              <w:spacing w:after="0" w:line="240" w:lineRule="auto"/>
                              <w:ind w:left="2160"/>
                              <w:rPr>
                                <w:rFonts w:ascii="Times New Roman" w:eastAsia="Times New Roman" w:hAnsi="Times New Roman" w:cs="Times New Roman"/>
                                <w:sz w:val="20"/>
                                <w:szCs w:val="20"/>
                                <w:lang w:val="en-GB"/>
                              </w:rPr>
                            </w:pPr>
                            <w:r>
                              <w:rPr>
                                <w:rFonts w:ascii="Times New Roman" w:eastAsia="MS Mincho" w:hAnsi="Times New Roman" w:cs="Times New Roman"/>
                                <w:noProof/>
                                <w:position w:val="-14"/>
                                <w:sz w:val="20"/>
                                <w:szCs w:val="20"/>
                              </w:rPr>
                              <w:drawing>
                                <wp:inline distT="0" distB="0" distL="0" distR="0">
                                  <wp:extent cx="238125" cy="2476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New Roman" w:eastAsia="Times New Roman" w:hAnsi="Times New Roman" w:cs="Times New Roman"/>
                                <w:sz w:val="20"/>
                                <w:szCs w:val="20"/>
                                <w:lang w:val="en-GB"/>
                              </w:rPr>
                              <w:t>is signalled per band and per band per band combination as per UE capability signalling</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142875" cy="1524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w:t>
                            </w:r>
                            <w:r w:rsidRPr="00BF077E">
                              <w:rPr>
                                <w:rFonts w:ascii="Times" w:eastAsia="Batang" w:hAnsi="Times" w:cs="Times New Roman"/>
                                <w:sz w:val="20"/>
                                <w:szCs w:val="24"/>
                                <w:lang w:val="en-GB" w:eastAsia="x-none"/>
                              </w:rPr>
                              <w:t>is the numerology (as defined in TS38.211)</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2"/>
                                <w:sz w:val="20"/>
                                <w:szCs w:val="24"/>
                              </w:rPr>
                              <w:drawing>
                                <wp:inline distT="0" distB="0" distL="0" distR="0">
                                  <wp:extent cx="20955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is the average OFDM symbol duration in a subframe for numerology </w:t>
                            </w:r>
                            <w:r>
                              <w:rPr>
                                <w:rFonts w:ascii="Times" w:eastAsia="Batang" w:hAnsi="Times" w:cs="Times New Roman"/>
                                <w:noProof/>
                                <w:position w:val="-10"/>
                                <w:sz w:val="20"/>
                                <w:szCs w:val="24"/>
                              </w:rPr>
                              <w:drawing>
                                <wp:inline distT="0" distB="0" distL="0" distR="0">
                                  <wp:extent cx="142875" cy="152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i.e. </w:t>
                            </w:r>
                            <w:r>
                              <w:rPr>
                                <w:rFonts w:ascii="Times" w:eastAsia="Batang" w:hAnsi="Times" w:cs="Times New Roman"/>
                                <w:noProof/>
                                <w:position w:val="-22"/>
                                <w:sz w:val="20"/>
                                <w:szCs w:val="24"/>
                              </w:rPr>
                              <w:drawing>
                                <wp:inline distT="0" distB="0" distL="0" distR="0">
                                  <wp:extent cx="704850" cy="3524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4850" cy="352425"/>
                                          </a:xfrm>
                                          <a:prstGeom prst="rect">
                                            <a:avLst/>
                                          </a:prstGeom>
                                          <a:noFill/>
                                          <a:ln>
                                            <a:noFill/>
                                          </a:ln>
                                        </pic:spPr>
                                      </pic:pic>
                                    </a:graphicData>
                                  </a:graphic>
                                </wp:inline>
                              </w:drawing>
                            </w:r>
                            <w:r w:rsidRPr="00BF077E">
                              <w:rPr>
                                <w:rFonts w:ascii="Times" w:eastAsia="Batang" w:hAnsi="Times" w:cs="Times New Roman"/>
                                <w:sz w:val="20"/>
                                <w:szCs w:val="24"/>
                                <w:lang w:eastAsia="x-none"/>
                              </w:rPr>
                              <w:t>. Note that normal cyclic prefix is assumed.</w:t>
                            </w:r>
                          </w:p>
                          <w:p w:rsidR="0098150B"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4762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RB allocation in bandwidth </w:t>
                            </w:r>
                            <w:r>
                              <w:rPr>
                                <w:rFonts w:ascii="Times" w:eastAsia="Batang" w:hAnsi="Times" w:cs="Times New Roman"/>
                                <w:noProof/>
                                <w:position w:val="-6"/>
                                <w:sz w:val="20"/>
                                <w:szCs w:val="24"/>
                              </w:rPr>
                              <w:drawing>
                                <wp:inline distT="0" distB="0" distL="0" distR="0">
                                  <wp:extent cx="3524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with numerology </w:t>
                            </w:r>
                            <w:r>
                              <w:rPr>
                                <w:rFonts w:ascii="Times" w:eastAsia="Batang" w:hAnsi="Times" w:cs="Times New Roman"/>
                                <w:noProof/>
                                <w:position w:val="-10"/>
                                <w:sz w:val="20"/>
                                <w:szCs w:val="24"/>
                              </w:rPr>
                              <w:drawing>
                                <wp:inline distT="0" distB="0" distL="0" distR="0">
                                  <wp:extent cx="14287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as given in TR 38.817-01 section 4.5.1 (to be eventually defined in TS 38.101),</w:t>
                            </w:r>
                            <w:r w:rsidRPr="00BF077E">
                              <w:rPr>
                                <w:rFonts w:ascii="Times" w:eastAsia="Batang" w:hAnsi="Times" w:cs="Times New Roman"/>
                                <w:sz w:val="20"/>
                                <w:szCs w:val="24"/>
                                <w:lang w:eastAsia="x-none"/>
                              </w:rPr>
                              <w:t xml:space="preserve"> where </w:t>
                            </w:r>
                            <w:r>
                              <w:rPr>
                                <w:rFonts w:ascii="Times" w:eastAsia="Batang" w:hAnsi="Times" w:cs="Times New Roman"/>
                                <w:noProof/>
                                <w:position w:val="-6"/>
                                <w:sz w:val="20"/>
                                <w:szCs w:val="24"/>
                              </w:rPr>
                              <w:drawing>
                                <wp:inline distT="0" distB="0" distL="0" distR="0">
                                  <wp:extent cx="3524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is the UE supported maximum bandwidth in the given band or band combination</w:t>
                            </w:r>
                          </w:p>
                          <w:p w:rsidR="0098150B" w:rsidRPr="00011336"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color w:val="FF0000"/>
                                <w:sz w:val="20"/>
                                <w:szCs w:val="24"/>
                                <w:lang w:val="en-GB" w:eastAsia="x-none"/>
                              </w:rPr>
                            </w:pPr>
                            <w:r w:rsidRPr="00011336">
                              <w:rPr>
                                <w:color w:val="FF0000"/>
                                <w:position w:val="-6"/>
                              </w:rPr>
                              <w:object w:dxaOrig="680" w:dyaOrig="320">
                                <v:shape id="_x0000_i1029" type="#_x0000_t75" style="width:33.75pt;height:15.75pt" o:ole="">
                                  <v:imagedata r:id="rId22" o:title=""/>
                                </v:shape>
                                <o:OLEObject Type="Embed" ProgID="Equation.3" ShapeID="_x0000_i1029" DrawAspect="Content" ObjectID="_1577299101" r:id="rId23"/>
                              </w:object>
                            </w:r>
                            <w:r w:rsidRPr="00011336">
                              <w:rPr>
                                <w:rFonts w:ascii="Times New Roman" w:eastAsia="SimSun" w:hAnsi="Times New Roman" w:cs="Times New Roman" w:hint="eastAsia"/>
                                <w:color w:val="FF0000"/>
                                <w:sz w:val="20"/>
                                <w:szCs w:val="20"/>
                                <w:lang w:val="en-GB" w:eastAsia="zh-CN"/>
                              </w:rPr>
                              <w:t xml:space="preserve"> is determined according to Subclause </w:t>
                            </w:r>
                            <w:r>
                              <w:rPr>
                                <w:rFonts w:ascii="Times New Roman" w:eastAsia="SimSun" w:hAnsi="Times New Roman" w:cs="Times New Roman"/>
                                <w:color w:val="FF0000"/>
                                <w:sz w:val="20"/>
                                <w:szCs w:val="20"/>
                                <w:lang w:val="en-GB" w:eastAsia="zh-CN"/>
                              </w:rPr>
                              <w:t>5.1.3.2</w:t>
                            </w:r>
                            <w:r>
                              <w:rPr>
                                <w:rFonts w:ascii="Times New Roman" w:eastAsia="SimSun" w:hAnsi="Times New Roman" w:cs="Times New Roman" w:hint="eastAsia"/>
                                <w:color w:val="FF0000"/>
                                <w:sz w:val="20"/>
                                <w:szCs w:val="20"/>
                                <w:lang w:val="en-GB" w:eastAsia="zh-CN"/>
                              </w:rPr>
                              <w:t xml:space="preserve"> in TS38.214</w:t>
                            </w:r>
                            <w:r w:rsidRPr="00011336">
                              <w:rPr>
                                <w:rFonts w:ascii="Times New Roman" w:eastAsia="SimSun" w:hAnsi="Times New Roman" w:cs="Times New Roman" w:hint="eastAsia"/>
                                <w:color w:val="FF0000"/>
                                <w:sz w:val="20"/>
                                <w:szCs w:val="20"/>
                                <w:lang w:val="en-GB" w:eastAsia="zh-CN"/>
                              </w:rPr>
                              <w:t xml:space="preserve"> assuming the following:</w: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Pr>
                                <w:rFonts w:ascii="Times New Roman" w:eastAsia="SimSun" w:hAnsi="Times New Roman" w:cs="Times New Roman"/>
                                <w:color w:val="FF0000"/>
                                <w:sz w:val="20"/>
                                <w:szCs w:val="20"/>
                                <w:lang w:val="en-GB" w:eastAsia="zh-CN"/>
                              </w:rPr>
                              <w:t xml:space="preserve">Number of layers is </w:t>
                            </w:r>
                            <w:r w:rsidRPr="00400504">
                              <w:rPr>
                                <w:position w:val="-16"/>
                              </w:rPr>
                              <w:object w:dxaOrig="499" w:dyaOrig="420">
                                <v:shape id="_x0000_i1030" type="#_x0000_t75" style="width:25.5pt;height:20.25pt" o:ole="">
                                  <v:imagedata r:id="rId24" o:title=""/>
                                </v:shape>
                                <o:OLEObject Type="Embed" ProgID="Equation.3" ShapeID="_x0000_i1030" DrawAspect="Content" ObjectID="_1577299102" r:id="rId25"/>
                              </w:object>
                            </w:r>
                            <w:r>
                              <w:rPr>
                                <w:rFonts w:ascii="Times New Roman" w:eastAsia="SimSun" w:hAnsi="Times New Roman" w:cs="Times New Roman"/>
                                <w:color w:val="FF0000"/>
                                <w:sz w:val="20"/>
                                <w:szCs w:val="20"/>
                                <w:lang w:val="en-GB" w:eastAsia="zh-CN"/>
                              </w:rPr>
                              <w:t>i</w:t>
                            </w:r>
                            <w:r w:rsidRPr="00654DB0">
                              <w:rPr>
                                <w:rFonts w:ascii="Times New Roman" w:eastAsia="SimSun" w:hAnsi="Times New Roman" w:cs="Times New Roman"/>
                                <w:color w:val="FF0000"/>
                                <w:sz w:val="20"/>
                                <w:szCs w:val="20"/>
                                <w:lang w:val="en-GB" w:eastAsia="zh-CN"/>
                              </w:rPr>
                              <w:t xml:space="preserve">f </w:t>
                            </w:r>
                            <w:r w:rsidRPr="00BC5112">
                              <w:rPr>
                                <w:rFonts w:ascii="Times New Roman" w:hAnsi="Times New Roman" w:cs="Times New Roman"/>
                                <w:color w:val="FF0000"/>
                                <w:position w:val="-16"/>
                                <w:sz w:val="20"/>
                                <w:szCs w:val="20"/>
                              </w:rPr>
                              <w:object w:dxaOrig="499" w:dyaOrig="420">
                                <v:shape id="_x0000_i1031" type="#_x0000_t75" style="width:25.5pt;height:20.25pt" o:ole="">
                                  <v:imagedata r:id="rId26" o:title=""/>
                                </v:shape>
                                <o:OLEObject Type="Embed" ProgID="Equation.3" ShapeID="_x0000_i1031" DrawAspect="Content" ObjectID="_1577299103" r:id="rId27"/>
                              </w:object>
                            </w:r>
                            <w:r w:rsidRPr="00BC5112">
                              <w:rPr>
                                <w:rFonts w:ascii="Times New Roman" w:hAnsi="Times New Roman" w:cs="Times New Roman"/>
                                <w:color w:val="FF0000"/>
                                <w:sz w:val="20"/>
                                <w:szCs w:val="20"/>
                              </w:rPr>
                              <w:t>&lt;=4, otherwise number of layers is</w:t>
                            </w:r>
                            <w:r w:rsidRPr="00BC5112">
                              <w:rPr>
                                <w:color w:val="FF0000"/>
                              </w:rPr>
                              <w:t xml:space="preserve"> </w:t>
                            </w:r>
                            <w:r w:rsidRPr="00400504">
                              <w:rPr>
                                <w:position w:val="-16"/>
                              </w:rPr>
                              <w:object w:dxaOrig="840" w:dyaOrig="420">
                                <v:shape id="_x0000_i1032" type="#_x0000_t75" style="width:42pt;height:20.25pt" o:ole="">
                                  <v:imagedata r:id="rId28" o:title=""/>
                                </v:shape>
                                <o:OLEObject Type="Embed" ProgID="Equation.3" ShapeID="_x0000_i1032" DrawAspect="Content" ObjectID="_1577299104" r:id="rId29"/>
                              </w:objec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rFonts w:ascii="Times New Roman" w:eastAsia="SimSun" w:hAnsi="Times New Roman" w:cs="Times New Roman" w:hint="eastAsia"/>
                                <w:color w:val="FF0000"/>
                                <w:sz w:val="20"/>
                                <w:szCs w:val="20"/>
                                <w:lang w:val="en-GB" w:eastAsia="zh-CN"/>
                              </w:rPr>
                              <w:t xml:space="preserve">modulation order </w:t>
                            </w:r>
                            <w:r w:rsidRPr="00011336">
                              <w:rPr>
                                <w:rFonts w:ascii="Times New Roman" w:eastAsia="SimSun" w:hAnsi="Times New Roman" w:cs="Times New Roman"/>
                                <w:color w:val="FF0000"/>
                                <w:sz w:val="20"/>
                                <w:szCs w:val="20"/>
                                <w:lang w:val="en-GB" w:eastAsia="zh-CN"/>
                              </w:rPr>
                              <w:t xml:space="preserve">is </w:t>
                            </w:r>
                            <w:r>
                              <w:rPr>
                                <w:rFonts w:eastAsia="MS Mincho"/>
                                <w:noProof/>
                                <w:color w:val="FF0000"/>
                                <w:position w:val="-10"/>
                              </w:rPr>
                              <w:drawing>
                                <wp:inline distT="0" distB="0" distL="0" distR="0">
                                  <wp:extent cx="2476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011336">
                              <w:rPr>
                                <w:rFonts w:ascii="Times New Roman" w:eastAsia="SimSun" w:hAnsi="Times New Roman" w:cs="Times New Roman" w:hint="eastAsia"/>
                                <w:color w:val="FF0000"/>
                                <w:sz w:val="20"/>
                                <w:szCs w:val="20"/>
                                <w:lang w:val="en-GB" w:eastAsia="zh-CN"/>
                              </w:rPr>
                              <w:t>;</w: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rFonts w:ascii="Times New Roman" w:eastAsia="SimSun" w:hAnsi="Times New Roman" w:cs="Times New Roman" w:hint="eastAsia"/>
                                <w:color w:val="FF0000"/>
                                <w:sz w:val="20"/>
                                <w:szCs w:val="20"/>
                                <w:lang w:val="en-GB" w:eastAsia="zh-CN"/>
                              </w:rPr>
                              <w:t xml:space="preserve">coding rate of </w:t>
                            </w:r>
                            <w:r>
                              <w:rPr>
                                <w:rFonts w:ascii="Times New Roman" w:eastAsia="SimSun" w:hAnsi="Times New Roman" w:cs="Times New Roman"/>
                                <w:color w:val="FF0000"/>
                                <w:sz w:val="20"/>
                                <w:szCs w:val="20"/>
                                <w:lang w:val="en-GB" w:eastAsia="zh-CN"/>
                              </w:rPr>
                              <w:t>R</w:t>
                            </w:r>
                            <w:r w:rsidRPr="00654DB0">
                              <w:rPr>
                                <w:rFonts w:ascii="Times New Roman" w:eastAsia="SimSun" w:hAnsi="Times New Roman" w:cs="Times New Roman"/>
                                <w:color w:val="FF0000"/>
                                <w:sz w:val="20"/>
                                <w:szCs w:val="20"/>
                                <w:vertAlign w:val="subscript"/>
                                <w:lang w:val="en-GB" w:eastAsia="zh-CN"/>
                              </w:rPr>
                              <w:t>max</w:t>
                            </w:r>
                            <w:r w:rsidRPr="00011336">
                              <w:rPr>
                                <w:rFonts w:ascii="Times New Roman" w:eastAsia="SimSun" w:hAnsi="Times New Roman" w:cs="Times New Roman" w:hint="eastAsia"/>
                                <w:color w:val="FF0000"/>
                                <w:sz w:val="20"/>
                                <w:szCs w:val="20"/>
                                <w:lang w:val="en-GB" w:eastAsia="zh-CN"/>
                              </w:rPr>
                              <w:t>;</w: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color w:val="FF0000"/>
                                <w:lang w:val="en-GB"/>
                              </w:rPr>
                              <w:object w:dxaOrig="1080" w:dyaOrig="360">
                                <v:shape id="_x0000_i1033" type="#_x0000_t75" style="width:44.25pt;height:15.75pt" o:ole="">
                                  <v:imagedata r:id="rId9" o:title=""/>
                                </v:shape>
                                <o:OLEObject Type="Embed" ProgID="Equation.3" ShapeID="_x0000_i1033" DrawAspect="Content" ObjectID="_1577299105" r:id="rId30"/>
                              </w:object>
                            </w:r>
                            <w:r w:rsidRPr="00011336">
                              <w:rPr>
                                <w:rFonts w:ascii="Times New Roman" w:eastAsia="SimSun" w:hAnsi="Times New Roman" w:cs="Times New Roman"/>
                                <w:color w:val="FF0000"/>
                                <w:sz w:val="20"/>
                                <w:szCs w:val="20"/>
                                <w:lang w:val="en-GB" w:eastAsia="zh-CN"/>
                              </w:rPr>
                              <w:t xml:space="preserve"> </w:t>
                            </w:r>
                          </w:p>
                          <w:p w:rsidR="0098150B"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color w:val="FF0000"/>
                                <w:lang w:val="en-GB"/>
                              </w:rPr>
                              <w:object w:dxaOrig="1500" w:dyaOrig="360">
                                <v:shape id="_x0000_i1034" type="#_x0000_t75" style="width:73.5pt;height:18.75pt" o:ole="">
                                  <v:imagedata r:id="rId31" o:title=""/>
                                </v:shape>
                                <o:OLEObject Type="Embed" ProgID="Equation.3" ShapeID="_x0000_i1034" DrawAspect="Content" ObjectID="_1577299106" r:id="rId32"/>
                              </w:object>
                            </w:r>
                          </w:p>
                          <w:p w:rsidR="0098150B" w:rsidRPr="00011336" w:rsidRDefault="0098150B" w:rsidP="0098150B">
                            <w:pPr>
                              <w:overflowPunct w:val="0"/>
                              <w:autoSpaceDE w:val="0"/>
                              <w:autoSpaceDN w:val="0"/>
                              <w:adjustRightInd w:val="0"/>
                              <w:spacing w:after="180" w:line="240" w:lineRule="auto"/>
                              <w:ind w:left="1719"/>
                              <w:contextualSpacing/>
                              <w:textAlignment w:val="baseline"/>
                              <w:rPr>
                                <w:rFonts w:ascii="Times New Roman" w:eastAsia="SimSun" w:hAnsi="Times New Roman" w:cs="Times New Roman"/>
                                <w:color w:val="FF0000"/>
                                <w:sz w:val="20"/>
                                <w:szCs w:val="20"/>
                                <w:lang w:val="en-GB" w:eastAsia="zh-CN"/>
                              </w:rPr>
                            </w:pP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 xml:space="preserve">Note: Only one of the UL or SUL carriers (the one with the higher data rate) is counted for a cell operating SUL </w:t>
                            </w:r>
                          </w:p>
                          <w:p w:rsidR="0098150B" w:rsidRPr="00BF077E" w:rsidRDefault="0098150B" w:rsidP="0098150B">
                            <w:pPr>
                              <w:numPr>
                                <w:ilvl w:val="0"/>
                                <w:numId w:val="3"/>
                              </w:numPr>
                              <w:spacing w:after="0" w:line="240" w:lineRule="auto"/>
                              <w:ind w:left="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The maximum data rate can be computed as the maximum of the approximate data rates computed using the above formula for each of the supported band or band combinations.</w:t>
                            </w:r>
                          </w:p>
                          <w:p w:rsidR="0098150B" w:rsidRDefault="0098150B" w:rsidP="0098150B"/>
                        </w:txbxContent>
                      </wps:txbx>
                      <wps:bodyPr rot="0" vert="horz" wrap="square" lIns="91440" tIns="45720" rIns="91440" bIns="45720" anchor="t" anchorCtr="0">
                        <a:noAutofit/>
                      </wps:bodyPr>
                    </wps:wsp>
                  </a:graphicData>
                </a:graphic>
              </wp:inline>
            </w:drawing>
          </mc:Choice>
          <mc:Fallback>
            <w:pict>
              <v:shapetype w14:anchorId="3D38D964" id="_x0000_t202" coordsize="21600,21600" o:spt="202" path="m,l,21600r21600,l21600,xe">
                <v:stroke joinstyle="miter"/>
                <v:path gradientshapeok="t" o:connecttype="rect"/>
              </v:shapetype>
              <v:shape id="Text Box 2" o:spid="_x0000_s1026" type="#_x0000_t202" style="width:489.95pt;height:54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">
                <v:textbox>
                  <w:txbxContent>
                    <w:p w:rsidR="0098150B" w:rsidRDefault="0098150B" w:rsidP="0098150B">
                      <w:pPr>
                        <w:overflowPunct w:val="0"/>
                        <w:autoSpaceDE w:val="0"/>
                        <w:autoSpaceDN w:val="0"/>
                        <w:adjustRightInd w:val="0"/>
                        <w:spacing w:after="0" w:line="240" w:lineRule="auto"/>
                        <w:jc w:val="both"/>
                        <w:textAlignment w:val="baseline"/>
                        <w:rPr>
                          <w:b/>
                          <w:color w:val="FF0000"/>
                          <w:u w:val="single"/>
                        </w:rPr>
                      </w:pPr>
                      <w:r w:rsidRPr="001E7FF1">
                        <w:rPr>
                          <w:b/>
                          <w:color w:val="FF0000"/>
                          <w:u w:val="single"/>
                        </w:rPr>
                        <w:t>Peak data rate based on TBS</w:t>
                      </w:r>
                      <w:r>
                        <w:rPr>
                          <w:b/>
                          <w:color w:val="FF0000"/>
                          <w:u w:val="single"/>
                        </w:rPr>
                        <w:t xml:space="preserve"> </w:t>
                      </w:r>
                    </w:p>
                    <w:p w:rsidR="0098150B" w:rsidRDefault="0098150B" w:rsidP="0098150B">
                      <w:pPr>
                        <w:overflowPunct w:val="0"/>
                        <w:autoSpaceDE w:val="0"/>
                        <w:autoSpaceDN w:val="0"/>
                        <w:adjustRightInd w:val="0"/>
                        <w:spacing w:after="0" w:line="240" w:lineRule="auto"/>
                        <w:jc w:val="both"/>
                        <w:textAlignment w:val="baseline"/>
                        <w:rPr>
                          <w:b/>
                          <w:color w:val="FF0000"/>
                          <w:u w:val="single"/>
                        </w:rPr>
                      </w:pPr>
                    </w:p>
                    <w:p w:rsidR="0098150B" w:rsidRPr="00BF077E" w:rsidRDefault="0098150B" w:rsidP="0098150B">
                      <w:pPr>
                        <w:spacing w:after="0" w:line="240" w:lineRule="auto"/>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data rate </w:t>
                      </w:r>
                      <w:r>
                        <w:rPr>
                          <w:rFonts w:ascii="Times New Roman" w:eastAsia="Times New Roman" w:hAnsi="Times New Roman" w:cs="Times New Roman"/>
                          <w:sz w:val="20"/>
                          <w:szCs w:val="20"/>
                          <w:lang w:val="en-GB"/>
                        </w:rPr>
                        <w:t xml:space="preserve">(based on maximum TBS) </w:t>
                      </w:r>
                      <w:r w:rsidRPr="00BF077E">
                        <w:rPr>
                          <w:rFonts w:ascii="Times New Roman" w:eastAsia="Times New Roman" w:hAnsi="Times New Roman" w:cs="Times New Roman"/>
                          <w:sz w:val="20"/>
                          <w:szCs w:val="20"/>
                          <w:lang w:val="en-GB"/>
                        </w:rPr>
                        <w:t xml:space="preserve">for a given number of aggregated carriers in a band or band combination is computed as follows. </w:t>
                      </w:r>
                    </w:p>
                    <w:p w:rsidR="0098150B" w:rsidRPr="001E7FF1" w:rsidRDefault="0098150B" w:rsidP="0098150B">
                      <w:pPr>
                        <w:overflowPunct w:val="0"/>
                        <w:autoSpaceDE w:val="0"/>
                        <w:autoSpaceDN w:val="0"/>
                        <w:adjustRightInd w:val="0"/>
                        <w:spacing w:after="0" w:line="240" w:lineRule="auto"/>
                        <w:jc w:val="both"/>
                        <w:textAlignment w:val="baseline"/>
                        <w:rPr>
                          <w:b/>
                          <w:color w:val="FF0000"/>
                          <w:u w:val="single"/>
                        </w:rPr>
                      </w:pPr>
                    </w:p>
                    <w:p w:rsidR="0098150B" w:rsidRDefault="0098150B" w:rsidP="0098150B">
                      <w:pPr>
                        <w:overflowPunct w:val="0"/>
                        <w:autoSpaceDE w:val="0"/>
                        <w:autoSpaceDN w:val="0"/>
                        <w:adjustRightInd w:val="0"/>
                        <w:spacing w:after="0" w:line="240" w:lineRule="auto"/>
                        <w:jc w:val="center"/>
                        <w:textAlignment w:val="baseline"/>
                      </w:pPr>
                      <w:r w:rsidRPr="00741555">
                        <w:rPr>
                          <w:position w:val="-38"/>
                        </w:rPr>
                        <w:object w:dxaOrig="5280" w:dyaOrig="880">
                          <v:shape id="_x0000_i1028" type="#_x0000_t75" style="width:264pt;height:42.75pt" o:ole="" o:bordertopcolor="red" o:borderleftcolor="red" o:borderbottomcolor="red" o:borderrightcolor="red">
                            <v:imagedata r:id="rId11" o:title=""/>
                            <w10:bordertop type="single" width="8"/>
                            <w10:borderleft type="single" width="8"/>
                            <w10:borderbottom type="single" width="8"/>
                            <w10:borderright type="single" width="8"/>
                          </v:shape>
                          <o:OLEObject Type="Embed" ProgID="Equation.3" ShapeID="_x0000_i1028" DrawAspect="Content" ObjectID="_1577299100" r:id="rId33"/>
                        </w:object>
                      </w:r>
                    </w:p>
                    <w:p w:rsidR="0098150B" w:rsidRPr="001E7FF1" w:rsidRDefault="0098150B" w:rsidP="0098150B">
                      <w:p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1E7FF1">
                        <w:rPr>
                          <w:rFonts w:ascii="Times New Roman" w:hAnsi="Times New Roman" w:cs="Times New Roman"/>
                          <w:sz w:val="20"/>
                          <w:szCs w:val="20"/>
                        </w:rPr>
                        <w:t xml:space="preserve">For the j-th CC, </w:t>
                      </w:r>
                    </w:p>
                    <w:p w:rsidR="0098150B" w:rsidRPr="00BF077E" w:rsidRDefault="0098150B" w:rsidP="0098150B">
                      <w:pPr>
                        <w:spacing w:after="0" w:line="240" w:lineRule="auto"/>
                        <w:ind w:firstLine="360"/>
                        <w:rPr>
                          <w:rFonts w:ascii="Times New Roman" w:eastAsia="Times New Roman" w:hAnsi="Times New Roman" w:cs="Times New Roman"/>
                          <w:sz w:val="20"/>
                          <w:szCs w:val="20"/>
                        </w:rPr>
                      </w:pPr>
                      <w:r w:rsidRPr="00BF077E">
                        <w:rPr>
                          <w:rFonts w:ascii="Times New Roman" w:eastAsia="Times New Roman" w:hAnsi="Times New Roman" w:cs="Times New Roman"/>
                          <w:sz w:val="20"/>
                          <w:szCs w:val="20"/>
                        </w:rPr>
                        <w:t>wherein</w:t>
                      </w: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J is the number of aggregated component carriers in a band or band combination</w:t>
                      </w: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R</w:t>
                      </w:r>
                      <w:r w:rsidRPr="00BF077E">
                        <w:rPr>
                          <w:rFonts w:ascii="Times" w:eastAsia="Batang" w:hAnsi="Times" w:cs="Times New Roman"/>
                          <w:sz w:val="20"/>
                          <w:szCs w:val="24"/>
                          <w:vertAlign w:val="subscript"/>
                          <w:lang w:val="en-GB" w:eastAsia="x-none"/>
                        </w:rPr>
                        <w:t>max</w:t>
                      </w:r>
                      <w:r w:rsidRPr="00BF077E">
                        <w:rPr>
                          <w:rFonts w:ascii="Times" w:eastAsia="Batang" w:hAnsi="Times" w:cs="Times New Roman"/>
                          <w:sz w:val="20"/>
                          <w:szCs w:val="24"/>
                          <w:lang w:val="en-GB" w:eastAsia="x-none"/>
                        </w:rPr>
                        <w:t xml:space="preserve"> = 948/1024</w:t>
                      </w: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For the j-th CC,</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6"/>
                          <w:sz w:val="20"/>
                          <w:szCs w:val="20"/>
                        </w:rPr>
                        <w:drawing>
                          <wp:inline distT="0" distB="0" distL="0" distR="0">
                            <wp:extent cx="30480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number of layers </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0"/>
                          <w:sz w:val="20"/>
                          <w:szCs w:val="20"/>
                        </w:rPr>
                        <w:drawing>
                          <wp:inline distT="0" distB="0" distL="0" distR="0">
                            <wp:extent cx="247650" cy="20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modulation order</w:t>
                      </w:r>
                    </w:p>
                    <w:p w:rsidR="0098150B" w:rsidRPr="00BF077E" w:rsidRDefault="0098150B" w:rsidP="0098150B">
                      <w:pPr>
                        <w:numPr>
                          <w:ilvl w:val="1"/>
                          <w:numId w:val="3"/>
                        </w:numPr>
                        <w:overflowPunct w:val="0"/>
                        <w:autoSpaceDE w:val="0"/>
                        <w:autoSpaceDN w:val="0"/>
                        <w:adjustRightInd w:val="0"/>
                        <w:spacing w:after="0" w:line="240" w:lineRule="auto"/>
                        <w:ind w:left="14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4"/>
                          <w:sz w:val="20"/>
                          <w:szCs w:val="20"/>
                        </w:rPr>
                        <w:drawing>
                          <wp:inline distT="0" distB="0" distL="0" distR="0">
                            <wp:extent cx="238125" cy="2476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is the scaling factor </w:t>
                      </w:r>
                    </w:p>
                    <w:p w:rsidR="0098150B" w:rsidRPr="00BF077E" w:rsidRDefault="0098150B" w:rsidP="0098150B">
                      <w:pPr>
                        <w:numPr>
                          <w:ilvl w:val="3"/>
                          <w:numId w:val="5"/>
                        </w:numPr>
                        <w:spacing w:after="0" w:line="240" w:lineRule="auto"/>
                        <w:ind w:left="216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scaling factor can at least take the values 1 and 0.75. </w:t>
                      </w:r>
                    </w:p>
                    <w:p w:rsidR="0098150B" w:rsidRPr="00BF077E" w:rsidRDefault="0098150B" w:rsidP="0098150B">
                      <w:pPr>
                        <w:numPr>
                          <w:ilvl w:val="3"/>
                          <w:numId w:val="5"/>
                        </w:numPr>
                        <w:spacing w:after="0" w:line="240" w:lineRule="auto"/>
                        <w:ind w:left="2160"/>
                        <w:rPr>
                          <w:rFonts w:ascii="Times New Roman" w:eastAsia="Times New Roman" w:hAnsi="Times New Roman" w:cs="Times New Roman"/>
                          <w:sz w:val="20"/>
                          <w:szCs w:val="20"/>
                          <w:lang w:val="en-GB"/>
                        </w:rPr>
                      </w:pPr>
                      <w:r>
                        <w:rPr>
                          <w:rFonts w:ascii="Times New Roman" w:eastAsia="MS Mincho" w:hAnsi="Times New Roman" w:cs="Times New Roman"/>
                          <w:noProof/>
                          <w:position w:val="-14"/>
                          <w:sz w:val="20"/>
                          <w:szCs w:val="20"/>
                        </w:rPr>
                        <w:drawing>
                          <wp:inline distT="0" distB="0" distL="0" distR="0">
                            <wp:extent cx="238125" cy="2476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New Roman" w:eastAsia="Times New Roman" w:hAnsi="Times New Roman" w:cs="Times New Roman"/>
                          <w:sz w:val="20"/>
                          <w:szCs w:val="20"/>
                          <w:lang w:val="en-GB"/>
                        </w:rPr>
                        <w:t>is signalled per band and per band per band combination as per UE capability signalling</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142875" cy="1524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w:t>
                      </w:r>
                      <w:r w:rsidRPr="00BF077E">
                        <w:rPr>
                          <w:rFonts w:ascii="Times" w:eastAsia="Batang" w:hAnsi="Times" w:cs="Times New Roman"/>
                          <w:sz w:val="20"/>
                          <w:szCs w:val="24"/>
                          <w:lang w:val="en-GB" w:eastAsia="x-none"/>
                        </w:rPr>
                        <w:t>is the numerology (as defined in TS38.211)</w:t>
                      </w:r>
                    </w:p>
                    <w:p w:rsidR="0098150B" w:rsidRPr="00BF077E"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2"/>
                          <w:sz w:val="20"/>
                          <w:szCs w:val="24"/>
                        </w:rPr>
                        <w:drawing>
                          <wp:inline distT="0" distB="0" distL="0" distR="0">
                            <wp:extent cx="20955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is the average OFDM symbol duration in a subframe for numerology </w:t>
                      </w:r>
                      <w:r>
                        <w:rPr>
                          <w:rFonts w:ascii="Times" w:eastAsia="Batang" w:hAnsi="Times" w:cs="Times New Roman"/>
                          <w:noProof/>
                          <w:position w:val="-10"/>
                          <w:sz w:val="20"/>
                          <w:szCs w:val="24"/>
                        </w:rPr>
                        <w:drawing>
                          <wp:inline distT="0" distB="0" distL="0" distR="0">
                            <wp:extent cx="142875" cy="152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i.e. </w:t>
                      </w:r>
                      <w:r>
                        <w:rPr>
                          <w:rFonts w:ascii="Times" w:eastAsia="Batang" w:hAnsi="Times" w:cs="Times New Roman"/>
                          <w:noProof/>
                          <w:position w:val="-22"/>
                          <w:sz w:val="20"/>
                          <w:szCs w:val="24"/>
                        </w:rPr>
                        <w:drawing>
                          <wp:inline distT="0" distB="0" distL="0" distR="0">
                            <wp:extent cx="704850" cy="3524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4850" cy="352425"/>
                                    </a:xfrm>
                                    <a:prstGeom prst="rect">
                                      <a:avLst/>
                                    </a:prstGeom>
                                    <a:noFill/>
                                    <a:ln>
                                      <a:noFill/>
                                    </a:ln>
                                  </pic:spPr>
                                </pic:pic>
                              </a:graphicData>
                            </a:graphic>
                          </wp:inline>
                        </w:drawing>
                      </w:r>
                      <w:r w:rsidRPr="00BF077E">
                        <w:rPr>
                          <w:rFonts w:ascii="Times" w:eastAsia="Batang" w:hAnsi="Times" w:cs="Times New Roman"/>
                          <w:sz w:val="20"/>
                          <w:szCs w:val="24"/>
                          <w:lang w:eastAsia="x-none"/>
                        </w:rPr>
                        <w:t>. Note that normal cyclic prefix is assumed.</w:t>
                      </w:r>
                    </w:p>
                    <w:p w:rsidR="0098150B"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4762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RB allocation in bandwidth </w:t>
                      </w:r>
                      <w:r>
                        <w:rPr>
                          <w:rFonts w:ascii="Times" w:eastAsia="Batang" w:hAnsi="Times" w:cs="Times New Roman"/>
                          <w:noProof/>
                          <w:position w:val="-6"/>
                          <w:sz w:val="20"/>
                          <w:szCs w:val="24"/>
                        </w:rPr>
                        <w:drawing>
                          <wp:inline distT="0" distB="0" distL="0" distR="0">
                            <wp:extent cx="3524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with numerology </w:t>
                      </w:r>
                      <w:r>
                        <w:rPr>
                          <w:rFonts w:ascii="Times" w:eastAsia="Batang" w:hAnsi="Times" w:cs="Times New Roman"/>
                          <w:noProof/>
                          <w:position w:val="-10"/>
                          <w:sz w:val="20"/>
                          <w:szCs w:val="24"/>
                        </w:rPr>
                        <w:drawing>
                          <wp:inline distT="0" distB="0" distL="0" distR="0">
                            <wp:extent cx="14287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as given in TR 38.817-01 section 4.5.1 (to be eventually defined in TS 38.101),</w:t>
                      </w:r>
                      <w:r w:rsidRPr="00BF077E">
                        <w:rPr>
                          <w:rFonts w:ascii="Times" w:eastAsia="Batang" w:hAnsi="Times" w:cs="Times New Roman"/>
                          <w:sz w:val="20"/>
                          <w:szCs w:val="24"/>
                          <w:lang w:eastAsia="x-none"/>
                        </w:rPr>
                        <w:t xml:space="preserve"> where </w:t>
                      </w:r>
                      <w:r>
                        <w:rPr>
                          <w:rFonts w:ascii="Times" w:eastAsia="Batang" w:hAnsi="Times" w:cs="Times New Roman"/>
                          <w:noProof/>
                          <w:position w:val="-6"/>
                          <w:sz w:val="20"/>
                          <w:szCs w:val="24"/>
                        </w:rPr>
                        <w:drawing>
                          <wp:inline distT="0" distB="0" distL="0" distR="0">
                            <wp:extent cx="3524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is the UE supported maximum bandwidth in the given band or band combination</w:t>
                      </w:r>
                    </w:p>
                    <w:p w:rsidR="0098150B" w:rsidRPr="00011336" w:rsidRDefault="0098150B" w:rsidP="0098150B">
                      <w:pPr>
                        <w:numPr>
                          <w:ilvl w:val="1"/>
                          <w:numId w:val="3"/>
                        </w:numPr>
                        <w:overflowPunct w:val="0"/>
                        <w:autoSpaceDE w:val="0"/>
                        <w:autoSpaceDN w:val="0"/>
                        <w:adjustRightInd w:val="0"/>
                        <w:spacing w:after="180" w:line="240" w:lineRule="auto"/>
                        <w:ind w:left="1440"/>
                        <w:contextualSpacing/>
                        <w:textAlignment w:val="baseline"/>
                        <w:rPr>
                          <w:rFonts w:ascii="Times" w:eastAsia="Batang" w:hAnsi="Times" w:cs="Times New Roman"/>
                          <w:color w:val="FF0000"/>
                          <w:sz w:val="20"/>
                          <w:szCs w:val="24"/>
                          <w:lang w:val="en-GB" w:eastAsia="x-none"/>
                        </w:rPr>
                      </w:pPr>
                      <w:r w:rsidRPr="00011336">
                        <w:rPr>
                          <w:color w:val="FF0000"/>
                          <w:position w:val="-6"/>
                        </w:rPr>
                        <w:object w:dxaOrig="680" w:dyaOrig="320">
                          <v:shape id="_x0000_i1029" type="#_x0000_t75" style="width:33.75pt;height:15.75pt" o:ole="">
                            <v:imagedata r:id="rId22" o:title=""/>
                          </v:shape>
                          <o:OLEObject Type="Embed" ProgID="Equation.3" ShapeID="_x0000_i1029" DrawAspect="Content" ObjectID="_1577299101" r:id="rId34"/>
                        </w:object>
                      </w:r>
                      <w:r w:rsidRPr="00011336">
                        <w:rPr>
                          <w:rFonts w:ascii="Times New Roman" w:eastAsia="SimSun" w:hAnsi="Times New Roman" w:cs="Times New Roman" w:hint="eastAsia"/>
                          <w:color w:val="FF0000"/>
                          <w:sz w:val="20"/>
                          <w:szCs w:val="20"/>
                          <w:lang w:val="en-GB" w:eastAsia="zh-CN"/>
                        </w:rPr>
                        <w:t xml:space="preserve"> is determined according to Subclause </w:t>
                      </w:r>
                      <w:r>
                        <w:rPr>
                          <w:rFonts w:ascii="Times New Roman" w:eastAsia="SimSun" w:hAnsi="Times New Roman" w:cs="Times New Roman"/>
                          <w:color w:val="FF0000"/>
                          <w:sz w:val="20"/>
                          <w:szCs w:val="20"/>
                          <w:lang w:val="en-GB" w:eastAsia="zh-CN"/>
                        </w:rPr>
                        <w:t>5.1.3.2</w:t>
                      </w:r>
                      <w:r>
                        <w:rPr>
                          <w:rFonts w:ascii="Times New Roman" w:eastAsia="SimSun" w:hAnsi="Times New Roman" w:cs="Times New Roman" w:hint="eastAsia"/>
                          <w:color w:val="FF0000"/>
                          <w:sz w:val="20"/>
                          <w:szCs w:val="20"/>
                          <w:lang w:val="en-GB" w:eastAsia="zh-CN"/>
                        </w:rPr>
                        <w:t xml:space="preserve"> in TS38.214</w:t>
                      </w:r>
                      <w:r w:rsidRPr="00011336">
                        <w:rPr>
                          <w:rFonts w:ascii="Times New Roman" w:eastAsia="SimSun" w:hAnsi="Times New Roman" w:cs="Times New Roman" w:hint="eastAsia"/>
                          <w:color w:val="FF0000"/>
                          <w:sz w:val="20"/>
                          <w:szCs w:val="20"/>
                          <w:lang w:val="en-GB" w:eastAsia="zh-CN"/>
                        </w:rPr>
                        <w:t xml:space="preserve"> assuming the following:</w: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Pr>
                          <w:rFonts w:ascii="Times New Roman" w:eastAsia="SimSun" w:hAnsi="Times New Roman" w:cs="Times New Roman"/>
                          <w:color w:val="FF0000"/>
                          <w:sz w:val="20"/>
                          <w:szCs w:val="20"/>
                          <w:lang w:val="en-GB" w:eastAsia="zh-CN"/>
                        </w:rPr>
                        <w:t xml:space="preserve">Number of layers is </w:t>
                      </w:r>
                      <w:r w:rsidRPr="00400504">
                        <w:rPr>
                          <w:position w:val="-16"/>
                        </w:rPr>
                        <w:object w:dxaOrig="499" w:dyaOrig="420">
                          <v:shape id="_x0000_i1030" type="#_x0000_t75" style="width:25.5pt;height:20.25pt" o:ole="">
                            <v:imagedata r:id="rId24" o:title=""/>
                          </v:shape>
                          <o:OLEObject Type="Embed" ProgID="Equation.3" ShapeID="_x0000_i1030" DrawAspect="Content" ObjectID="_1577299102" r:id="rId35"/>
                        </w:object>
                      </w:r>
                      <w:r>
                        <w:rPr>
                          <w:rFonts w:ascii="Times New Roman" w:eastAsia="SimSun" w:hAnsi="Times New Roman" w:cs="Times New Roman"/>
                          <w:color w:val="FF0000"/>
                          <w:sz w:val="20"/>
                          <w:szCs w:val="20"/>
                          <w:lang w:val="en-GB" w:eastAsia="zh-CN"/>
                        </w:rPr>
                        <w:t>i</w:t>
                      </w:r>
                      <w:r w:rsidRPr="00654DB0">
                        <w:rPr>
                          <w:rFonts w:ascii="Times New Roman" w:eastAsia="SimSun" w:hAnsi="Times New Roman" w:cs="Times New Roman"/>
                          <w:color w:val="FF0000"/>
                          <w:sz w:val="20"/>
                          <w:szCs w:val="20"/>
                          <w:lang w:val="en-GB" w:eastAsia="zh-CN"/>
                        </w:rPr>
                        <w:t xml:space="preserve">f </w:t>
                      </w:r>
                      <w:r w:rsidRPr="00BC5112">
                        <w:rPr>
                          <w:rFonts w:ascii="Times New Roman" w:hAnsi="Times New Roman" w:cs="Times New Roman"/>
                          <w:color w:val="FF0000"/>
                          <w:position w:val="-16"/>
                          <w:sz w:val="20"/>
                          <w:szCs w:val="20"/>
                        </w:rPr>
                        <w:object w:dxaOrig="499" w:dyaOrig="420">
                          <v:shape id="_x0000_i1031" type="#_x0000_t75" style="width:25.5pt;height:20.25pt" o:ole="">
                            <v:imagedata r:id="rId26" o:title=""/>
                          </v:shape>
                          <o:OLEObject Type="Embed" ProgID="Equation.3" ShapeID="_x0000_i1031" DrawAspect="Content" ObjectID="_1577299103" r:id="rId36"/>
                        </w:object>
                      </w:r>
                      <w:r w:rsidRPr="00BC5112">
                        <w:rPr>
                          <w:rFonts w:ascii="Times New Roman" w:hAnsi="Times New Roman" w:cs="Times New Roman"/>
                          <w:color w:val="FF0000"/>
                          <w:sz w:val="20"/>
                          <w:szCs w:val="20"/>
                        </w:rPr>
                        <w:t>&lt;=4, otherwise number of layers is</w:t>
                      </w:r>
                      <w:r w:rsidRPr="00BC5112">
                        <w:rPr>
                          <w:color w:val="FF0000"/>
                        </w:rPr>
                        <w:t xml:space="preserve"> </w:t>
                      </w:r>
                      <w:r w:rsidRPr="00400504">
                        <w:rPr>
                          <w:position w:val="-16"/>
                        </w:rPr>
                        <w:object w:dxaOrig="840" w:dyaOrig="420">
                          <v:shape id="_x0000_i1032" type="#_x0000_t75" style="width:42pt;height:20.25pt" o:ole="">
                            <v:imagedata r:id="rId28" o:title=""/>
                          </v:shape>
                          <o:OLEObject Type="Embed" ProgID="Equation.3" ShapeID="_x0000_i1032" DrawAspect="Content" ObjectID="_1577299104" r:id="rId37"/>
                        </w:objec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rFonts w:ascii="Times New Roman" w:eastAsia="SimSun" w:hAnsi="Times New Roman" w:cs="Times New Roman" w:hint="eastAsia"/>
                          <w:color w:val="FF0000"/>
                          <w:sz w:val="20"/>
                          <w:szCs w:val="20"/>
                          <w:lang w:val="en-GB" w:eastAsia="zh-CN"/>
                        </w:rPr>
                        <w:t xml:space="preserve">modulation order </w:t>
                      </w:r>
                      <w:r w:rsidRPr="00011336">
                        <w:rPr>
                          <w:rFonts w:ascii="Times New Roman" w:eastAsia="SimSun" w:hAnsi="Times New Roman" w:cs="Times New Roman"/>
                          <w:color w:val="FF0000"/>
                          <w:sz w:val="20"/>
                          <w:szCs w:val="20"/>
                          <w:lang w:val="en-GB" w:eastAsia="zh-CN"/>
                        </w:rPr>
                        <w:t xml:space="preserve">is </w:t>
                      </w:r>
                      <w:r>
                        <w:rPr>
                          <w:rFonts w:eastAsia="MS Mincho"/>
                          <w:noProof/>
                          <w:color w:val="FF0000"/>
                          <w:position w:val="-10"/>
                        </w:rPr>
                        <w:drawing>
                          <wp:inline distT="0" distB="0" distL="0" distR="0">
                            <wp:extent cx="2476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011336">
                        <w:rPr>
                          <w:rFonts w:ascii="Times New Roman" w:eastAsia="SimSun" w:hAnsi="Times New Roman" w:cs="Times New Roman" w:hint="eastAsia"/>
                          <w:color w:val="FF0000"/>
                          <w:sz w:val="20"/>
                          <w:szCs w:val="20"/>
                          <w:lang w:val="en-GB" w:eastAsia="zh-CN"/>
                        </w:rPr>
                        <w:t>;</w: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rFonts w:ascii="Times New Roman" w:eastAsia="SimSun" w:hAnsi="Times New Roman" w:cs="Times New Roman" w:hint="eastAsia"/>
                          <w:color w:val="FF0000"/>
                          <w:sz w:val="20"/>
                          <w:szCs w:val="20"/>
                          <w:lang w:val="en-GB" w:eastAsia="zh-CN"/>
                        </w:rPr>
                        <w:t xml:space="preserve">coding rate of </w:t>
                      </w:r>
                      <w:r>
                        <w:rPr>
                          <w:rFonts w:ascii="Times New Roman" w:eastAsia="SimSun" w:hAnsi="Times New Roman" w:cs="Times New Roman"/>
                          <w:color w:val="FF0000"/>
                          <w:sz w:val="20"/>
                          <w:szCs w:val="20"/>
                          <w:lang w:val="en-GB" w:eastAsia="zh-CN"/>
                        </w:rPr>
                        <w:t>R</w:t>
                      </w:r>
                      <w:r w:rsidRPr="00654DB0">
                        <w:rPr>
                          <w:rFonts w:ascii="Times New Roman" w:eastAsia="SimSun" w:hAnsi="Times New Roman" w:cs="Times New Roman"/>
                          <w:color w:val="FF0000"/>
                          <w:sz w:val="20"/>
                          <w:szCs w:val="20"/>
                          <w:vertAlign w:val="subscript"/>
                          <w:lang w:val="en-GB" w:eastAsia="zh-CN"/>
                        </w:rPr>
                        <w:t>max</w:t>
                      </w:r>
                      <w:r w:rsidRPr="00011336">
                        <w:rPr>
                          <w:rFonts w:ascii="Times New Roman" w:eastAsia="SimSun" w:hAnsi="Times New Roman" w:cs="Times New Roman" w:hint="eastAsia"/>
                          <w:color w:val="FF0000"/>
                          <w:sz w:val="20"/>
                          <w:szCs w:val="20"/>
                          <w:lang w:val="en-GB" w:eastAsia="zh-CN"/>
                        </w:rPr>
                        <w:t>;</w:t>
                      </w:r>
                    </w:p>
                    <w:p w:rsidR="0098150B" w:rsidRPr="00011336"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color w:val="FF0000"/>
                          <w:lang w:val="en-GB"/>
                        </w:rPr>
                        <w:object w:dxaOrig="1080" w:dyaOrig="360">
                          <v:shape id="_x0000_i1033" type="#_x0000_t75" style="width:44.25pt;height:15.75pt" o:ole="">
                            <v:imagedata r:id="rId9" o:title=""/>
                          </v:shape>
                          <o:OLEObject Type="Embed" ProgID="Equation.3" ShapeID="_x0000_i1033" DrawAspect="Content" ObjectID="_1577299105" r:id="rId38"/>
                        </w:object>
                      </w:r>
                      <w:r w:rsidRPr="00011336">
                        <w:rPr>
                          <w:rFonts w:ascii="Times New Roman" w:eastAsia="SimSun" w:hAnsi="Times New Roman" w:cs="Times New Roman"/>
                          <w:color w:val="FF0000"/>
                          <w:sz w:val="20"/>
                          <w:szCs w:val="20"/>
                          <w:lang w:val="en-GB" w:eastAsia="zh-CN"/>
                        </w:rPr>
                        <w:t xml:space="preserve"> </w:t>
                      </w:r>
                    </w:p>
                    <w:p w:rsidR="0098150B" w:rsidRDefault="0098150B" w:rsidP="0098150B">
                      <w:pPr>
                        <w:numPr>
                          <w:ilvl w:val="4"/>
                          <w:numId w:val="3"/>
                        </w:numPr>
                        <w:overflowPunct w:val="0"/>
                        <w:autoSpaceDE w:val="0"/>
                        <w:autoSpaceDN w:val="0"/>
                        <w:adjustRightInd w:val="0"/>
                        <w:spacing w:after="180" w:line="240" w:lineRule="auto"/>
                        <w:ind w:left="2079"/>
                        <w:contextualSpacing/>
                        <w:textAlignment w:val="baseline"/>
                        <w:rPr>
                          <w:rFonts w:ascii="Times New Roman" w:eastAsia="SimSun" w:hAnsi="Times New Roman" w:cs="Times New Roman"/>
                          <w:color w:val="FF0000"/>
                          <w:sz w:val="20"/>
                          <w:szCs w:val="20"/>
                          <w:lang w:val="en-GB" w:eastAsia="zh-CN"/>
                        </w:rPr>
                      </w:pPr>
                      <w:r w:rsidRPr="00011336">
                        <w:rPr>
                          <w:color w:val="FF0000"/>
                          <w:lang w:val="en-GB"/>
                        </w:rPr>
                        <w:object w:dxaOrig="1500" w:dyaOrig="360">
                          <v:shape id="_x0000_i1034" type="#_x0000_t75" style="width:73.5pt;height:18.75pt" o:ole="">
                            <v:imagedata r:id="rId31" o:title=""/>
                          </v:shape>
                          <o:OLEObject Type="Embed" ProgID="Equation.3" ShapeID="_x0000_i1034" DrawAspect="Content" ObjectID="_1577299106" r:id="rId39"/>
                        </w:object>
                      </w:r>
                    </w:p>
                    <w:p w:rsidR="0098150B" w:rsidRPr="00011336" w:rsidRDefault="0098150B" w:rsidP="0098150B">
                      <w:pPr>
                        <w:overflowPunct w:val="0"/>
                        <w:autoSpaceDE w:val="0"/>
                        <w:autoSpaceDN w:val="0"/>
                        <w:adjustRightInd w:val="0"/>
                        <w:spacing w:after="180" w:line="240" w:lineRule="auto"/>
                        <w:ind w:left="1719"/>
                        <w:contextualSpacing/>
                        <w:textAlignment w:val="baseline"/>
                        <w:rPr>
                          <w:rFonts w:ascii="Times New Roman" w:eastAsia="SimSun" w:hAnsi="Times New Roman" w:cs="Times New Roman"/>
                          <w:color w:val="FF0000"/>
                          <w:sz w:val="20"/>
                          <w:szCs w:val="20"/>
                          <w:lang w:val="en-GB" w:eastAsia="zh-CN"/>
                        </w:rPr>
                      </w:pPr>
                    </w:p>
                    <w:p w:rsidR="0098150B" w:rsidRPr="00BF077E" w:rsidRDefault="0098150B" w:rsidP="0098150B">
                      <w:pPr>
                        <w:numPr>
                          <w:ilvl w:val="0"/>
                          <w:numId w:val="3"/>
                        </w:numPr>
                        <w:overflowPunct w:val="0"/>
                        <w:autoSpaceDE w:val="0"/>
                        <w:autoSpaceDN w:val="0"/>
                        <w:adjustRightInd w:val="0"/>
                        <w:spacing w:after="180" w:line="240" w:lineRule="auto"/>
                        <w:ind w:left="7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 xml:space="preserve">Note: Only one of the UL or SUL carriers (the one with the higher data rate) is counted for a cell operating SUL </w:t>
                      </w:r>
                    </w:p>
                    <w:p w:rsidR="0098150B" w:rsidRPr="00BF077E" w:rsidRDefault="0098150B" w:rsidP="0098150B">
                      <w:pPr>
                        <w:numPr>
                          <w:ilvl w:val="0"/>
                          <w:numId w:val="3"/>
                        </w:numPr>
                        <w:spacing w:after="0" w:line="240" w:lineRule="auto"/>
                        <w:ind w:left="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The maximum data rate can be computed as the maximum of the approximate data rates computed using the above formula for each of the supported band or band combinations.</w:t>
                      </w:r>
                    </w:p>
                    <w:p w:rsidR="0098150B" w:rsidRDefault="0098150B" w:rsidP="0098150B"/>
                  </w:txbxContent>
                </v:textbox>
                <w10:anchorlock/>
              </v:shape>
            </w:pict>
          </mc:Fallback>
        </mc:AlternateContent>
      </w:r>
    </w:p>
    <w:p w:rsidR="0098150B" w:rsidRPr="000C42AE" w:rsidRDefault="0098150B" w:rsidP="0098150B">
      <w:pPr>
        <w:pStyle w:val="Caption"/>
        <w:jc w:val="center"/>
        <w:rPr>
          <w:rFonts w:ascii="Times New Roman" w:eastAsia="SimSun" w:hAnsi="Times New Roman" w:cs="Times New Roman"/>
          <w:sz w:val="22"/>
          <w:szCs w:val="22"/>
        </w:rPr>
      </w:pPr>
      <w:r w:rsidRPr="000C42AE">
        <w:rPr>
          <w:sz w:val="22"/>
          <w:szCs w:val="22"/>
        </w:rPr>
        <w:t xml:space="preserve">Figure </w:t>
      </w:r>
      <w:r w:rsidRPr="000C42AE">
        <w:rPr>
          <w:sz w:val="22"/>
          <w:szCs w:val="22"/>
        </w:rPr>
        <w:fldChar w:fldCharType="begin"/>
      </w:r>
      <w:r w:rsidRPr="000C42AE">
        <w:rPr>
          <w:sz w:val="22"/>
          <w:szCs w:val="22"/>
        </w:rPr>
        <w:instrText xml:space="preserve"> SEQ Figure \* ARABIC </w:instrText>
      </w:r>
      <w:r w:rsidRPr="000C42AE">
        <w:rPr>
          <w:sz w:val="22"/>
          <w:szCs w:val="22"/>
        </w:rPr>
        <w:fldChar w:fldCharType="separate"/>
      </w:r>
      <w:r w:rsidRPr="000C42AE">
        <w:rPr>
          <w:noProof/>
          <w:sz w:val="22"/>
          <w:szCs w:val="22"/>
        </w:rPr>
        <w:t>1</w:t>
      </w:r>
      <w:r w:rsidRPr="000C42AE">
        <w:rPr>
          <w:sz w:val="22"/>
          <w:szCs w:val="22"/>
        </w:rPr>
        <w:fldChar w:fldCharType="end"/>
      </w:r>
      <w:r w:rsidRPr="000C42AE">
        <w:rPr>
          <w:sz w:val="22"/>
          <w:szCs w:val="22"/>
        </w:rPr>
        <w:t>. Peak data rate based on TBS.</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p>
    <w:p w:rsidR="0098150B" w:rsidRDefault="0098150B" w:rsidP="0098150B">
      <w:pPr>
        <w:pStyle w:val="ListParagraph"/>
        <w:overflowPunct w:val="0"/>
        <w:autoSpaceDE w:val="0"/>
        <w:autoSpaceDN w:val="0"/>
        <w:adjustRightInd w:val="0"/>
        <w:spacing w:before="240" w:after="120" w:line="240" w:lineRule="auto"/>
        <w:ind w:left="0"/>
        <w:contextualSpacing w:val="0"/>
        <w:jc w:val="both"/>
        <w:textAlignment w:val="baseline"/>
        <w:rPr>
          <w:rFonts w:ascii="Times New Roman" w:hAnsi="Times New Roman" w:cs="Times New Roman"/>
          <w:sz w:val="20"/>
          <w:szCs w:val="20"/>
        </w:rPr>
      </w:pPr>
      <w:r w:rsidRPr="00A65FF7">
        <w:rPr>
          <w:rFonts w:ascii="Times New Roman" w:hAnsi="Times New Roman" w:cs="Times New Roman"/>
          <w:sz w:val="20"/>
          <w:szCs w:val="20"/>
        </w:rPr>
        <w:lastRenderedPageBreak/>
        <w:t xml:space="preserve">In last RAN1 meeting it was agreed to support scaling factor values of 1 and 0.75 for data rate. </w:t>
      </w:r>
      <w:r>
        <w:rPr>
          <w:rFonts w:ascii="Times New Roman" w:hAnsi="Times New Roman" w:cs="Times New Roman"/>
          <w:sz w:val="20"/>
          <w:szCs w:val="20"/>
        </w:rPr>
        <w:t xml:space="preserve">We think that in addition to these values, some additional values could provide more flexibility in data rates. For example, it was discussed whether the same principle can be applied to support 64QAM modulation with a data rate corresponding to 16QAM, which yields a scaling factor value of 2/3. Thus, we think that some flexibility should be provided to support additional scaling factor values. </w:t>
      </w:r>
    </w:p>
    <w:p w:rsidR="0098150B" w:rsidRDefault="0098150B" w:rsidP="0098150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98150B" w:rsidRDefault="0098150B" w:rsidP="0098150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017B">
        <w:rPr>
          <w:rFonts w:ascii="Times New Roman" w:hAnsi="Times New Roman" w:cs="Times New Roman"/>
          <w:sz w:val="20"/>
          <w:szCs w:val="20"/>
        </w:rPr>
        <w:t xml:space="preserve">In this contribution, we </w:t>
      </w:r>
      <w:r>
        <w:rPr>
          <w:rFonts w:ascii="Times New Roman" w:hAnsi="Times New Roman" w:cs="Times New Roman"/>
          <w:sz w:val="20"/>
          <w:szCs w:val="20"/>
        </w:rPr>
        <w:t xml:space="preserve">have </w:t>
      </w:r>
      <w:r w:rsidRPr="000F017B">
        <w:rPr>
          <w:rFonts w:ascii="Times New Roman" w:hAnsi="Times New Roman" w:cs="Times New Roman"/>
          <w:sz w:val="20"/>
          <w:szCs w:val="20"/>
        </w:rPr>
        <w:t>discuss</w:t>
      </w:r>
      <w:r>
        <w:rPr>
          <w:rFonts w:ascii="Times New Roman" w:hAnsi="Times New Roman" w:cs="Times New Roman"/>
          <w:sz w:val="20"/>
          <w:szCs w:val="20"/>
        </w:rPr>
        <w:t>ed</w:t>
      </w:r>
      <w:r w:rsidRPr="000F017B">
        <w:rPr>
          <w:rFonts w:ascii="Times New Roman" w:hAnsi="Times New Roman" w:cs="Times New Roman"/>
          <w:sz w:val="20"/>
          <w:szCs w:val="20"/>
        </w:rPr>
        <w:t xml:space="preserve"> some </w:t>
      </w:r>
      <w:r>
        <w:rPr>
          <w:rFonts w:ascii="Times New Roman" w:hAnsi="Times New Roman" w:cs="Times New Roman"/>
          <w:sz w:val="20"/>
          <w:szCs w:val="20"/>
        </w:rPr>
        <w:t>possible improvements of 3GPP TS 38.212, made the following observations and proposals:</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b/>
          <w:sz w:val="20"/>
          <w:szCs w:val="20"/>
        </w:rPr>
      </w:pPr>
      <w:r w:rsidRPr="009D0437">
        <w:rPr>
          <w:rFonts w:ascii="Times New Roman" w:eastAsia="SimSun" w:hAnsi="Times New Roman" w:cs="Times New Roman"/>
          <w:b/>
          <w:sz w:val="20"/>
          <w:szCs w:val="20"/>
        </w:rPr>
        <w:t xml:space="preserve">Observation </w:t>
      </w:r>
      <w:r>
        <w:rPr>
          <w:rFonts w:ascii="Times New Roman" w:eastAsia="SimSun" w:hAnsi="Times New Roman" w:cs="Times New Roman"/>
          <w:b/>
          <w:sz w:val="20"/>
          <w:szCs w:val="20"/>
        </w:rPr>
        <w:t>1</w:t>
      </w:r>
      <w:r w:rsidRPr="009D0437">
        <w:rPr>
          <w:rFonts w:ascii="Times New Roman" w:eastAsia="SimSun" w:hAnsi="Times New Roman" w:cs="Times New Roman"/>
          <w:b/>
          <w:sz w:val="20"/>
          <w:szCs w:val="20"/>
        </w:rPr>
        <w:t>: The overhead value for Downlink/uplink transport block size calculation can be as small as 0.0714</w:t>
      </w:r>
      <w:r>
        <w:rPr>
          <w:rFonts w:ascii="Times New Roman" w:eastAsia="SimSun" w:hAnsi="Times New Roman" w:cs="Times New Roman"/>
          <w:b/>
          <w:sz w:val="20"/>
          <w:szCs w:val="20"/>
        </w:rPr>
        <w:t>, which can be significantly different from the average OH assumed for approximate data rate calculation</w:t>
      </w:r>
      <w:r w:rsidRPr="009D0437">
        <w:rPr>
          <w:rFonts w:ascii="Times New Roman" w:eastAsia="SimSun" w:hAnsi="Times New Roman" w:cs="Times New Roman"/>
          <w:b/>
          <w:sz w:val="20"/>
          <w:szCs w:val="20"/>
        </w:rPr>
        <w:t>.</w:t>
      </w:r>
    </w:p>
    <w:p w:rsidR="0098150B"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b/>
          <w:sz w:val="20"/>
          <w:szCs w:val="20"/>
        </w:rPr>
      </w:pPr>
    </w:p>
    <w:p w:rsidR="0098150B" w:rsidRPr="00EA135C" w:rsidRDefault="0098150B" w:rsidP="0098150B">
      <w:pPr>
        <w:overflowPunct w:val="0"/>
        <w:autoSpaceDE w:val="0"/>
        <w:autoSpaceDN w:val="0"/>
        <w:adjustRightInd w:val="0"/>
        <w:spacing w:after="0" w:line="240" w:lineRule="auto"/>
        <w:jc w:val="both"/>
        <w:textAlignment w:val="baseline"/>
        <w:rPr>
          <w:rFonts w:ascii="Times New Roman" w:eastAsia="SimSun" w:hAnsi="Times New Roman" w:cs="Times New Roman"/>
          <w:b/>
          <w:sz w:val="20"/>
          <w:szCs w:val="20"/>
        </w:rPr>
      </w:pPr>
      <w:r w:rsidRPr="00741555">
        <w:rPr>
          <w:rFonts w:ascii="Times New Roman" w:eastAsia="SimSun" w:hAnsi="Times New Roman" w:cs="Times New Roman"/>
          <w:b/>
          <w:sz w:val="20"/>
          <w:szCs w:val="20"/>
        </w:rPr>
        <w:t xml:space="preserve">Proposal 1:   RAN1 should </w:t>
      </w:r>
      <w:r>
        <w:rPr>
          <w:rFonts w:ascii="Times New Roman" w:eastAsia="SimSun" w:hAnsi="Times New Roman" w:cs="Times New Roman"/>
          <w:b/>
          <w:sz w:val="20"/>
          <w:szCs w:val="20"/>
        </w:rPr>
        <w:t xml:space="preserve">also consider </w:t>
      </w:r>
      <w:r w:rsidRPr="00EA135C">
        <w:rPr>
          <w:rFonts w:ascii="Times New Roman" w:eastAsia="SimSun" w:hAnsi="Times New Roman" w:cs="Times New Roman"/>
          <w:b/>
          <w:sz w:val="20"/>
          <w:szCs w:val="20"/>
        </w:rPr>
        <w:t>us</w:t>
      </w:r>
      <w:r>
        <w:rPr>
          <w:rFonts w:ascii="Times New Roman" w:eastAsia="SimSun" w:hAnsi="Times New Roman" w:cs="Times New Roman"/>
          <w:b/>
          <w:sz w:val="20"/>
          <w:szCs w:val="20"/>
        </w:rPr>
        <w:t>ing</w:t>
      </w:r>
      <w:r w:rsidRPr="00EA135C">
        <w:rPr>
          <w:rFonts w:ascii="Times New Roman" w:eastAsia="SimSun" w:hAnsi="Times New Roman" w:cs="Times New Roman"/>
          <w:b/>
          <w:sz w:val="20"/>
          <w:szCs w:val="20"/>
        </w:rPr>
        <w:t xml:space="preserve"> a TBS based formulation of the peak data rate (An example formula shown in Figure </w:t>
      </w:r>
      <w:r>
        <w:rPr>
          <w:rFonts w:ascii="Times New Roman" w:eastAsia="SimSun" w:hAnsi="Times New Roman" w:cs="Times New Roman"/>
          <w:b/>
          <w:sz w:val="20"/>
          <w:szCs w:val="20"/>
        </w:rPr>
        <w:t>1</w:t>
      </w:r>
      <w:r w:rsidRPr="00EA135C">
        <w:rPr>
          <w:rFonts w:ascii="Times New Roman" w:eastAsia="SimSun" w:hAnsi="Times New Roman" w:cs="Times New Roman"/>
          <w:b/>
          <w:sz w:val="20"/>
          <w:szCs w:val="20"/>
        </w:rPr>
        <w:t>)</w:t>
      </w:r>
      <w:r>
        <w:rPr>
          <w:rFonts w:ascii="Times New Roman" w:eastAsia="SimSun" w:hAnsi="Times New Roman" w:cs="Times New Roman"/>
          <w:b/>
          <w:sz w:val="20"/>
          <w:szCs w:val="20"/>
        </w:rPr>
        <w:t>.</w:t>
      </w:r>
    </w:p>
    <w:p w:rsidR="0098150B" w:rsidRPr="007019B4" w:rsidRDefault="0098150B" w:rsidP="0098150B">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98150B" w:rsidRPr="006E2904" w:rsidRDefault="0098150B" w:rsidP="0098150B">
      <w:pPr>
        <w:rPr>
          <w:rFonts w:ascii="Times New Roman" w:hAnsi="Times New Roman" w:cs="Times New Roman"/>
          <w:sz w:val="20"/>
          <w:szCs w:val="20"/>
        </w:rPr>
      </w:pPr>
      <w:r w:rsidRPr="006E2904">
        <w:rPr>
          <w:rFonts w:ascii="Times New Roman" w:hAnsi="Times New Roman" w:cs="Times New Roman"/>
          <w:sz w:val="20"/>
          <w:szCs w:val="20"/>
        </w:rPr>
        <w:t xml:space="preserve"> [</w:t>
      </w:r>
      <w:r>
        <w:rPr>
          <w:rFonts w:ascii="Times New Roman" w:hAnsi="Times New Roman" w:cs="Times New Roman"/>
          <w:sz w:val="20"/>
          <w:szCs w:val="20"/>
        </w:rPr>
        <w:t>1</w:t>
      </w:r>
      <w:r w:rsidRPr="006E2904">
        <w:rPr>
          <w:rFonts w:ascii="Times New Roman" w:hAnsi="Times New Roman" w:cs="Times New Roman"/>
          <w:sz w:val="20"/>
          <w:szCs w:val="20"/>
        </w:rPr>
        <w:t xml:space="preserve">] </w:t>
      </w:r>
      <w:r>
        <w:rPr>
          <w:rFonts w:ascii="Times New Roman" w:hAnsi="Times New Roman" w:cs="Times New Roman"/>
          <w:sz w:val="20"/>
          <w:szCs w:val="20"/>
        </w:rPr>
        <w:t>R1-1721733, LS to RAN2</w:t>
      </w:r>
    </w:p>
    <w:p w:rsidR="0098150B" w:rsidRDefault="0098150B" w:rsidP="0098150B"/>
    <w:p w:rsidR="0098150B" w:rsidRDefault="0098150B" w:rsidP="0098150B"/>
    <w:p w:rsidR="0098150B" w:rsidRDefault="0098150B" w:rsidP="0098150B"/>
    <w:p w:rsidR="0098150B" w:rsidRDefault="0098150B" w:rsidP="0098150B"/>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Default="0098150B" w:rsidP="0098150B">
      <w:pPr>
        <w:jc w:val="center"/>
        <w:rPr>
          <w:b/>
        </w:rPr>
      </w:pPr>
    </w:p>
    <w:p w:rsidR="0098150B" w:rsidRPr="00BF077E" w:rsidRDefault="0098150B" w:rsidP="0098150B">
      <w:pPr>
        <w:jc w:val="center"/>
        <w:rPr>
          <w:b/>
        </w:rPr>
      </w:pPr>
      <w:r w:rsidRPr="00BF077E">
        <w:rPr>
          <w:b/>
        </w:rPr>
        <w:lastRenderedPageBreak/>
        <w:t xml:space="preserve">Annex A </w:t>
      </w:r>
    </w:p>
    <w:p w:rsidR="0098150B" w:rsidRDefault="0098150B" w:rsidP="0098150B">
      <w:r w:rsidRPr="00BF077E">
        <w:rPr>
          <w:b/>
          <w:noProof/>
        </w:rPr>
        <mc:AlternateContent>
          <mc:Choice Requires="wps">
            <w:drawing>
              <wp:inline distT="0" distB="0" distL="0" distR="0" wp14:anchorId="08E20A3E" wp14:editId="62AFA04C">
                <wp:extent cx="6316980" cy="6667500"/>
                <wp:effectExtent l="0" t="0" r="2667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6667500"/>
                        </a:xfrm>
                        <a:prstGeom prst="rect">
                          <a:avLst/>
                        </a:prstGeom>
                        <a:solidFill>
                          <a:srgbClr val="FFFFFF"/>
                        </a:solidFill>
                        <a:ln w="9525">
                          <a:solidFill>
                            <a:srgbClr val="000000"/>
                          </a:solidFill>
                          <a:miter lim="800000"/>
                          <a:headEnd/>
                          <a:tailEnd/>
                        </a:ln>
                      </wps:spPr>
                      <wps:txbx>
                        <w:txbxContent>
                          <w:p w:rsidR="0098150B" w:rsidRPr="001E7FF1" w:rsidRDefault="0098150B" w:rsidP="0098150B">
                            <w:pPr>
                              <w:rPr>
                                <w:rFonts w:ascii="Times New Roman" w:eastAsia="Times New Roman" w:hAnsi="Times New Roman" w:cs="Times New Roman"/>
                                <w:b/>
                                <w:color w:val="FF0000"/>
                                <w:sz w:val="20"/>
                                <w:szCs w:val="20"/>
                                <w:u w:val="single"/>
                                <w:lang w:val="en-GB"/>
                              </w:rPr>
                            </w:pPr>
                            <w:r w:rsidRPr="001E7FF1">
                              <w:rPr>
                                <w:rFonts w:ascii="Times New Roman" w:eastAsia="Times New Roman" w:hAnsi="Times New Roman" w:cs="Times New Roman"/>
                                <w:b/>
                                <w:color w:val="FF0000"/>
                                <w:sz w:val="20"/>
                                <w:szCs w:val="20"/>
                                <w:u w:val="single"/>
                                <w:lang w:val="en-GB"/>
                              </w:rPr>
                              <w:t xml:space="preserve">Text of approximate data rate LS </w:t>
                            </w:r>
                            <w:r>
                              <w:rPr>
                                <w:rFonts w:ascii="Times New Roman" w:eastAsia="Times New Roman" w:hAnsi="Times New Roman" w:cs="Times New Roman"/>
                                <w:b/>
                                <w:color w:val="FF0000"/>
                                <w:sz w:val="20"/>
                                <w:szCs w:val="20"/>
                                <w:u w:val="single"/>
                                <w:lang w:val="en-GB"/>
                              </w:rPr>
                              <w:t xml:space="preserve"> (R1-1721733)</w:t>
                            </w:r>
                          </w:p>
                          <w:p w:rsidR="0098150B" w:rsidRPr="00BF077E" w:rsidRDefault="0098150B" w:rsidP="0098150B">
                            <w:pPr>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RAN1 has continued the discussion on how to derive to determine the L1 data rate and have modified the formula and concluded on overhead numbers based on that (</w:t>
                            </w:r>
                            <w:r w:rsidRPr="00BF077E">
                              <w:rPr>
                                <w:rFonts w:ascii="Times New Roman" w:eastAsia="Times New Roman" w:hAnsi="Times New Roman" w:cs="Times New Roman"/>
                                <w:bCs/>
                                <w:sz w:val="20"/>
                                <w:szCs w:val="20"/>
                                <w:lang w:val="en-GB"/>
                              </w:rPr>
                              <w:t>which supersedes the previous conclusion in R1-1721723</w:t>
                            </w:r>
                            <w:r w:rsidRPr="00BF077E">
                              <w:rPr>
                                <w:rFonts w:ascii="Times New Roman" w:eastAsia="Times New Roman" w:hAnsi="Times New Roman" w:cs="Times New Roman"/>
                                <w:sz w:val="20"/>
                                <w:szCs w:val="20"/>
                                <w:lang w:val="en-GB"/>
                              </w:rPr>
                              <w:t>). The RAN1 conclusion is as follows.</w:t>
                            </w:r>
                          </w:p>
                          <w:p w:rsidR="0098150B" w:rsidRPr="00BF077E" w:rsidRDefault="0098150B" w:rsidP="0098150B">
                            <w:pPr>
                              <w:spacing w:after="0" w:line="240" w:lineRule="auto"/>
                              <w:rPr>
                                <w:rFonts w:ascii="Times New Roman" w:eastAsia="Times New Roman" w:hAnsi="Times New Roman" w:cs="Times New Roman"/>
                                <w:sz w:val="20"/>
                                <w:szCs w:val="20"/>
                                <w:lang w:val="en-GB"/>
                              </w:rPr>
                            </w:pPr>
                          </w:p>
                          <w:p w:rsidR="0098150B" w:rsidRPr="00BF077E" w:rsidRDefault="0098150B" w:rsidP="0098150B">
                            <w:pPr>
                              <w:spacing w:after="0" w:line="240" w:lineRule="auto"/>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approximate data rate for a given number of aggregated carriers in a band or band combination is computed as follows. </w:t>
                            </w:r>
                          </w:p>
                          <w:p w:rsidR="0098150B" w:rsidRPr="00BF077E" w:rsidRDefault="0098150B" w:rsidP="0098150B">
                            <w:pPr>
                              <w:numPr>
                                <w:ilvl w:val="0"/>
                                <w:numId w:val="4"/>
                              </w:numPr>
                              <w:spacing w:after="0" w:line="240" w:lineRule="auto"/>
                              <w:ind w:left="1080"/>
                              <w:rPr>
                                <w:rFonts w:ascii="Times New Roman" w:eastAsia="Times New Roman" w:hAnsi="Times New Roman" w:cs="Times New Roman"/>
                                <w:sz w:val="20"/>
                                <w:szCs w:val="20"/>
                              </w:rPr>
                            </w:pPr>
                            <w:r>
                              <w:rPr>
                                <w:rFonts w:ascii="Times New Roman" w:eastAsia="Times New Roman" w:hAnsi="Times New Roman" w:cs="Times New Roman"/>
                                <w:noProof/>
                                <w:position w:val="-30"/>
                                <w:sz w:val="20"/>
                                <w:szCs w:val="20"/>
                              </w:rPr>
                              <w:drawing>
                                <wp:inline distT="0" distB="0" distL="0" distR="0">
                                  <wp:extent cx="4200525" cy="4381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00525" cy="438150"/>
                                          </a:xfrm>
                                          <a:prstGeom prst="rect">
                                            <a:avLst/>
                                          </a:prstGeom>
                                          <a:noFill/>
                                          <a:ln>
                                            <a:noFill/>
                                          </a:ln>
                                        </pic:spPr>
                                      </pic:pic>
                                    </a:graphicData>
                                  </a:graphic>
                                </wp:inline>
                              </w:drawing>
                            </w:r>
                          </w:p>
                          <w:p w:rsidR="0098150B" w:rsidRPr="00BF077E" w:rsidRDefault="0098150B" w:rsidP="0098150B">
                            <w:pPr>
                              <w:spacing w:after="0" w:line="240" w:lineRule="auto"/>
                              <w:ind w:left="1800"/>
                              <w:rPr>
                                <w:rFonts w:ascii="Times New Roman" w:eastAsia="Times New Roman" w:hAnsi="Times New Roman" w:cs="Times New Roman"/>
                                <w:sz w:val="20"/>
                                <w:szCs w:val="20"/>
                              </w:rPr>
                            </w:pPr>
                            <w:r w:rsidRPr="00BF077E">
                              <w:rPr>
                                <w:rFonts w:ascii="Times New Roman" w:eastAsia="Times New Roman" w:hAnsi="Times New Roman" w:cs="Times New Roman"/>
                                <w:sz w:val="20"/>
                                <w:szCs w:val="20"/>
                              </w:rPr>
                              <w:t>wherein</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J is the number of aggregated component carriers in a band or band combination</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R</w:t>
                            </w:r>
                            <w:r w:rsidRPr="00BF077E">
                              <w:rPr>
                                <w:rFonts w:ascii="Times" w:eastAsia="Batang" w:hAnsi="Times" w:cs="Times New Roman"/>
                                <w:sz w:val="20"/>
                                <w:szCs w:val="24"/>
                                <w:vertAlign w:val="subscript"/>
                                <w:lang w:val="en-GB" w:eastAsia="x-none"/>
                              </w:rPr>
                              <w:t>max</w:t>
                            </w:r>
                            <w:r w:rsidRPr="00BF077E">
                              <w:rPr>
                                <w:rFonts w:ascii="Times" w:eastAsia="Batang" w:hAnsi="Times" w:cs="Times New Roman"/>
                                <w:sz w:val="20"/>
                                <w:szCs w:val="24"/>
                                <w:lang w:val="en-GB" w:eastAsia="x-none"/>
                              </w:rPr>
                              <w:t xml:space="preserve"> = 948/1024</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For the j-th CC,</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6"/>
                                <w:sz w:val="20"/>
                                <w:szCs w:val="20"/>
                              </w:rPr>
                              <w:drawing>
                                <wp:inline distT="0" distB="0" distL="0" distR="0">
                                  <wp:extent cx="3048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number of layers </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0"/>
                                <w:sz w:val="20"/>
                                <w:szCs w:val="20"/>
                              </w:rPr>
                              <w:drawing>
                                <wp:inline distT="0" distB="0" distL="0" distR="0">
                                  <wp:extent cx="2476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modulation order</w:t>
                            </w:r>
                          </w:p>
                          <w:p w:rsidR="0098150B" w:rsidRPr="00BF077E" w:rsidRDefault="0098150B" w:rsidP="0098150B">
                            <w:pPr>
                              <w:numPr>
                                <w:ilvl w:val="1"/>
                                <w:numId w:val="3"/>
                              </w:numPr>
                              <w:overflowPunct w:val="0"/>
                              <w:autoSpaceDE w:val="0"/>
                              <w:autoSpaceDN w:val="0"/>
                              <w:adjustRightInd w:val="0"/>
                              <w:spacing w:after="0" w:line="240" w:lineRule="auto"/>
                              <w:ind w:left="32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4"/>
                                <w:sz w:val="20"/>
                                <w:szCs w:val="20"/>
                              </w:rPr>
                              <w:drawing>
                                <wp:inline distT="0" distB="0" distL="0" distR="0">
                                  <wp:extent cx="238125" cy="2476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is the scaling factor </w:t>
                            </w:r>
                          </w:p>
                          <w:p w:rsidR="0098150B" w:rsidRPr="00BF077E" w:rsidRDefault="0098150B" w:rsidP="0098150B">
                            <w:pPr>
                              <w:numPr>
                                <w:ilvl w:val="3"/>
                                <w:numId w:val="5"/>
                              </w:numPr>
                              <w:spacing w:after="0" w:line="240" w:lineRule="auto"/>
                              <w:ind w:left="396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scaling factor can at least take the values 1 and 0.75. </w:t>
                            </w:r>
                          </w:p>
                          <w:p w:rsidR="0098150B" w:rsidRPr="00BF077E" w:rsidRDefault="0098150B" w:rsidP="0098150B">
                            <w:pPr>
                              <w:numPr>
                                <w:ilvl w:val="3"/>
                                <w:numId w:val="5"/>
                              </w:numPr>
                              <w:spacing w:after="0" w:line="240" w:lineRule="auto"/>
                              <w:ind w:left="3960"/>
                              <w:rPr>
                                <w:rFonts w:ascii="Times New Roman" w:eastAsia="Times New Roman" w:hAnsi="Times New Roman" w:cs="Times New Roman"/>
                                <w:sz w:val="20"/>
                                <w:szCs w:val="20"/>
                                <w:lang w:val="en-GB"/>
                              </w:rPr>
                            </w:pPr>
                            <w:r>
                              <w:rPr>
                                <w:rFonts w:ascii="Times New Roman" w:eastAsia="MS Mincho" w:hAnsi="Times New Roman" w:cs="Times New Roman"/>
                                <w:noProof/>
                                <w:position w:val="-14"/>
                                <w:sz w:val="20"/>
                                <w:szCs w:val="20"/>
                              </w:rPr>
                              <w:drawing>
                                <wp:inline distT="0" distB="0" distL="0" distR="0">
                                  <wp:extent cx="238125" cy="2476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New Roman" w:eastAsia="Times New Roman" w:hAnsi="Times New Roman" w:cs="Times New Roman"/>
                                <w:sz w:val="20"/>
                                <w:szCs w:val="20"/>
                                <w:lang w:val="en-GB"/>
                              </w:rPr>
                              <w:t>is signalled per band and per band per band combination as per UE capability signalling</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1428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w:t>
                            </w:r>
                            <w:r w:rsidRPr="00BF077E">
                              <w:rPr>
                                <w:rFonts w:ascii="Times" w:eastAsia="Batang" w:hAnsi="Times" w:cs="Times New Roman"/>
                                <w:sz w:val="20"/>
                                <w:szCs w:val="24"/>
                                <w:lang w:val="en-GB" w:eastAsia="x-none"/>
                              </w:rPr>
                              <w:t>is the numerology (as defined in TS38.211)</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bookmarkStart w:id="2" w:name="OLE_LINK8"/>
                            <w:r>
                              <w:rPr>
                                <w:rFonts w:ascii="Times" w:eastAsia="Batang" w:hAnsi="Times" w:cs="Times New Roman"/>
                                <w:noProof/>
                                <w:position w:val="-12"/>
                                <w:sz w:val="20"/>
                                <w:szCs w:val="24"/>
                              </w:rPr>
                              <w:drawing>
                                <wp:inline distT="0" distB="0" distL="0" distR="0">
                                  <wp:extent cx="209550" cy="2381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bookmarkEnd w:id="2"/>
                            <w:r w:rsidRPr="00BF077E">
                              <w:rPr>
                                <w:rFonts w:ascii="Times" w:eastAsia="Batang" w:hAnsi="Times" w:cs="Times New Roman"/>
                                <w:sz w:val="20"/>
                                <w:szCs w:val="24"/>
                                <w:lang w:eastAsia="x-none"/>
                              </w:rPr>
                              <w:t xml:space="preserve"> is the average OFDM symbol duration in a subframe for numerology </w:t>
                            </w:r>
                            <w:r>
                              <w:rPr>
                                <w:rFonts w:ascii="Times" w:eastAsia="Batang" w:hAnsi="Times" w:cs="Times New Roman"/>
                                <w:noProof/>
                                <w:position w:val="-10"/>
                                <w:sz w:val="20"/>
                                <w:szCs w:val="24"/>
                              </w:rPr>
                              <w:drawing>
                                <wp:inline distT="0" distB="0" distL="0" distR="0">
                                  <wp:extent cx="14287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i.e. </w:t>
                            </w:r>
                            <w:r>
                              <w:rPr>
                                <w:rFonts w:ascii="Times" w:eastAsia="Batang" w:hAnsi="Times" w:cs="Times New Roman"/>
                                <w:noProof/>
                                <w:position w:val="-22"/>
                                <w:sz w:val="20"/>
                                <w:szCs w:val="24"/>
                              </w:rPr>
                              <w:drawing>
                                <wp:inline distT="0" distB="0" distL="0" distR="0">
                                  <wp:extent cx="704850" cy="3524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4850" cy="352425"/>
                                          </a:xfrm>
                                          <a:prstGeom prst="rect">
                                            <a:avLst/>
                                          </a:prstGeom>
                                          <a:noFill/>
                                          <a:ln>
                                            <a:noFill/>
                                          </a:ln>
                                        </pic:spPr>
                                      </pic:pic>
                                    </a:graphicData>
                                  </a:graphic>
                                </wp:inline>
                              </w:drawing>
                            </w:r>
                            <w:r w:rsidRPr="00BF077E">
                              <w:rPr>
                                <w:rFonts w:ascii="Times" w:eastAsia="Batang" w:hAnsi="Times" w:cs="Times New Roman"/>
                                <w:sz w:val="20"/>
                                <w:szCs w:val="24"/>
                                <w:lang w:eastAsia="x-none"/>
                              </w:rPr>
                              <w:t>. Note that normal cyclic prefix is assumed.</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47625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RB allocation in bandwidth </w:t>
                            </w:r>
                            <w:r>
                              <w:rPr>
                                <w:rFonts w:ascii="Times" w:eastAsia="Batang" w:hAnsi="Times" w:cs="Times New Roman"/>
                                <w:noProof/>
                                <w:position w:val="-6"/>
                                <w:sz w:val="20"/>
                                <w:szCs w:val="24"/>
                              </w:rPr>
                              <w:drawing>
                                <wp:inline distT="0" distB="0" distL="0" distR="0">
                                  <wp:extent cx="3524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with numerology </w:t>
                            </w:r>
                            <w:r>
                              <w:rPr>
                                <w:rFonts w:ascii="Times" w:eastAsia="Batang" w:hAnsi="Times" w:cs="Times New Roman"/>
                                <w:noProof/>
                                <w:position w:val="-10"/>
                                <w:sz w:val="20"/>
                                <w:szCs w:val="24"/>
                              </w:rPr>
                              <w:drawing>
                                <wp:inline distT="0" distB="0" distL="0" distR="0">
                                  <wp:extent cx="142875" cy="1524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as given in TR 38.817-01 section 4.5.1 (to be eventually defined in TS 38.101),</w:t>
                            </w:r>
                            <w:r w:rsidRPr="00BF077E">
                              <w:rPr>
                                <w:rFonts w:ascii="Times" w:eastAsia="Batang" w:hAnsi="Times" w:cs="Times New Roman"/>
                                <w:sz w:val="20"/>
                                <w:szCs w:val="24"/>
                                <w:lang w:eastAsia="x-none"/>
                              </w:rPr>
                              <w:t xml:space="preserve"> where </w:t>
                            </w:r>
                            <w:r>
                              <w:rPr>
                                <w:rFonts w:ascii="Times" w:eastAsia="Batang" w:hAnsi="Times" w:cs="Times New Roman"/>
                                <w:noProof/>
                                <w:position w:val="-6"/>
                                <w:sz w:val="20"/>
                                <w:szCs w:val="24"/>
                              </w:rPr>
                              <w:drawing>
                                <wp:inline distT="0" distB="0" distL="0" distR="0">
                                  <wp:extent cx="3524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is the UE supported maximum bandwidth in the given band or band combination</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sidRPr="00BF077E">
                              <w:rPr>
                                <w:rFonts w:ascii="Times New Roman" w:eastAsia="MS Mincho" w:hAnsi="Times New Roman" w:cs="Times New Roman"/>
                                <w:position w:val="-6"/>
                                <w:sz w:val="20"/>
                                <w:szCs w:val="20"/>
                                <w:lang w:val="en-GB" w:eastAsia="x-none"/>
                              </w:rPr>
                              <w:object w:dxaOrig="560" w:dyaOrig="300">
                                <v:shape id="_x0000_i1035" type="#_x0000_t75" style="width:27.75pt;height:15pt" o:ole="">
                                  <v:imagedata r:id="rId5" o:title=""/>
                                </v:shape>
                                <o:OLEObject Type="Embed" ProgID="Equation.3" ShapeID="_x0000_i1035" DrawAspect="Content" ObjectID="_1577299107" r:id="rId41"/>
                              </w:object>
                            </w:r>
                            <w:r w:rsidRPr="00BF077E">
                              <w:rPr>
                                <w:rFonts w:ascii="Times" w:eastAsia="Batang" w:hAnsi="Times" w:cs="Times New Roman"/>
                                <w:sz w:val="20"/>
                                <w:szCs w:val="24"/>
                                <w:lang w:val="en-GB" w:eastAsia="x-none"/>
                              </w:rPr>
                              <w:t>is the overhead and takes the following values</w:t>
                            </w:r>
                          </w:p>
                          <w:p w:rsidR="0098150B" w:rsidRPr="00BF077E" w:rsidRDefault="0098150B" w:rsidP="0098150B">
                            <w:pPr>
                              <w:numPr>
                                <w:ilvl w:val="3"/>
                                <w:numId w:val="3"/>
                              </w:numPr>
                              <w:spacing w:after="0" w:line="240" w:lineRule="auto"/>
                              <w:ind w:left="3879"/>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0.14, for frequency range FR1 for DL</w:t>
                            </w:r>
                          </w:p>
                          <w:p w:rsidR="0098150B" w:rsidRPr="00BF077E" w:rsidRDefault="0098150B" w:rsidP="0098150B">
                            <w:pPr>
                              <w:numPr>
                                <w:ilvl w:val="3"/>
                                <w:numId w:val="3"/>
                              </w:numPr>
                              <w:spacing w:after="0" w:line="240" w:lineRule="auto"/>
                              <w:ind w:left="3879"/>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0.18, for frequency range FR2 for DL</w:t>
                            </w:r>
                          </w:p>
                          <w:p w:rsidR="0098150B" w:rsidRPr="00BF077E" w:rsidRDefault="0098150B" w:rsidP="0098150B">
                            <w:pPr>
                              <w:numPr>
                                <w:ilvl w:val="3"/>
                                <w:numId w:val="3"/>
                              </w:numPr>
                              <w:spacing w:after="0" w:line="240" w:lineRule="auto"/>
                              <w:ind w:left="3879"/>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0.08, for frequency range FR1 for UL</w:t>
                            </w:r>
                          </w:p>
                          <w:p w:rsidR="0098150B" w:rsidRPr="00BF077E" w:rsidRDefault="0098150B" w:rsidP="0098150B">
                            <w:pPr>
                              <w:numPr>
                                <w:ilvl w:val="3"/>
                                <w:numId w:val="3"/>
                              </w:numPr>
                              <w:spacing w:after="0" w:line="240" w:lineRule="auto"/>
                              <w:ind w:left="3879"/>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0.10, for frequency range FR2 for UL</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 xml:space="preserve">Note: Only one of the UL or SUL carriers (the one with the higher data rate) is counted for a cell operating SUL </w:t>
                            </w:r>
                          </w:p>
                          <w:p w:rsidR="0098150B" w:rsidRPr="00BF077E" w:rsidRDefault="0098150B" w:rsidP="0098150B">
                            <w:pPr>
                              <w:numPr>
                                <w:ilvl w:val="0"/>
                                <w:numId w:val="3"/>
                              </w:numPr>
                              <w:spacing w:after="0" w:line="240" w:lineRule="auto"/>
                              <w:ind w:left="72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The approximate maximum data rate can be computed as the maximum of the approximate data rates computed using the above formula for each of the supported band or band combinations.</w:t>
                            </w:r>
                          </w:p>
                        </w:txbxContent>
                      </wps:txbx>
                      <wps:bodyPr rot="0" vert="horz" wrap="square" lIns="91440" tIns="45720" rIns="91440" bIns="45720" anchor="t" anchorCtr="0">
                        <a:noAutofit/>
                      </wps:bodyPr>
                    </wps:wsp>
                  </a:graphicData>
                </a:graphic>
              </wp:inline>
            </w:drawing>
          </mc:Choice>
          <mc:Fallback>
            <w:pict>
              <v:shape w14:anchorId="08E20A3E" id="_x0000_s1027" type="#_x0000_t202" style="width:497.4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">
                <v:textbox>
                  <w:txbxContent>
                    <w:p w:rsidR="0098150B" w:rsidRPr="001E7FF1" w:rsidRDefault="0098150B" w:rsidP="0098150B">
                      <w:pPr>
                        <w:rPr>
                          <w:rFonts w:ascii="Times New Roman" w:eastAsia="Times New Roman" w:hAnsi="Times New Roman" w:cs="Times New Roman"/>
                          <w:b/>
                          <w:color w:val="FF0000"/>
                          <w:sz w:val="20"/>
                          <w:szCs w:val="20"/>
                          <w:u w:val="single"/>
                          <w:lang w:val="en-GB"/>
                        </w:rPr>
                      </w:pPr>
                      <w:r w:rsidRPr="001E7FF1">
                        <w:rPr>
                          <w:rFonts w:ascii="Times New Roman" w:eastAsia="Times New Roman" w:hAnsi="Times New Roman" w:cs="Times New Roman"/>
                          <w:b/>
                          <w:color w:val="FF0000"/>
                          <w:sz w:val="20"/>
                          <w:szCs w:val="20"/>
                          <w:u w:val="single"/>
                          <w:lang w:val="en-GB"/>
                        </w:rPr>
                        <w:t xml:space="preserve">Text of approximate data rate LS </w:t>
                      </w:r>
                      <w:r>
                        <w:rPr>
                          <w:rFonts w:ascii="Times New Roman" w:eastAsia="Times New Roman" w:hAnsi="Times New Roman" w:cs="Times New Roman"/>
                          <w:b/>
                          <w:color w:val="FF0000"/>
                          <w:sz w:val="20"/>
                          <w:szCs w:val="20"/>
                          <w:u w:val="single"/>
                          <w:lang w:val="en-GB"/>
                        </w:rPr>
                        <w:t xml:space="preserve"> (R1-1721733)</w:t>
                      </w:r>
                    </w:p>
                    <w:p w:rsidR="0098150B" w:rsidRPr="00BF077E" w:rsidRDefault="0098150B" w:rsidP="0098150B">
                      <w:pPr>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RAN1 has continued the discussion on how to derive to determine the L1 data rate and have modified the formula and concluded on overhead numbers based on that (</w:t>
                      </w:r>
                      <w:r w:rsidRPr="00BF077E">
                        <w:rPr>
                          <w:rFonts w:ascii="Times New Roman" w:eastAsia="Times New Roman" w:hAnsi="Times New Roman" w:cs="Times New Roman"/>
                          <w:bCs/>
                          <w:sz w:val="20"/>
                          <w:szCs w:val="20"/>
                          <w:lang w:val="en-GB"/>
                        </w:rPr>
                        <w:t>which supersedes the previous conclusion in R1-1721723</w:t>
                      </w:r>
                      <w:r w:rsidRPr="00BF077E">
                        <w:rPr>
                          <w:rFonts w:ascii="Times New Roman" w:eastAsia="Times New Roman" w:hAnsi="Times New Roman" w:cs="Times New Roman"/>
                          <w:sz w:val="20"/>
                          <w:szCs w:val="20"/>
                          <w:lang w:val="en-GB"/>
                        </w:rPr>
                        <w:t>). The RAN1 conclusion is as follows.</w:t>
                      </w:r>
                    </w:p>
                    <w:p w:rsidR="0098150B" w:rsidRPr="00BF077E" w:rsidRDefault="0098150B" w:rsidP="0098150B">
                      <w:pPr>
                        <w:spacing w:after="0" w:line="240" w:lineRule="auto"/>
                        <w:rPr>
                          <w:rFonts w:ascii="Times New Roman" w:eastAsia="Times New Roman" w:hAnsi="Times New Roman" w:cs="Times New Roman"/>
                          <w:sz w:val="20"/>
                          <w:szCs w:val="20"/>
                          <w:lang w:val="en-GB"/>
                        </w:rPr>
                      </w:pPr>
                    </w:p>
                    <w:p w:rsidR="0098150B" w:rsidRPr="00BF077E" w:rsidRDefault="0098150B" w:rsidP="0098150B">
                      <w:pPr>
                        <w:spacing w:after="0" w:line="240" w:lineRule="auto"/>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approximate data rate for a given number of aggregated carriers in a band or band combination is computed as follows. </w:t>
                      </w:r>
                    </w:p>
                    <w:p w:rsidR="0098150B" w:rsidRPr="00BF077E" w:rsidRDefault="0098150B" w:rsidP="0098150B">
                      <w:pPr>
                        <w:numPr>
                          <w:ilvl w:val="0"/>
                          <w:numId w:val="4"/>
                        </w:numPr>
                        <w:spacing w:after="0" w:line="240" w:lineRule="auto"/>
                        <w:ind w:left="1080"/>
                        <w:rPr>
                          <w:rFonts w:ascii="Times New Roman" w:eastAsia="Times New Roman" w:hAnsi="Times New Roman" w:cs="Times New Roman"/>
                          <w:sz w:val="20"/>
                          <w:szCs w:val="20"/>
                        </w:rPr>
                      </w:pPr>
                      <w:r>
                        <w:rPr>
                          <w:rFonts w:ascii="Times New Roman" w:eastAsia="Times New Roman" w:hAnsi="Times New Roman" w:cs="Times New Roman"/>
                          <w:noProof/>
                          <w:position w:val="-30"/>
                          <w:sz w:val="20"/>
                          <w:szCs w:val="20"/>
                        </w:rPr>
                        <w:drawing>
                          <wp:inline distT="0" distB="0" distL="0" distR="0">
                            <wp:extent cx="4200525" cy="4381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00525" cy="438150"/>
                                    </a:xfrm>
                                    <a:prstGeom prst="rect">
                                      <a:avLst/>
                                    </a:prstGeom>
                                    <a:noFill/>
                                    <a:ln>
                                      <a:noFill/>
                                    </a:ln>
                                  </pic:spPr>
                                </pic:pic>
                              </a:graphicData>
                            </a:graphic>
                          </wp:inline>
                        </w:drawing>
                      </w:r>
                    </w:p>
                    <w:p w:rsidR="0098150B" w:rsidRPr="00BF077E" w:rsidRDefault="0098150B" w:rsidP="0098150B">
                      <w:pPr>
                        <w:spacing w:after="0" w:line="240" w:lineRule="auto"/>
                        <w:ind w:left="1800"/>
                        <w:rPr>
                          <w:rFonts w:ascii="Times New Roman" w:eastAsia="Times New Roman" w:hAnsi="Times New Roman" w:cs="Times New Roman"/>
                          <w:sz w:val="20"/>
                          <w:szCs w:val="20"/>
                        </w:rPr>
                      </w:pPr>
                      <w:r w:rsidRPr="00BF077E">
                        <w:rPr>
                          <w:rFonts w:ascii="Times New Roman" w:eastAsia="Times New Roman" w:hAnsi="Times New Roman" w:cs="Times New Roman"/>
                          <w:sz w:val="20"/>
                          <w:szCs w:val="20"/>
                        </w:rPr>
                        <w:t>wherein</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J is the number of aggregated component carriers in a band or band combination</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R</w:t>
                      </w:r>
                      <w:r w:rsidRPr="00BF077E">
                        <w:rPr>
                          <w:rFonts w:ascii="Times" w:eastAsia="Batang" w:hAnsi="Times" w:cs="Times New Roman"/>
                          <w:sz w:val="20"/>
                          <w:szCs w:val="24"/>
                          <w:vertAlign w:val="subscript"/>
                          <w:lang w:val="en-GB" w:eastAsia="x-none"/>
                        </w:rPr>
                        <w:t>max</w:t>
                      </w:r>
                      <w:r w:rsidRPr="00BF077E">
                        <w:rPr>
                          <w:rFonts w:ascii="Times" w:eastAsia="Batang" w:hAnsi="Times" w:cs="Times New Roman"/>
                          <w:sz w:val="20"/>
                          <w:szCs w:val="24"/>
                          <w:lang w:val="en-GB" w:eastAsia="x-none"/>
                        </w:rPr>
                        <w:t xml:space="preserve"> = 948/1024</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For the j-th CC,</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6"/>
                          <w:sz w:val="20"/>
                          <w:szCs w:val="20"/>
                        </w:rPr>
                        <w:drawing>
                          <wp:inline distT="0" distB="0" distL="0" distR="0">
                            <wp:extent cx="3048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number of layers </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0"/>
                          <w:sz w:val="20"/>
                          <w:szCs w:val="20"/>
                        </w:rPr>
                        <w:drawing>
                          <wp:inline distT="0" distB="0" distL="0" distR="0">
                            <wp:extent cx="2476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modulation order</w:t>
                      </w:r>
                    </w:p>
                    <w:p w:rsidR="0098150B" w:rsidRPr="00BF077E" w:rsidRDefault="0098150B" w:rsidP="0098150B">
                      <w:pPr>
                        <w:numPr>
                          <w:ilvl w:val="1"/>
                          <w:numId w:val="3"/>
                        </w:numPr>
                        <w:overflowPunct w:val="0"/>
                        <w:autoSpaceDE w:val="0"/>
                        <w:autoSpaceDN w:val="0"/>
                        <w:adjustRightInd w:val="0"/>
                        <w:spacing w:after="0" w:line="240" w:lineRule="auto"/>
                        <w:ind w:left="3240"/>
                        <w:contextualSpacing/>
                        <w:textAlignment w:val="baseline"/>
                        <w:rPr>
                          <w:rFonts w:ascii="Times" w:eastAsia="Batang" w:hAnsi="Times" w:cs="Times New Roman"/>
                          <w:sz w:val="20"/>
                          <w:szCs w:val="24"/>
                          <w:lang w:val="en-GB" w:eastAsia="x-none"/>
                        </w:rPr>
                      </w:pPr>
                      <w:r>
                        <w:rPr>
                          <w:rFonts w:ascii="Times New Roman" w:eastAsia="MS Mincho" w:hAnsi="Times New Roman" w:cs="Times New Roman"/>
                          <w:noProof/>
                          <w:position w:val="-14"/>
                          <w:sz w:val="20"/>
                          <w:szCs w:val="20"/>
                        </w:rPr>
                        <w:drawing>
                          <wp:inline distT="0" distB="0" distL="0" distR="0">
                            <wp:extent cx="238125" cy="24765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is the scaling factor </w:t>
                      </w:r>
                    </w:p>
                    <w:p w:rsidR="0098150B" w:rsidRPr="00BF077E" w:rsidRDefault="0098150B" w:rsidP="0098150B">
                      <w:pPr>
                        <w:numPr>
                          <w:ilvl w:val="3"/>
                          <w:numId w:val="5"/>
                        </w:numPr>
                        <w:spacing w:after="0" w:line="240" w:lineRule="auto"/>
                        <w:ind w:left="396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 xml:space="preserve">The scaling factor can at least take the values 1 and 0.75. </w:t>
                      </w:r>
                    </w:p>
                    <w:p w:rsidR="0098150B" w:rsidRPr="00BF077E" w:rsidRDefault="0098150B" w:rsidP="0098150B">
                      <w:pPr>
                        <w:numPr>
                          <w:ilvl w:val="3"/>
                          <w:numId w:val="5"/>
                        </w:numPr>
                        <w:spacing w:after="0" w:line="240" w:lineRule="auto"/>
                        <w:ind w:left="3960"/>
                        <w:rPr>
                          <w:rFonts w:ascii="Times New Roman" w:eastAsia="Times New Roman" w:hAnsi="Times New Roman" w:cs="Times New Roman"/>
                          <w:sz w:val="20"/>
                          <w:szCs w:val="20"/>
                          <w:lang w:val="en-GB"/>
                        </w:rPr>
                      </w:pPr>
                      <w:r>
                        <w:rPr>
                          <w:rFonts w:ascii="Times New Roman" w:eastAsia="MS Mincho" w:hAnsi="Times New Roman" w:cs="Times New Roman"/>
                          <w:noProof/>
                          <w:position w:val="-14"/>
                          <w:sz w:val="20"/>
                          <w:szCs w:val="20"/>
                        </w:rPr>
                        <w:drawing>
                          <wp:inline distT="0" distB="0" distL="0" distR="0">
                            <wp:extent cx="238125" cy="2476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BF077E">
                        <w:rPr>
                          <w:rFonts w:ascii="Times New Roman" w:eastAsia="Times New Roman" w:hAnsi="Times New Roman" w:cs="Times New Roman"/>
                          <w:sz w:val="20"/>
                          <w:szCs w:val="20"/>
                          <w:lang w:val="en-GB"/>
                        </w:rPr>
                        <w:t>is signalled per band and per band per band combination as per UE capability signalling</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1428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w:t>
                      </w:r>
                      <w:r w:rsidRPr="00BF077E">
                        <w:rPr>
                          <w:rFonts w:ascii="Times" w:eastAsia="Batang" w:hAnsi="Times" w:cs="Times New Roman"/>
                          <w:sz w:val="20"/>
                          <w:szCs w:val="24"/>
                          <w:lang w:val="en-GB" w:eastAsia="x-none"/>
                        </w:rPr>
                        <w:t>is the numerology (as defined in TS38.211)</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bookmarkStart w:id="3" w:name="OLE_LINK8"/>
                      <w:r>
                        <w:rPr>
                          <w:rFonts w:ascii="Times" w:eastAsia="Batang" w:hAnsi="Times" w:cs="Times New Roman"/>
                          <w:noProof/>
                          <w:position w:val="-12"/>
                          <w:sz w:val="20"/>
                          <w:szCs w:val="24"/>
                        </w:rPr>
                        <w:drawing>
                          <wp:inline distT="0" distB="0" distL="0" distR="0">
                            <wp:extent cx="209550" cy="2381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bookmarkEnd w:id="3"/>
                      <w:r w:rsidRPr="00BF077E">
                        <w:rPr>
                          <w:rFonts w:ascii="Times" w:eastAsia="Batang" w:hAnsi="Times" w:cs="Times New Roman"/>
                          <w:sz w:val="20"/>
                          <w:szCs w:val="24"/>
                          <w:lang w:eastAsia="x-none"/>
                        </w:rPr>
                        <w:t xml:space="preserve"> is the average OFDM symbol duration in a subframe for numerology </w:t>
                      </w:r>
                      <w:r>
                        <w:rPr>
                          <w:rFonts w:ascii="Times" w:eastAsia="Batang" w:hAnsi="Times" w:cs="Times New Roman"/>
                          <w:noProof/>
                          <w:position w:val="-10"/>
                          <w:sz w:val="20"/>
                          <w:szCs w:val="24"/>
                        </w:rPr>
                        <w:drawing>
                          <wp:inline distT="0" distB="0" distL="0" distR="0">
                            <wp:extent cx="14287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i.e. </w:t>
                      </w:r>
                      <w:r>
                        <w:rPr>
                          <w:rFonts w:ascii="Times" w:eastAsia="Batang" w:hAnsi="Times" w:cs="Times New Roman"/>
                          <w:noProof/>
                          <w:position w:val="-22"/>
                          <w:sz w:val="20"/>
                          <w:szCs w:val="24"/>
                        </w:rPr>
                        <w:drawing>
                          <wp:inline distT="0" distB="0" distL="0" distR="0">
                            <wp:extent cx="704850" cy="3524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4850" cy="352425"/>
                                    </a:xfrm>
                                    <a:prstGeom prst="rect">
                                      <a:avLst/>
                                    </a:prstGeom>
                                    <a:noFill/>
                                    <a:ln>
                                      <a:noFill/>
                                    </a:ln>
                                  </pic:spPr>
                                </pic:pic>
                              </a:graphicData>
                            </a:graphic>
                          </wp:inline>
                        </w:drawing>
                      </w:r>
                      <w:r w:rsidRPr="00BF077E">
                        <w:rPr>
                          <w:rFonts w:ascii="Times" w:eastAsia="Batang" w:hAnsi="Times" w:cs="Times New Roman"/>
                          <w:sz w:val="20"/>
                          <w:szCs w:val="24"/>
                          <w:lang w:eastAsia="x-none"/>
                        </w:rPr>
                        <w:t>. Note that normal cyclic prefix is assumed.</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Pr>
                          <w:rFonts w:ascii="Times" w:eastAsia="Batang" w:hAnsi="Times" w:cs="Times New Roman"/>
                          <w:noProof/>
                          <w:position w:val="-10"/>
                          <w:sz w:val="20"/>
                          <w:szCs w:val="24"/>
                        </w:rPr>
                        <w:drawing>
                          <wp:inline distT="0" distB="0" distL="0" distR="0">
                            <wp:extent cx="47625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is the maximum RB allocation in bandwidth </w:t>
                      </w:r>
                      <w:r>
                        <w:rPr>
                          <w:rFonts w:ascii="Times" w:eastAsia="Batang" w:hAnsi="Times" w:cs="Times New Roman"/>
                          <w:noProof/>
                          <w:position w:val="-6"/>
                          <w:sz w:val="20"/>
                          <w:szCs w:val="24"/>
                        </w:rPr>
                        <w:drawing>
                          <wp:inline distT="0" distB="0" distL="0" distR="0">
                            <wp:extent cx="3524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xml:space="preserve"> with numerology </w:t>
                      </w:r>
                      <w:r>
                        <w:rPr>
                          <w:rFonts w:ascii="Times" w:eastAsia="Batang" w:hAnsi="Times" w:cs="Times New Roman"/>
                          <w:noProof/>
                          <w:position w:val="-10"/>
                          <w:sz w:val="20"/>
                          <w:szCs w:val="24"/>
                        </w:rPr>
                        <w:drawing>
                          <wp:inline distT="0" distB="0" distL="0" distR="0">
                            <wp:extent cx="142875" cy="1524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F077E">
                        <w:rPr>
                          <w:rFonts w:ascii="Times" w:eastAsia="Batang" w:hAnsi="Times" w:cs="Times New Roman"/>
                          <w:sz w:val="20"/>
                          <w:szCs w:val="24"/>
                          <w:lang w:val="en-GB" w:eastAsia="x-none"/>
                        </w:rPr>
                        <w:t>, as given in TR 38.817-01 section 4.5.1 (to be eventually defined in TS 38.101),</w:t>
                      </w:r>
                      <w:r w:rsidRPr="00BF077E">
                        <w:rPr>
                          <w:rFonts w:ascii="Times" w:eastAsia="Batang" w:hAnsi="Times" w:cs="Times New Roman"/>
                          <w:sz w:val="20"/>
                          <w:szCs w:val="24"/>
                          <w:lang w:eastAsia="x-none"/>
                        </w:rPr>
                        <w:t xml:space="preserve"> where </w:t>
                      </w:r>
                      <w:r>
                        <w:rPr>
                          <w:rFonts w:ascii="Times" w:eastAsia="Batang" w:hAnsi="Times" w:cs="Times New Roman"/>
                          <w:noProof/>
                          <w:position w:val="-6"/>
                          <w:sz w:val="20"/>
                          <w:szCs w:val="24"/>
                        </w:rPr>
                        <w:drawing>
                          <wp:inline distT="0" distB="0" distL="0" distR="0">
                            <wp:extent cx="3524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BF077E">
                        <w:rPr>
                          <w:rFonts w:ascii="Times" w:eastAsia="Batang" w:hAnsi="Times" w:cs="Times New Roman"/>
                          <w:sz w:val="20"/>
                          <w:szCs w:val="24"/>
                          <w:lang w:eastAsia="x-none"/>
                        </w:rPr>
                        <w:t xml:space="preserve"> is the UE supported maximum bandwidth in the given band or band combination</w:t>
                      </w:r>
                    </w:p>
                    <w:p w:rsidR="0098150B" w:rsidRPr="00BF077E" w:rsidRDefault="0098150B" w:rsidP="0098150B">
                      <w:pPr>
                        <w:numPr>
                          <w:ilvl w:val="1"/>
                          <w:numId w:val="3"/>
                        </w:numPr>
                        <w:overflowPunct w:val="0"/>
                        <w:autoSpaceDE w:val="0"/>
                        <w:autoSpaceDN w:val="0"/>
                        <w:adjustRightInd w:val="0"/>
                        <w:spacing w:after="180" w:line="240" w:lineRule="auto"/>
                        <w:ind w:left="3240"/>
                        <w:contextualSpacing/>
                        <w:textAlignment w:val="baseline"/>
                        <w:rPr>
                          <w:rFonts w:ascii="Times" w:eastAsia="Batang" w:hAnsi="Times" w:cs="Times New Roman"/>
                          <w:sz w:val="20"/>
                          <w:szCs w:val="24"/>
                          <w:lang w:val="en-GB" w:eastAsia="x-none"/>
                        </w:rPr>
                      </w:pPr>
                      <w:r w:rsidRPr="00BF077E">
                        <w:rPr>
                          <w:rFonts w:ascii="Times New Roman" w:eastAsia="MS Mincho" w:hAnsi="Times New Roman" w:cs="Times New Roman"/>
                          <w:position w:val="-6"/>
                          <w:sz w:val="20"/>
                          <w:szCs w:val="20"/>
                          <w:lang w:val="en-GB" w:eastAsia="x-none"/>
                        </w:rPr>
                        <w:object w:dxaOrig="560" w:dyaOrig="300">
                          <v:shape id="_x0000_i1035" type="#_x0000_t75" style="width:27.75pt;height:15pt" o:ole="">
                            <v:imagedata r:id="rId5" o:title=""/>
                          </v:shape>
                          <o:OLEObject Type="Embed" ProgID="Equation.3" ShapeID="_x0000_i1035" DrawAspect="Content" ObjectID="_1577299107" r:id="rId42"/>
                        </w:object>
                      </w:r>
                      <w:r w:rsidRPr="00BF077E">
                        <w:rPr>
                          <w:rFonts w:ascii="Times" w:eastAsia="Batang" w:hAnsi="Times" w:cs="Times New Roman"/>
                          <w:sz w:val="20"/>
                          <w:szCs w:val="24"/>
                          <w:lang w:val="en-GB" w:eastAsia="x-none"/>
                        </w:rPr>
                        <w:t>is the overhead and takes the following values</w:t>
                      </w:r>
                    </w:p>
                    <w:p w:rsidR="0098150B" w:rsidRPr="00BF077E" w:rsidRDefault="0098150B" w:rsidP="0098150B">
                      <w:pPr>
                        <w:numPr>
                          <w:ilvl w:val="3"/>
                          <w:numId w:val="3"/>
                        </w:numPr>
                        <w:spacing w:after="0" w:line="240" w:lineRule="auto"/>
                        <w:ind w:left="3879"/>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0.14, for frequency range FR1 for DL</w:t>
                      </w:r>
                    </w:p>
                    <w:p w:rsidR="0098150B" w:rsidRPr="00BF077E" w:rsidRDefault="0098150B" w:rsidP="0098150B">
                      <w:pPr>
                        <w:numPr>
                          <w:ilvl w:val="3"/>
                          <w:numId w:val="3"/>
                        </w:numPr>
                        <w:spacing w:after="0" w:line="240" w:lineRule="auto"/>
                        <w:ind w:left="3879"/>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0.18, for frequency range FR2 for DL</w:t>
                      </w:r>
                    </w:p>
                    <w:p w:rsidR="0098150B" w:rsidRPr="00BF077E" w:rsidRDefault="0098150B" w:rsidP="0098150B">
                      <w:pPr>
                        <w:numPr>
                          <w:ilvl w:val="3"/>
                          <w:numId w:val="3"/>
                        </w:numPr>
                        <w:spacing w:after="0" w:line="240" w:lineRule="auto"/>
                        <w:ind w:left="3879"/>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0.08, for frequency range FR1 for UL</w:t>
                      </w:r>
                    </w:p>
                    <w:p w:rsidR="0098150B" w:rsidRPr="00BF077E" w:rsidRDefault="0098150B" w:rsidP="0098150B">
                      <w:pPr>
                        <w:numPr>
                          <w:ilvl w:val="3"/>
                          <w:numId w:val="3"/>
                        </w:numPr>
                        <w:spacing w:after="0" w:line="240" w:lineRule="auto"/>
                        <w:ind w:left="3879"/>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0.10, for frequency range FR2 for UL</w:t>
                      </w:r>
                    </w:p>
                    <w:p w:rsidR="0098150B" w:rsidRPr="00BF077E" w:rsidRDefault="0098150B" w:rsidP="0098150B">
                      <w:pPr>
                        <w:numPr>
                          <w:ilvl w:val="0"/>
                          <w:numId w:val="3"/>
                        </w:numPr>
                        <w:overflowPunct w:val="0"/>
                        <w:autoSpaceDE w:val="0"/>
                        <w:autoSpaceDN w:val="0"/>
                        <w:adjustRightInd w:val="0"/>
                        <w:spacing w:after="180" w:line="240" w:lineRule="auto"/>
                        <w:ind w:left="2520"/>
                        <w:contextualSpacing/>
                        <w:textAlignment w:val="baseline"/>
                        <w:rPr>
                          <w:rFonts w:ascii="Times" w:eastAsia="Batang" w:hAnsi="Times" w:cs="Times New Roman"/>
                          <w:sz w:val="20"/>
                          <w:szCs w:val="24"/>
                          <w:lang w:val="en-GB" w:eastAsia="x-none"/>
                        </w:rPr>
                      </w:pPr>
                      <w:r w:rsidRPr="00BF077E">
                        <w:rPr>
                          <w:rFonts w:ascii="Times" w:eastAsia="Batang" w:hAnsi="Times" w:cs="Times New Roman"/>
                          <w:sz w:val="20"/>
                          <w:szCs w:val="24"/>
                          <w:lang w:val="en-GB" w:eastAsia="x-none"/>
                        </w:rPr>
                        <w:t xml:space="preserve">Note: Only one of the UL or SUL carriers (the one with the higher data rate) is counted for a cell operating SUL </w:t>
                      </w:r>
                    </w:p>
                    <w:p w:rsidR="0098150B" w:rsidRPr="00BF077E" w:rsidRDefault="0098150B" w:rsidP="0098150B">
                      <w:pPr>
                        <w:numPr>
                          <w:ilvl w:val="0"/>
                          <w:numId w:val="3"/>
                        </w:numPr>
                        <w:spacing w:after="0" w:line="240" w:lineRule="auto"/>
                        <w:ind w:left="720"/>
                        <w:rPr>
                          <w:rFonts w:ascii="Times New Roman" w:eastAsia="Times New Roman" w:hAnsi="Times New Roman" w:cs="Times New Roman"/>
                          <w:sz w:val="20"/>
                          <w:szCs w:val="20"/>
                          <w:lang w:val="en-GB"/>
                        </w:rPr>
                      </w:pPr>
                      <w:r w:rsidRPr="00BF077E">
                        <w:rPr>
                          <w:rFonts w:ascii="Times New Roman" w:eastAsia="Times New Roman" w:hAnsi="Times New Roman" w:cs="Times New Roman"/>
                          <w:sz w:val="20"/>
                          <w:szCs w:val="20"/>
                          <w:lang w:val="en-GB"/>
                        </w:rPr>
                        <w:t>The approximate maximum data rate can be computed as the maximum of the approximate data rates computed using the above formula for each of the supported band or band combinations.</w:t>
                      </w:r>
                    </w:p>
                  </w:txbxContent>
                </v:textbox>
                <w10:anchorlock/>
              </v:shape>
            </w:pict>
          </mc:Fallback>
        </mc:AlternateContent>
      </w:r>
    </w:p>
    <w:p w:rsidR="00121326" w:rsidRDefault="00121326"/>
    <w:sectPr w:rsidR="00121326" w:rsidSect="0098150B">
      <w:footerReference w:type="default" r:id="rId43"/>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7156078"/>
      <w:docPartObj>
        <w:docPartGallery w:val="Page Numbers (Bottom of Page)"/>
        <w:docPartUnique/>
      </w:docPartObj>
    </w:sdtPr>
    <w:sdtEndPr>
      <w:rPr>
        <w:noProof/>
      </w:rPr>
    </w:sdtEndPr>
    <w:sdtContent>
      <w:p w:rsidR="009D0437" w:rsidRDefault="009815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9D0437" w:rsidRDefault="0098150B">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A05"/>
    <w:multiLevelType w:val="hybridMultilevel"/>
    <w:tmpl w:val="3D7C4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DB40E3A"/>
    <w:multiLevelType w:val="hybridMultilevel"/>
    <w:tmpl w:val="75F834FE"/>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3"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0B"/>
    <w:rsid w:val="00121326"/>
    <w:rsid w:val="00981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7B9A2B-2AC3-4B17-BB1D-EE663D47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50B"/>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98150B"/>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8150B"/>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98150B"/>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98150B"/>
    <w:pPr>
      <w:tabs>
        <w:tab w:val="center" w:pos="4677"/>
        <w:tab w:val="right" w:pos="9355"/>
      </w:tabs>
      <w:spacing w:after="0" w:line="240" w:lineRule="auto"/>
    </w:pPr>
  </w:style>
  <w:style w:type="character" w:customStyle="1" w:styleId="FooterChar">
    <w:name w:val="Footer Char"/>
    <w:basedOn w:val="DefaultParagraphFont"/>
    <w:link w:val="Footer"/>
    <w:uiPriority w:val="99"/>
    <w:rsid w:val="0098150B"/>
  </w:style>
  <w:style w:type="paragraph" w:styleId="ListParagraph">
    <w:name w:val="List Paragraph"/>
    <w:aliases w:val="- Bullets,목록 단락,リスト段落"/>
    <w:basedOn w:val="Normal"/>
    <w:link w:val="ListParagraphChar"/>
    <w:uiPriority w:val="34"/>
    <w:qFormat/>
    <w:rsid w:val="0098150B"/>
    <w:pPr>
      <w:ind w:left="720"/>
      <w:contextualSpacing/>
    </w:pPr>
  </w:style>
  <w:style w:type="character" w:customStyle="1" w:styleId="ListParagraphChar">
    <w:name w:val="List Paragraph Char"/>
    <w:aliases w:val="- Bullets Char,목록 단락 Char,リスト段落 Char"/>
    <w:link w:val="ListParagraph"/>
    <w:uiPriority w:val="34"/>
    <w:qFormat/>
    <w:rsid w:val="0098150B"/>
  </w:style>
  <w:style w:type="paragraph" w:styleId="Caption">
    <w:name w:val="caption"/>
    <w:basedOn w:val="Normal"/>
    <w:next w:val="Normal"/>
    <w:uiPriority w:val="35"/>
    <w:unhideWhenUsed/>
    <w:qFormat/>
    <w:rsid w:val="0098150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6.wmf"/><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image" Target="media/image13.wmf"/><Relationship Id="rId34" Type="http://schemas.openxmlformats.org/officeDocument/2006/relationships/oleObject" Target="embeddings/oleObject12.bin"/><Relationship Id="rId42" Type="http://schemas.openxmlformats.org/officeDocument/2006/relationships/oleObject" Target="embeddings/oleObject19.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oleObject" Target="embeddings/oleObject8.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7.wmf"/><Relationship Id="rId36"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image" Target="media/image11.wmf"/><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2018-01-13T05:26:00Z</dcterms:created>
  <dcterms:modified xsi:type="dcterms:W3CDTF">2018-01-13T05:27:00Z</dcterms:modified>
</cp:coreProperties>
</file>