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1B75" w14:textId="4C3F0D5C" w:rsidR="002966E4" w:rsidRPr="002175C0" w:rsidRDefault="002966E4" w:rsidP="002966E4">
      <w:pPr>
        <w:pStyle w:val="Header"/>
        <w:tabs>
          <w:tab w:val="left" w:pos="1800"/>
        </w:tabs>
        <w:ind w:left="1800" w:hanging="1800"/>
        <w:rPr>
          <w:sz w:val="22"/>
        </w:rPr>
      </w:pPr>
      <w:bookmarkStart w:id="0" w:name="_Hlk485112250"/>
      <w:bookmarkEnd w:id="0"/>
      <w:r w:rsidRPr="002175C0">
        <w:rPr>
          <w:sz w:val="22"/>
        </w:rPr>
        <w:t>3</w:t>
      </w:r>
      <w:r w:rsidR="00974240">
        <w:rPr>
          <w:sz w:val="22"/>
        </w:rPr>
        <w:t>GPP TSG RAN WG1 NR AH#3</w:t>
      </w:r>
      <w:r w:rsidRPr="002175C0">
        <w:rPr>
          <w:sz w:val="22"/>
        </w:rPr>
        <w:t xml:space="preserve">                                       </w:t>
      </w:r>
      <w:r w:rsidRPr="002175C0">
        <w:rPr>
          <w:sz w:val="22"/>
        </w:rPr>
        <w:tab/>
      </w:r>
      <w:r w:rsidR="00974240">
        <w:rPr>
          <w:sz w:val="22"/>
        </w:rPr>
        <w:tab/>
      </w:r>
      <w:r w:rsidR="00974240">
        <w:rPr>
          <w:sz w:val="22"/>
        </w:rPr>
        <w:tab/>
      </w:r>
      <w:r w:rsidR="00974240">
        <w:rPr>
          <w:sz w:val="22"/>
        </w:rPr>
        <w:tab/>
      </w:r>
      <w:r w:rsidR="00974240">
        <w:rPr>
          <w:sz w:val="22"/>
        </w:rPr>
        <w:tab/>
      </w:r>
      <w:r w:rsidRPr="002175C0">
        <w:rPr>
          <w:sz w:val="22"/>
        </w:rPr>
        <w:t>R1-</w:t>
      </w:r>
      <w:r w:rsidR="0067211F" w:rsidRPr="002175C0">
        <w:rPr>
          <w:sz w:val="22"/>
        </w:rPr>
        <w:t>17</w:t>
      </w:r>
      <w:r w:rsidR="0067211F">
        <w:rPr>
          <w:sz w:val="22"/>
        </w:rPr>
        <w:t>16601</w:t>
      </w:r>
    </w:p>
    <w:p w14:paraId="60F038FC" w14:textId="39E07B8F" w:rsidR="002966E4" w:rsidRPr="002175C0" w:rsidRDefault="00974240" w:rsidP="002966E4">
      <w:pPr>
        <w:pStyle w:val="Header"/>
        <w:tabs>
          <w:tab w:val="left" w:pos="1800"/>
        </w:tabs>
        <w:ind w:left="1800" w:hanging="1800"/>
        <w:rPr>
          <w:sz w:val="22"/>
        </w:rPr>
      </w:pPr>
      <w:r>
        <w:rPr>
          <w:sz w:val="22"/>
        </w:rPr>
        <w:t>Nagoya</w:t>
      </w:r>
      <w:r w:rsidR="002966E4" w:rsidRPr="002175C0">
        <w:rPr>
          <w:sz w:val="22"/>
        </w:rPr>
        <w:t xml:space="preserve">, </w:t>
      </w:r>
      <w:r>
        <w:rPr>
          <w:sz w:val="22"/>
        </w:rPr>
        <w:t>Japan</w:t>
      </w:r>
      <w:r w:rsidR="002966E4" w:rsidRPr="002175C0">
        <w:rPr>
          <w:sz w:val="22"/>
        </w:rPr>
        <w:t xml:space="preserve">, </w:t>
      </w:r>
      <w:r>
        <w:rPr>
          <w:sz w:val="22"/>
        </w:rPr>
        <w:t>18-21</w:t>
      </w:r>
      <w:r w:rsidR="002966E4" w:rsidRPr="002175C0">
        <w:rPr>
          <w:sz w:val="22"/>
        </w:rPr>
        <w:t xml:space="preserve"> </w:t>
      </w:r>
      <w:r>
        <w:rPr>
          <w:sz w:val="22"/>
        </w:rPr>
        <w:t>September,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1578E59F" w:rsidR="002966E4" w:rsidRPr="00060D83" w:rsidRDefault="002966E4" w:rsidP="002966E4">
      <w:pPr>
        <w:pStyle w:val="Header"/>
        <w:tabs>
          <w:tab w:val="left" w:pos="1800"/>
        </w:tabs>
      </w:pPr>
      <w:r w:rsidRPr="00060D83">
        <w:t>Title:</w:t>
      </w:r>
      <w:bookmarkStart w:id="1" w:name="Title"/>
      <w:bookmarkEnd w:id="1"/>
      <w:r w:rsidRPr="00060D83">
        <w:tab/>
      </w:r>
      <w:r w:rsidRPr="00674BE7">
        <w:rPr>
          <w:iCs/>
        </w:rPr>
        <w:t xml:space="preserve">On </w:t>
      </w:r>
      <w:r w:rsidR="00974240">
        <w:rPr>
          <w:iCs/>
        </w:rPr>
        <w:t>CA related aspects and BWP related aspects</w:t>
      </w:r>
    </w:p>
    <w:p w14:paraId="235FAF0D" w14:textId="2948DA1E" w:rsidR="002966E4" w:rsidRPr="00060D83" w:rsidRDefault="002966E4" w:rsidP="002966E4">
      <w:pPr>
        <w:pStyle w:val="Header"/>
        <w:tabs>
          <w:tab w:val="left" w:pos="1800"/>
        </w:tabs>
      </w:pPr>
      <w:r w:rsidRPr="00060D83">
        <w:t>Agenda Item:</w:t>
      </w:r>
      <w:bookmarkStart w:id="2" w:name="Source"/>
      <w:bookmarkEnd w:id="2"/>
      <w:r w:rsidRPr="002966E4">
        <w:rPr>
          <w:iCs/>
        </w:rPr>
        <w:tab/>
        <w:t>6</w:t>
      </w:r>
      <w:r w:rsidR="00974240">
        <w:rPr>
          <w:iCs/>
        </w:rPr>
        <w:t>.</w:t>
      </w:r>
      <w:r>
        <w:rPr>
          <w:iCs/>
        </w:rPr>
        <w:t>3.4</w:t>
      </w:r>
    </w:p>
    <w:p w14:paraId="28CB55F9" w14:textId="77777777" w:rsidR="002966E4" w:rsidRPr="00060D83" w:rsidRDefault="002966E4" w:rsidP="002966E4">
      <w:pPr>
        <w:pStyle w:val="Header"/>
        <w:tabs>
          <w:tab w:val="left" w:pos="1800"/>
        </w:tabs>
      </w:pPr>
      <w:r w:rsidRPr="00060D83">
        <w:t>Document for:</w:t>
      </w:r>
      <w:r w:rsidRPr="00060D83">
        <w:tab/>
      </w:r>
      <w:bookmarkStart w:id="3" w:name="DocumentFor"/>
      <w:bookmarkEnd w:id="3"/>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22AAB934" w:rsidR="00733D4B" w:rsidRDefault="00733D4B" w:rsidP="00733D4B">
      <w:pPr>
        <w:pStyle w:val="BodyText"/>
        <w:rPr>
          <w:rFonts w:cs="Arial"/>
        </w:rPr>
      </w:pPr>
      <w:r>
        <w:rPr>
          <w:rFonts w:cs="Arial"/>
        </w:rPr>
        <w:t xml:space="preserve">In </w:t>
      </w:r>
      <w:r w:rsidR="00974240">
        <w:rPr>
          <w:rFonts w:cs="Arial"/>
        </w:rPr>
        <w:t>this document, we discuss the following</w:t>
      </w:r>
      <w:r w:rsidRPr="003F5094">
        <w:rPr>
          <w:rFonts w:cs="Arial"/>
        </w:rPr>
        <w:t>:</w:t>
      </w:r>
    </w:p>
    <w:p w14:paraId="63B02A68" w14:textId="29F05C0A" w:rsidR="00974240" w:rsidRDefault="00974240" w:rsidP="00974240">
      <w:pPr>
        <w:pStyle w:val="BodyText"/>
        <w:numPr>
          <w:ilvl w:val="0"/>
          <w:numId w:val="18"/>
        </w:numPr>
        <w:rPr>
          <w:rFonts w:cs="Arial"/>
        </w:rPr>
      </w:pPr>
      <w:r>
        <w:rPr>
          <w:rFonts w:cs="Arial"/>
        </w:rPr>
        <w:t>Carrier aggregation related aspects are discussed in section 2.1</w:t>
      </w:r>
    </w:p>
    <w:p w14:paraId="6212C8D5" w14:textId="0507A867" w:rsidR="00974240" w:rsidRDefault="00974240" w:rsidP="00974240">
      <w:pPr>
        <w:pStyle w:val="BodyText"/>
        <w:numPr>
          <w:ilvl w:val="0"/>
          <w:numId w:val="18"/>
        </w:numPr>
        <w:rPr>
          <w:rFonts w:cs="Arial"/>
        </w:rPr>
      </w:pPr>
      <w:r>
        <w:rPr>
          <w:rFonts w:cs="Arial"/>
        </w:rPr>
        <w:t>Bandwidth parts related aspects are discussed in section 2.2</w:t>
      </w:r>
    </w:p>
    <w:p w14:paraId="5925009D" w14:textId="14F10146" w:rsidR="004000E8" w:rsidRDefault="004000E8" w:rsidP="00CE0424">
      <w:pPr>
        <w:pStyle w:val="Heading1"/>
        <w:rPr>
          <w:lang w:val="en-US"/>
        </w:rPr>
      </w:pPr>
      <w:bookmarkStart w:id="4" w:name="_Ref178064866"/>
      <w:r w:rsidRPr="007B78FE">
        <w:rPr>
          <w:lang w:val="en-US"/>
        </w:rPr>
        <w:t>Discussion</w:t>
      </w:r>
      <w:bookmarkEnd w:id="4"/>
    </w:p>
    <w:p w14:paraId="5A3450B8" w14:textId="7D5BD4BD" w:rsidR="007316EA" w:rsidRDefault="007316EA" w:rsidP="00D94796">
      <w:pPr>
        <w:pStyle w:val="Heading2"/>
      </w:pPr>
      <w:r>
        <w:t>CA related aspects</w:t>
      </w:r>
    </w:p>
    <w:p w14:paraId="46FD4DF2" w14:textId="5266703B" w:rsidR="007316EA" w:rsidRDefault="007316EA" w:rsidP="00B87C34">
      <w:r>
        <w:rPr>
          <w:lang w:val="en-GB" w:eastAsia="zh-CN"/>
        </w:rPr>
        <w:t>In RAN1#90, the following was agreed for NR CA design</w:t>
      </w:r>
    </w:p>
    <w:p w14:paraId="7D9AAEE1" w14:textId="77777777" w:rsidR="007316EA" w:rsidRPr="00B87C34" w:rsidRDefault="007316EA" w:rsidP="007316EA">
      <w:pPr>
        <w:tabs>
          <w:tab w:val="left" w:pos="1440"/>
        </w:tabs>
        <w:spacing w:after="0" w:line="240" w:lineRule="auto"/>
        <w:ind w:left="1440" w:hanging="1440"/>
        <w:rPr>
          <w:rFonts w:ascii="Times" w:eastAsia="MS Mincho" w:hAnsi="Times" w:cs="Times New Roman"/>
          <w:b/>
          <w:i/>
          <w:sz w:val="20"/>
          <w:szCs w:val="20"/>
          <w:u w:val="single"/>
          <w:lang w:eastAsia="ja-JP"/>
        </w:rPr>
      </w:pPr>
      <w:r w:rsidRPr="00B87C34">
        <w:rPr>
          <w:rFonts w:ascii="Times" w:eastAsia="MS Mincho" w:hAnsi="Times" w:cs="Times New Roman"/>
          <w:b/>
          <w:i/>
          <w:sz w:val="20"/>
          <w:szCs w:val="20"/>
          <w:highlight w:val="green"/>
          <w:u w:val="single"/>
          <w:lang w:eastAsia="ja-JP"/>
        </w:rPr>
        <w:t>Agreements:</w:t>
      </w:r>
    </w:p>
    <w:p w14:paraId="3233F2AA" w14:textId="77777777" w:rsidR="007316EA" w:rsidRPr="00B87C34" w:rsidRDefault="007316EA" w:rsidP="007316EA">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Confirm the WA at RAN1 NR AH#2</w:t>
      </w:r>
    </w:p>
    <w:p w14:paraId="0DF1203A"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HARQ-ACK transmission related to multiple DL component carriers is supported for DL component carriers operating with the same and different numerology</w:t>
      </w:r>
    </w:p>
    <w:p w14:paraId="766E1AF2" w14:textId="77777777" w:rsidR="007316EA" w:rsidRPr="00B87C34" w:rsidRDefault="007316EA" w:rsidP="007316EA">
      <w:pPr>
        <w:numPr>
          <w:ilvl w:val="2"/>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The time granularity of a HARQ-ACK transmission on PUCCH, indicated in the DCI scheduling the PDSCH, is based on the numerology of PUCCH transmission</w:t>
      </w:r>
    </w:p>
    <w:p w14:paraId="790CB9DC" w14:textId="77777777" w:rsidR="007316EA" w:rsidRPr="00B87C34" w:rsidRDefault="007316EA" w:rsidP="007316EA">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For cross-carrier scheduling, support the following functionalities</w:t>
      </w:r>
    </w:p>
    <w:p w14:paraId="7843282D"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Multi-slot scheduling (i.e., one DCI schedules N slots with N TBs)</w:t>
      </w:r>
    </w:p>
    <w:p w14:paraId="43693EE8" w14:textId="77777777" w:rsidR="007316EA" w:rsidRPr="00B87C34" w:rsidRDefault="007316EA" w:rsidP="007316EA">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For NR CA, for the scenario that all the carriers are 15Khz, around [32.47us] maximum uplink timing difference between two TAGs should be assumed in NR</w:t>
      </w:r>
    </w:p>
    <w:p w14:paraId="379F2E29"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Granularity of TA for SCS = 15kHz is same as LTE</w:t>
      </w:r>
    </w:p>
    <w:p w14:paraId="70BAB99A"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Maximum number of TAGs is 4</w:t>
      </w:r>
    </w:p>
    <w:p w14:paraId="466F3990"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Note: final decision of the maximum timing difference is up to RAN4</w:t>
      </w:r>
    </w:p>
    <w:p w14:paraId="34002374"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for other scenarios</w:t>
      </w:r>
    </w:p>
    <w:p w14:paraId="045CE054" w14:textId="77777777" w:rsidR="007316EA" w:rsidRPr="00B87C34" w:rsidRDefault="007316EA" w:rsidP="007316EA">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For NR CA, both semi-static and dynamic HARQ-ACK codebook are supported</w:t>
      </w:r>
    </w:p>
    <w:p w14:paraId="7A16990E" w14:textId="77777777" w:rsidR="007316EA" w:rsidRPr="00B87C34" w:rsidRDefault="007316EA" w:rsidP="007316EA">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NR supports 2 cell groups for PUCCH for NR CA</w:t>
      </w:r>
    </w:p>
    <w:p w14:paraId="4FFAA42C" w14:textId="77777777" w:rsidR="007316EA" w:rsidRPr="00B87C34"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NR supports at least the configuration of one carrier transmitting the PUCCH within the cell group</w:t>
      </w:r>
    </w:p>
    <w:p w14:paraId="5D791003" w14:textId="1788A133" w:rsidR="007316EA" w:rsidRDefault="007316EA" w:rsidP="007316EA">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The carrier transmitting the PUCCH is always PCC and/or carrier(s) transmitting the PUCCH can be SCC in a cell group containing PCC</w:t>
      </w:r>
    </w:p>
    <w:p w14:paraId="6F9CD094" w14:textId="77777777" w:rsidR="00164BEB" w:rsidRPr="00B87C34" w:rsidRDefault="00164BEB" w:rsidP="00B87C34">
      <w:pPr>
        <w:tabs>
          <w:tab w:val="left" w:pos="1440"/>
        </w:tabs>
        <w:spacing w:after="0" w:line="240" w:lineRule="auto"/>
        <w:ind w:left="1080"/>
        <w:rPr>
          <w:rFonts w:ascii="Times" w:eastAsia="MS Mincho" w:hAnsi="Times" w:cs="Times New Roman"/>
          <w:i/>
          <w:sz w:val="20"/>
          <w:szCs w:val="20"/>
          <w:lang w:eastAsia="ja-JP"/>
        </w:rPr>
      </w:pPr>
    </w:p>
    <w:p w14:paraId="0E7858EB" w14:textId="653976C6" w:rsidR="007316EA" w:rsidRPr="00BC2333" w:rsidRDefault="00164BEB" w:rsidP="00B87C34">
      <w:r>
        <w:rPr>
          <w:lang w:val="en-GB" w:eastAsia="zh-CN"/>
        </w:rPr>
        <w:t>We continue the discussion for several CA related aspects below</w:t>
      </w:r>
    </w:p>
    <w:p w14:paraId="0A545A23" w14:textId="656476F4" w:rsidR="00E80B1C" w:rsidRDefault="00E80B1C" w:rsidP="00B87C34">
      <w:pPr>
        <w:pStyle w:val="Heading3"/>
      </w:pPr>
      <w:r>
        <w:t>Cross-carrier scheduling</w:t>
      </w:r>
    </w:p>
    <w:p w14:paraId="7E27568B" w14:textId="09CE9FA2" w:rsidR="00E80B1C" w:rsidRDefault="00E80B1C" w:rsidP="00E80B1C">
      <w:r>
        <w:t xml:space="preserve">For cross-carrier scheduling reusing the LTE design is sufficient correspondingly it is sufficient to have 3 bits of CIF being possible to be configured for UL and DL scheduling correspondingly. It is important to remember that the key scenario for cross-carrier scheduling within LTE does not exist within NR either, i.e. to </w:t>
      </w:r>
      <w:r w:rsidR="00BF4987">
        <w:t xml:space="preserve">protect </w:t>
      </w:r>
      <w:r>
        <w:t>the control channel from interference from a neighbouring cell. This as the control channel in DL can be configured on different frequency resources in different cells within an operator network. Further no specific consideration needs to be done for BWP for cross-carrier scheduling other than what has already been agreed i.e. for a BWP an CORESET is associated.</w:t>
      </w:r>
    </w:p>
    <w:p w14:paraId="6E6BC0B3" w14:textId="1D886D53" w:rsidR="00E80B1C" w:rsidRPr="00E80B1C" w:rsidRDefault="00E80B1C" w:rsidP="00E80B1C">
      <w:pPr>
        <w:rPr>
          <w:b/>
        </w:rPr>
      </w:pPr>
      <w:r w:rsidRPr="00E80B1C">
        <w:rPr>
          <w:b/>
        </w:rPr>
        <w:t>Proposal</w:t>
      </w:r>
      <w:r w:rsidR="007C5ACD">
        <w:rPr>
          <w:b/>
        </w:rPr>
        <w:t xml:space="preserve"> 1-1</w:t>
      </w:r>
    </w:p>
    <w:p w14:paraId="5345949F" w14:textId="46C7C04D" w:rsidR="00E80B1C" w:rsidRPr="008435CE" w:rsidRDefault="00E80B1C" w:rsidP="00CE5F8B">
      <w:pPr>
        <w:pStyle w:val="ListParagraph"/>
        <w:numPr>
          <w:ilvl w:val="0"/>
          <w:numId w:val="14"/>
        </w:numPr>
        <w:rPr>
          <w:rFonts w:ascii="Arial" w:hAnsi="Arial" w:cs="Arial"/>
          <w:i/>
          <w:sz w:val="20"/>
          <w:szCs w:val="20"/>
        </w:rPr>
      </w:pPr>
      <w:r w:rsidRPr="008435CE">
        <w:rPr>
          <w:rFonts w:ascii="Arial" w:hAnsi="Arial" w:cs="Arial"/>
          <w:i/>
          <w:sz w:val="20"/>
          <w:szCs w:val="20"/>
        </w:rPr>
        <w:lastRenderedPageBreak/>
        <w:t>CIF field is 3 bits</w:t>
      </w:r>
    </w:p>
    <w:p w14:paraId="5521A4E6" w14:textId="087D87AC" w:rsidR="008435CE" w:rsidRPr="008435CE" w:rsidRDefault="008435CE" w:rsidP="00CE5F8B">
      <w:pPr>
        <w:pStyle w:val="ListParagraph"/>
        <w:numPr>
          <w:ilvl w:val="0"/>
          <w:numId w:val="14"/>
        </w:numPr>
        <w:rPr>
          <w:rFonts w:ascii="Arial" w:hAnsi="Arial" w:cs="Arial"/>
          <w:i/>
          <w:sz w:val="20"/>
          <w:szCs w:val="20"/>
        </w:rPr>
      </w:pPr>
      <w:r w:rsidRPr="008435CE">
        <w:rPr>
          <w:rFonts w:ascii="Arial" w:hAnsi="Arial" w:cs="Arial"/>
          <w:i/>
          <w:sz w:val="20"/>
          <w:szCs w:val="20"/>
        </w:rPr>
        <w:t>No specific consideration is done for BWP and cross-carrier scheduling</w:t>
      </w:r>
    </w:p>
    <w:p w14:paraId="50753466" w14:textId="524097A1" w:rsidR="008435CE" w:rsidRDefault="008435CE" w:rsidP="00B87C34">
      <w:pPr>
        <w:pStyle w:val="Heading3"/>
      </w:pPr>
      <w:r>
        <w:t>On search space design</w:t>
      </w:r>
    </w:p>
    <w:p w14:paraId="1305EAE9" w14:textId="5550B490" w:rsidR="008435CE" w:rsidRDefault="008435CE" w:rsidP="008435CE">
      <w:r>
        <w:t>The UE monitors for random access response message and paging in the common search space as in LTE independent on if the UE is configured with CA or not. The UE does not monitor the common search space on secondary component carriers</w:t>
      </w:r>
    </w:p>
    <w:p w14:paraId="142BE483" w14:textId="6D18BD08" w:rsidR="008435CE" w:rsidRPr="008435CE" w:rsidRDefault="008435CE" w:rsidP="008435CE">
      <w:pPr>
        <w:rPr>
          <w:b/>
        </w:rPr>
      </w:pPr>
      <w:r w:rsidRPr="008435CE">
        <w:rPr>
          <w:b/>
        </w:rPr>
        <w:t>Proposal</w:t>
      </w:r>
    </w:p>
    <w:p w14:paraId="6918D07E" w14:textId="5F921B59" w:rsidR="008435CE" w:rsidRPr="008435CE" w:rsidRDefault="008435CE" w:rsidP="00CE5F8B">
      <w:pPr>
        <w:pStyle w:val="ListParagraph"/>
        <w:numPr>
          <w:ilvl w:val="0"/>
          <w:numId w:val="15"/>
        </w:numPr>
        <w:rPr>
          <w:rFonts w:ascii="Arial" w:hAnsi="Arial" w:cs="Arial"/>
          <w:i/>
          <w:sz w:val="20"/>
          <w:szCs w:val="20"/>
        </w:rPr>
      </w:pPr>
      <w:r w:rsidRPr="008435CE">
        <w:rPr>
          <w:rFonts w:ascii="Arial" w:hAnsi="Arial" w:cs="Arial"/>
          <w:i/>
          <w:sz w:val="20"/>
          <w:szCs w:val="20"/>
        </w:rPr>
        <w:t>The UE monitors for random access response messages and paging on the common search space</w:t>
      </w:r>
    </w:p>
    <w:p w14:paraId="02DC69EB" w14:textId="5F666DB5" w:rsidR="008435CE" w:rsidRPr="008435CE" w:rsidRDefault="008435CE" w:rsidP="00CE5F8B">
      <w:pPr>
        <w:pStyle w:val="ListParagraph"/>
        <w:numPr>
          <w:ilvl w:val="0"/>
          <w:numId w:val="15"/>
        </w:numPr>
        <w:rPr>
          <w:rFonts w:ascii="Arial" w:hAnsi="Arial" w:cs="Arial"/>
          <w:i/>
          <w:sz w:val="20"/>
          <w:szCs w:val="20"/>
        </w:rPr>
      </w:pPr>
      <w:r w:rsidRPr="008435CE">
        <w:rPr>
          <w:rFonts w:ascii="Arial" w:hAnsi="Arial" w:cs="Arial"/>
          <w:i/>
          <w:sz w:val="20"/>
          <w:szCs w:val="20"/>
        </w:rPr>
        <w:t>The UE does not monitor the common search space on secondary component carriers</w:t>
      </w:r>
    </w:p>
    <w:p w14:paraId="51605DA0" w14:textId="29C8AD2A" w:rsidR="008435CE" w:rsidRDefault="008435CE" w:rsidP="00B87C34">
      <w:pPr>
        <w:pStyle w:val="Heading3"/>
      </w:pPr>
      <w:r>
        <w:t>Multiple timing advance</w:t>
      </w:r>
    </w:p>
    <w:p w14:paraId="12A7E021" w14:textId="04D8ECB2" w:rsidR="008435CE" w:rsidRDefault="008435CE" w:rsidP="008435CE">
      <w:r>
        <w:t>To simplify the multiple timing advance discussion, it is assumed that we start from the LTE design in general, i.e. the UE supports up to 4 timing advance groups. Further only non-contention based random access response is supported for secondary timing advance groups. The corresponding random access response message as in LTE delivered on the primary component carrier</w:t>
      </w:r>
    </w:p>
    <w:p w14:paraId="10FD10C1" w14:textId="39D2F986" w:rsidR="008435CE" w:rsidRPr="008435CE" w:rsidRDefault="008435CE" w:rsidP="008435CE">
      <w:pPr>
        <w:rPr>
          <w:b/>
        </w:rPr>
      </w:pPr>
      <w:r w:rsidRPr="008435CE">
        <w:rPr>
          <w:b/>
        </w:rPr>
        <w:t>Proposal</w:t>
      </w:r>
    </w:p>
    <w:p w14:paraId="6DBB55E1" w14:textId="44ABE0F0" w:rsidR="008435CE"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4 timing advance groups are support</w:t>
      </w:r>
      <w:r w:rsidR="00BF4987">
        <w:rPr>
          <w:rFonts w:ascii="Arial" w:eastAsia="Times New Roman" w:hAnsi="Arial"/>
          <w:i/>
          <w:sz w:val="20"/>
          <w:szCs w:val="20"/>
          <w:lang w:val="en-GB" w:eastAsia="zh-CN"/>
        </w:rPr>
        <w:t>ed</w:t>
      </w:r>
    </w:p>
    <w:p w14:paraId="685C079B" w14:textId="7CC9C118" w:rsidR="00BE69D0"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Only non-contention based random access is supported for secondary timing advance groups</w:t>
      </w:r>
    </w:p>
    <w:p w14:paraId="5D60CF67" w14:textId="52507985" w:rsidR="00BE69D0" w:rsidRDefault="00BE69D0" w:rsidP="00B87C34">
      <w:pPr>
        <w:pStyle w:val="Heading3"/>
      </w:pPr>
      <w:r>
        <w:t>On multiple numerology support</w:t>
      </w:r>
    </w:p>
    <w:p w14:paraId="7452C060" w14:textId="2B21502F" w:rsidR="00BE69D0" w:rsidRDefault="00BE69D0" w:rsidP="00BE69D0">
      <w:r>
        <w:t xml:space="preserve">For support of CA and different numerologies on the different carriers one open issue is whether the PDCCH and PDSCH on the same carrier can have different numerologies. </w:t>
      </w:r>
      <w:r w:rsidR="00180366">
        <w:t>Strictly speak</w:t>
      </w:r>
      <w:r w:rsidR="00BF4987">
        <w:t>ing</w:t>
      </w:r>
      <w:r w:rsidR="00180366">
        <w:t xml:space="preserve"> we do not see use cases for this. One should further remember that each BW part is associated with a single numerology that includes the PDCCH and PDSCH if they are located on the same carriers. </w:t>
      </w:r>
    </w:p>
    <w:p w14:paraId="380DF3A4" w14:textId="249DB3AA" w:rsidR="003E42AA" w:rsidRDefault="003E42AA" w:rsidP="00BE69D0">
      <w:r>
        <w:t xml:space="preserve">Another aspect discussed </w:t>
      </w:r>
      <w:r w:rsidR="00515406">
        <w:t>in RAN1#90 was the need to support</w:t>
      </w:r>
      <w:r>
        <w:t xml:space="preserve"> DL multi-slot scheduling (with multiple TBs, and one TB per slot) specifically for the case of cross-carrier scheduling from low SCS carrier to high SCS carrier. </w:t>
      </w:r>
      <w:r w:rsidR="00515406">
        <w:t xml:space="preserve">The notion of slot aggregation and </w:t>
      </w:r>
      <w:r>
        <w:t xml:space="preserve">multi-slot scheduling should be first </w:t>
      </w:r>
      <w:r w:rsidR="00515406">
        <w:t>finalized</w:t>
      </w:r>
      <w:r>
        <w:t xml:space="preserve"> for single carrier case and the approaches agreed for that case sh</w:t>
      </w:r>
      <w:r w:rsidR="00515406">
        <w:t>ould be preferably</w:t>
      </w:r>
      <w:r>
        <w:t xml:space="preserve"> reused for </w:t>
      </w:r>
      <w:r w:rsidR="00515406">
        <w:t>instead of creating a new variant for the above case</w:t>
      </w:r>
      <w:r>
        <w:t xml:space="preserve">. </w:t>
      </w:r>
    </w:p>
    <w:p w14:paraId="244086BC" w14:textId="6DD50CDC" w:rsidR="00180366" w:rsidRPr="00180366" w:rsidRDefault="00180366" w:rsidP="00BE69D0">
      <w:pPr>
        <w:rPr>
          <w:b/>
        </w:rPr>
      </w:pPr>
      <w:r w:rsidRPr="00180366">
        <w:rPr>
          <w:b/>
        </w:rPr>
        <w:t>Proposal</w:t>
      </w:r>
    </w:p>
    <w:p w14:paraId="4B8B32DF" w14:textId="77777777" w:rsidR="00B52212" w:rsidRPr="00B52212" w:rsidRDefault="00B52212" w:rsidP="00B87C34">
      <w:pPr>
        <w:pStyle w:val="ListParagraph"/>
        <w:numPr>
          <w:ilvl w:val="0"/>
          <w:numId w:val="16"/>
        </w:numPr>
        <w:rPr>
          <w:rFonts w:ascii="Arial" w:eastAsia="Times New Roman" w:hAnsi="Arial"/>
          <w:i/>
          <w:sz w:val="20"/>
          <w:szCs w:val="20"/>
          <w:lang w:val="en-GB" w:eastAsia="zh-CN"/>
        </w:rPr>
      </w:pPr>
      <w:r w:rsidRPr="00B52212">
        <w:rPr>
          <w:rFonts w:ascii="Arial" w:eastAsia="Times New Roman" w:hAnsi="Arial"/>
          <w:i/>
          <w:sz w:val="20"/>
          <w:szCs w:val="20"/>
          <w:lang w:val="en-GB" w:eastAsia="zh-CN"/>
        </w:rPr>
        <w:t>The case of PDCCH and the scheduled PDSCH having different numerologies is not supported for self-scheduling case</w:t>
      </w:r>
    </w:p>
    <w:p w14:paraId="15C1DB26" w14:textId="268B5DAA" w:rsidR="00F036CF" w:rsidRDefault="00EE6B0A" w:rsidP="00B87C34">
      <w:r>
        <w:t xml:space="preserve"> </w:t>
      </w:r>
    </w:p>
    <w:p w14:paraId="30F7B4A9" w14:textId="68FED225" w:rsidR="006736D5" w:rsidRDefault="006736D5" w:rsidP="006736D5">
      <w:pPr>
        <w:pStyle w:val="Heading3"/>
      </w:pPr>
      <w:r>
        <w:t>Configuration of PUCCH in a cell group</w:t>
      </w:r>
    </w:p>
    <w:p w14:paraId="1914366F" w14:textId="77777777" w:rsidR="006736D5" w:rsidRDefault="006736D5" w:rsidP="006736D5">
      <w:r>
        <w:t>The PUCCH in one cell group can be configured on any UL carrier within the cell group. This to allow aggregation of low band together with high band wherein the HARQ feedback from the DL in a higher band goes on lower band. It is noted that the opposite should be allowed as well from the signalling. So no strict limitations should be introduced in terms of what is signalled and whether to deploy in certain way becomes a network deployment questions.</w:t>
      </w:r>
    </w:p>
    <w:p w14:paraId="3779009D" w14:textId="77777777" w:rsidR="006736D5" w:rsidRPr="00200A2C" w:rsidRDefault="006736D5" w:rsidP="006736D5">
      <w:pPr>
        <w:rPr>
          <w:b/>
        </w:rPr>
      </w:pPr>
      <w:r w:rsidRPr="00200A2C">
        <w:rPr>
          <w:b/>
        </w:rPr>
        <w:t>Proposal</w:t>
      </w:r>
    </w:p>
    <w:p w14:paraId="38195B08" w14:textId="69BFBC93" w:rsidR="006736D5" w:rsidRDefault="006736D5" w:rsidP="006736D5">
      <w:pPr>
        <w:pStyle w:val="ListParagraph"/>
        <w:numPr>
          <w:ilvl w:val="0"/>
          <w:numId w:val="12"/>
        </w:numPr>
        <w:rPr>
          <w:rFonts w:ascii="Arial" w:hAnsi="Arial" w:cs="Arial"/>
          <w:i/>
        </w:rPr>
      </w:pPr>
      <w:r w:rsidRPr="00D85EA9">
        <w:rPr>
          <w:rFonts w:ascii="Arial" w:hAnsi="Arial" w:cs="Arial"/>
          <w:i/>
          <w:sz w:val="20"/>
          <w:szCs w:val="20"/>
        </w:rPr>
        <w:t>A PUCCH in a cell group can be configured on any UL carrier within the cell grou</w:t>
      </w:r>
      <w:r w:rsidRPr="00200A2C">
        <w:rPr>
          <w:rFonts w:ascii="Arial" w:hAnsi="Arial" w:cs="Arial"/>
          <w:i/>
        </w:rPr>
        <w:t>p</w:t>
      </w:r>
    </w:p>
    <w:p w14:paraId="1C7C7F17" w14:textId="6BD76DDD" w:rsidR="00D7224D" w:rsidRDefault="00D7224D" w:rsidP="00D7224D">
      <w:pPr>
        <w:pStyle w:val="Heading3"/>
      </w:pPr>
      <w:r>
        <w:lastRenderedPageBreak/>
        <w:t>HARQ for CA</w:t>
      </w:r>
    </w:p>
    <w:p w14:paraId="47F6AD99" w14:textId="25254246" w:rsidR="00F036CF" w:rsidRDefault="00B52212" w:rsidP="00B87C34">
      <w:r>
        <w:t xml:space="preserve">A </w:t>
      </w:r>
      <w:r w:rsidR="008B64FC">
        <w:t xml:space="preserve">unified discussion </w:t>
      </w:r>
      <w:r w:rsidR="0068096D">
        <w:t xml:space="preserve">on </w:t>
      </w:r>
      <w:bookmarkStart w:id="5" w:name="_GoBack"/>
      <w:bookmarkEnd w:id="5"/>
      <w:r w:rsidR="008B64FC">
        <w:t xml:space="preserve">HARQ codebook related aspects considering </w:t>
      </w:r>
      <w:r w:rsidR="00676B38">
        <w:t xml:space="preserve">both </w:t>
      </w:r>
      <w:r w:rsidR="008B64FC">
        <w:t xml:space="preserve">CA and CBG </w:t>
      </w:r>
      <w:r>
        <w:t xml:space="preserve">is provided </w:t>
      </w:r>
      <w:r w:rsidRPr="00D41547">
        <w:t>in [</w:t>
      </w:r>
      <w:r w:rsidR="00676B38" w:rsidRPr="00D41547">
        <w:t>6</w:t>
      </w:r>
      <w:r w:rsidRPr="00D41547">
        <w:t>].</w:t>
      </w:r>
    </w:p>
    <w:p w14:paraId="69722227" w14:textId="41740EDD" w:rsidR="001821C6" w:rsidRDefault="001821C6" w:rsidP="00B87C34"/>
    <w:p w14:paraId="1369C378" w14:textId="3FF78655" w:rsidR="00F036CF" w:rsidRDefault="00F036CF" w:rsidP="00F036CF">
      <w:pPr>
        <w:pStyle w:val="Heading2"/>
      </w:pPr>
      <w:r>
        <w:t>BWP related aspects</w:t>
      </w:r>
    </w:p>
    <w:p w14:paraId="51C5B2A9" w14:textId="362937B8" w:rsidR="0079651A" w:rsidRDefault="0079651A" w:rsidP="0079651A">
      <w:pPr>
        <w:pStyle w:val="Heading3"/>
      </w:pPr>
      <w:r>
        <w:t>Bandwidth parts – Use cases</w:t>
      </w:r>
    </w:p>
    <w:p w14:paraId="73C6CC23" w14:textId="07A7F744" w:rsidR="00C23B66" w:rsidRDefault="00C23B66" w:rsidP="00C23B66">
      <w:r>
        <w:t xml:space="preserve">The discussions on bandwidth part has focused on two different “use cases”: </w:t>
      </w:r>
    </w:p>
    <w:p w14:paraId="2C923DD9" w14:textId="727EA69D" w:rsidR="00C23B66" w:rsidRDefault="00F2211F" w:rsidP="00C23B66">
      <w:pPr>
        <w:pStyle w:val="ListParagraph"/>
        <w:numPr>
          <w:ilvl w:val="0"/>
          <w:numId w:val="24"/>
        </w:numPr>
        <w:spacing w:after="160"/>
        <w:contextualSpacing/>
      </w:pPr>
      <w:r>
        <w:t>The use of bandwidth parts as a tool</w:t>
      </w:r>
      <w:r w:rsidR="00C23B66">
        <w:t xml:space="preserve"> to enable devices with a maximum bandwidth capability less than the network carrier bandwidth (</w:t>
      </w:r>
      <w:r>
        <w:t xml:space="preserve">here referred to as </w:t>
      </w:r>
      <w:r w:rsidR="00C23B66">
        <w:t>“bandwidth-limited UEs”). This is currently assumed to b</w:t>
      </w:r>
      <w:r>
        <w:t>e relevant</w:t>
      </w:r>
      <w:r w:rsidR="00C23B66">
        <w:t xml:space="preserve"> for both the downlink and the uplink transmission </w:t>
      </w:r>
      <w:r>
        <w:t>directions with independe</w:t>
      </w:r>
      <w:r w:rsidR="0010182E">
        <w:t>nt bandwidth-part configuration</w:t>
      </w:r>
      <w:r>
        <w:t>/activation for the different directions.</w:t>
      </w:r>
    </w:p>
    <w:p w14:paraId="015B6D4D" w14:textId="319E5FF3" w:rsidR="00C23B66" w:rsidRDefault="00C23B66" w:rsidP="00C23B66">
      <w:pPr>
        <w:pStyle w:val="ListParagraph"/>
        <w:numPr>
          <w:ilvl w:val="0"/>
          <w:numId w:val="24"/>
        </w:numPr>
        <w:spacing w:after="160"/>
        <w:contextualSpacing/>
      </w:pPr>
      <w:r>
        <w:t>The use of bandwidth parts</w:t>
      </w:r>
      <w:r w:rsidR="00F2211F">
        <w:t xml:space="preserve"> as a tool</w:t>
      </w:r>
      <w:r w:rsidR="00FD3618">
        <w:t xml:space="preserve"> for</w:t>
      </w:r>
      <w:r w:rsidR="00F2211F">
        <w:t xml:space="preserve"> enhanced UE energy efficiency (</w:t>
      </w:r>
      <w:r w:rsidR="0010182E">
        <w:t xml:space="preserve">i.e. </w:t>
      </w:r>
      <w:r w:rsidR="00F2211F">
        <w:t>longer battery life) b</w:t>
      </w:r>
      <w:r w:rsidR="00FD3618">
        <w:t>y enabling</w:t>
      </w:r>
      <w:r>
        <w:t xml:space="preserve"> PDCCH monitoring within a more narrow bandwidth part and </w:t>
      </w:r>
      <w:r w:rsidR="00F2211F">
        <w:t xml:space="preserve">subsequent </w:t>
      </w:r>
      <w:r>
        <w:t>PDSCH reception within a more wideband bandw</w:t>
      </w:r>
      <w:r w:rsidR="00F2211F">
        <w:t>idth part</w:t>
      </w:r>
      <w:r w:rsidR="00FD3618">
        <w:t xml:space="preserve"> (</w:t>
      </w:r>
      <w:r w:rsidR="0010182E">
        <w:t xml:space="preserve">here referred to as </w:t>
      </w:r>
      <w:r w:rsidR="00FD3618">
        <w:t>“bandwidth adaptation”)</w:t>
      </w:r>
    </w:p>
    <w:p w14:paraId="32DC89AE" w14:textId="60E0EB15" w:rsidR="00FD3618" w:rsidRDefault="00F2211F" w:rsidP="00C23B66">
      <w:r>
        <w:t>The first “use case”</w:t>
      </w:r>
      <w:r w:rsidR="00FD3618">
        <w:t>, i.e. enabling bandwidth-limited UEs,</w:t>
      </w:r>
      <w:r>
        <w:t xml:space="preserve"> is undoubtedly the </w:t>
      </w:r>
      <w:r w:rsidR="00FD3618">
        <w:t xml:space="preserve">more </w:t>
      </w:r>
      <w:r w:rsidR="0010182E">
        <w:t>important one</w:t>
      </w:r>
      <w:r w:rsidR="00C23B66">
        <w:t xml:space="preserve"> in the sense that a requirement that all UEs should support the maximum network transmission bandwidth would be very demanding from a UE complexity point-of-view.</w:t>
      </w:r>
      <w:r>
        <w:t xml:space="preserve"> In contrast, the second “use case”</w:t>
      </w:r>
      <w:r w:rsidR="00C23B66">
        <w:t>, i.e. bandwidth adaptation, is</w:t>
      </w:r>
      <w:r>
        <w:t>, in our view,</w:t>
      </w:r>
      <w:r w:rsidR="00C23B66">
        <w:t xml:space="preserve"> </w:t>
      </w:r>
      <w:r>
        <w:t>significantly less important.</w:t>
      </w:r>
    </w:p>
    <w:p w14:paraId="4156563C" w14:textId="1C138750" w:rsidR="00FD3618" w:rsidRDefault="00F2211F" w:rsidP="00FD3618">
      <w:pPr>
        <w:pStyle w:val="ListParagraph"/>
        <w:numPr>
          <w:ilvl w:val="0"/>
          <w:numId w:val="24"/>
        </w:numPr>
        <w:spacing w:after="160"/>
        <w:contextualSpacing/>
      </w:pPr>
      <w:r>
        <w:t xml:space="preserve">The actual </w:t>
      </w:r>
      <w:r w:rsidR="00FD3618">
        <w:t xml:space="preserve">gains </w:t>
      </w:r>
      <w:r w:rsidR="00540B62">
        <w:t>from bandwidth adaptation</w:t>
      </w:r>
      <w:r w:rsidR="0010182E">
        <w:t xml:space="preserve">, in terms UE energy efficiency and battery life, </w:t>
      </w:r>
      <w:r w:rsidR="00540B62">
        <w:t>have not been concluded on</w:t>
      </w:r>
    </w:p>
    <w:p w14:paraId="2FA37892" w14:textId="53DDEE16" w:rsidR="00FD3618" w:rsidRDefault="00FD3618" w:rsidP="00FD3618">
      <w:pPr>
        <w:pStyle w:val="ListParagraph"/>
        <w:numPr>
          <w:ilvl w:val="0"/>
          <w:numId w:val="24"/>
        </w:numPr>
        <w:spacing w:after="160"/>
        <w:contextualSpacing/>
      </w:pPr>
      <w:r>
        <w:t xml:space="preserve">Even if there are </w:t>
      </w:r>
      <w:r w:rsidR="00F2211F">
        <w:t xml:space="preserve">fundamental </w:t>
      </w:r>
      <w:r>
        <w:t>gains in terms of UE energy efficiency, the actual use of bandwidth adaptation would be a network decision</w:t>
      </w:r>
      <w:r w:rsidR="00F2211F">
        <w:t>, something that may, potentially, reduce the gains in actual deployments</w:t>
      </w:r>
    </w:p>
    <w:p w14:paraId="64518E66" w14:textId="16A451DF" w:rsidR="0079651A" w:rsidRDefault="0079651A" w:rsidP="0079651A">
      <w:pPr>
        <w:tabs>
          <w:tab w:val="left" w:pos="1276"/>
        </w:tabs>
        <w:ind w:left="1275" w:hanging="1275"/>
      </w:pPr>
      <w:r w:rsidRPr="00B22CA3">
        <w:rPr>
          <w:b/>
        </w:rPr>
        <w:t>Observation:</w:t>
      </w:r>
      <w:r>
        <w:t xml:space="preserve"> </w:t>
      </w:r>
      <w:r>
        <w:tab/>
      </w:r>
      <w:r w:rsidRPr="0079651A">
        <w:rPr>
          <w:i/>
        </w:rPr>
        <w:t>Bandwidth part as a tool to enable band-limited UEs is more important c</w:t>
      </w:r>
      <w:r w:rsidR="0010182E">
        <w:rPr>
          <w:i/>
        </w:rPr>
        <w:t>ompared to bandwidth adaptation</w:t>
      </w:r>
    </w:p>
    <w:p w14:paraId="1A188748" w14:textId="0995D64D" w:rsidR="0010182E" w:rsidRDefault="0010182E" w:rsidP="0010182E">
      <w:r>
        <w:t xml:space="preserve">The dynamic bandwidth-part activation needed for efficient bandwidth adaptation is also more complex, including possible error cases, compared to the semi-static bandwidth-part activation sufficient to enable bandwidth-limited UEs. </w:t>
      </w:r>
    </w:p>
    <w:p w14:paraId="5FB5606B" w14:textId="6473D1F9" w:rsidR="00C23B66" w:rsidRDefault="00F2211F" w:rsidP="00C23B66">
      <w:r>
        <w:t>With this in mind</w:t>
      </w:r>
      <w:r w:rsidR="0079651A">
        <w:t>,</w:t>
      </w:r>
      <w:r>
        <w:t xml:space="preserve"> we propose that </w:t>
      </w:r>
      <w:r w:rsidR="0010182E">
        <w:t xml:space="preserve">the </w:t>
      </w:r>
      <w:r w:rsidR="00C23B66">
        <w:t>first priority</w:t>
      </w:r>
      <w:r>
        <w:t xml:space="preserve"> with regards to bandwidth parts </w:t>
      </w:r>
      <w:r w:rsidR="00C23B66">
        <w:t xml:space="preserve">should be to ensure that bandwidth parts as a tool to enable bandwidth-limited UEs is finalized for the December specifications. Bandwidth </w:t>
      </w:r>
      <w:r w:rsidR="0010182E">
        <w:t>adaptation should have lower</w:t>
      </w:r>
      <w:r w:rsidR="00C23B66">
        <w:t xml:space="preserve"> priority with possible postponement to after December 2017, alternatively to release 16.  </w:t>
      </w:r>
    </w:p>
    <w:p w14:paraId="4C40CE53" w14:textId="1D81EF40" w:rsidR="00C23B66" w:rsidRDefault="00C23B66" w:rsidP="00C23B66">
      <w:r w:rsidRPr="00E46933">
        <w:rPr>
          <w:b/>
        </w:rPr>
        <w:t>Proposal:</w:t>
      </w:r>
      <w:r>
        <w:t xml:space="preserve"> </w:t>
      </w:r>
      <w:r w:rsidRPr="0079651A">
        <w:rPr>
          <w:i/>
        </w:rPr>
        <w:t>First priority with rega</w:t>
      </w:r>
      <w:r w:rsidR="00F2211F" w:rsidRPr="0079651A">
        <w:rPr>
          <w:i/>
        </w:rPr>
        <w:t xml:space="preserve">rds to bandwidth parts is to </w:t>
      </w:r>
      <w:r w:rsidRPr="0079651A">
        <w:rPr>
          <w:i/>
        </w:rPr>
        <w:t>ensure that bandwidth parts as a tool to enable bandwidth-limited UEs is finalized for the December specifications.</w:t>
      </w:r>
      <w:r>
        <w:t xml:space="preserve"> </w:t>
      </w:r>
    </w:p>
    <w:p w14:paraId="56431B06" w14:textId="21325CED" w:rsidR="0079651A" w:rsidRDefault="0079651A" w:rsidP="0079651A">
      <w:pPr>
        <w:pStyle w:val="Heading3"/>
      </w:pPr>
      <w:r>
        <w:t>Bandwidth parts – Downlink vs uplink</w:t>
      </w:r>
    </w:p>
    <w:p w14:paraId="6D381DBE" w14:textId="19B6BAED" w:rsidR="00C23B66" w:rsidRDefault="0079651A" w:rsidP="00C23B66">
      <w:r>
        <w:t>T</w:t>
      </w:r>
      <w:r w:rsidR="00FD3618">
        <w:t xml:space="preserve">he </w:t>
      </w:r>
      <w:r w:rsidR="00C23B66">
        <w:t>concept of band</w:t>
      </w:r>
      <w:r w:rsidR="00FD3618">
        <w:t>width</w:t>
      </w:r>
      <w:r>
        <w:t xml:space="preserve"> </w:t>
      </w:r>
      <w:r w:rsidR="00540B62">
        <w:t>part is also much more relevant</w:t>
      </w:r>
      <w:r w:rsidR="00FD3618">
        <w:t xml:space="preserve"> for </w:t>
      </w:r>
      <w:r w:rsidR="00C23B66">
        <w:t>th</w:t>
      </w:r>
      <w:r w:rsidR="0010182E">
        <w:t>e downlink direction</w:t>
      </w:r>
      <w:r>
        <w:t xml:space="preserve"> compared </w:t>
      </w:r>
      <w:r w:rsidR="00C23B66">
        <w:t xml:space="preserve"> to the uplink direction</w:t>
      </w:r>
      <w:r w:rsidR="00540B62">
        <w:t xml:space="preserve"> and it is unclear </w:t>
      </w:r>
      <w:r w:rsidR="0010182E">
        <w:t xml:space="preserve">to us </w:t>
      </w:r>
      <w:r w:rsidR="00540B62">
        <w:t xml:space="preserve">if </w:t>
      </w:r>
      <w:r w:rsidR="0010182E">
        <w:t xml:space="preserve">the concept of </w:t>
      </w:r>
      <w:r w:rsidR="00540B62" w:rsidRPr="0010182E">
        <w:rPr>
          <w:i/>
        </w:rPr>
        <w:t>uplink</w:t>
      </w:r>
      <w:r w:rsidR="00540B62">
        <w:t xml:space="preserve"> bandwidth parts even need to be specified</w:t>
      </w:r>
      <w:r w:rsidR="00C23B66">
        <w:t xml:space="preserve">. </w:t>
      </w:r>
    </w:p>
    <w:p w14:paraId="1CD9E8D4" w14:textId="7D83FE76" w:rsidR="00C23B66" w:rsidRDefault="00C23B66" w:rsidP="00C23B66">
      <w:r>
        <w:t xml:space="preserve">In the downlink direction, a UE </w:t>
      </w:r>
      <w:r w:rsidR="0079651A">
        <w:t>knows that PDCCH</w:t>
      </w:r>
      <w:r w:rsidR="00B87C34">
        <w:t xml:space="preserve"> transmission takes place within a certain </w:t>
      </w:r>
      <w:r w:rsidR="0079651A">
        <w:t xml:space="preserve">frequency range given by the configured </w:t>
      </w:r>
      <w:r w:rsidR="00B87C34">
        <w:t>CORESET</w:t>
      </w:r>
      <w:r w:rsidR="0079651A">
        <w:t>(s)</w:t>
      </w:r>
      <w:r w:rsidR="00B87C34">
        <w:t xml:space="preserve">. However, </w:t>
      </w:r>
      <w:r w:rsidR="0010182E">
        <w:t xml:space="preserve">in case of dynamically scheduled PDSCH, </w:t>
      </w:r>
      <w:r w:rsidR="00B87C34">
        <w:t xml:space="preserve">the UE does </w:t>
      </w:r>
      <w:r w:rsidR="00B87C34">
        <w:lastRenderedPageBreak/>
        <w:t xml:space="preserve">not know the frequency resources of the PDSCH transmission until decoding the DCI </w:t>
      </w:r>
      <w:r w:rsidR="0010182E">
        <w:t xml:space="preserve">has been completed </w:t>
      </w:r>
      <w:r w:rsidR="00B87C34">
        <w:t xml:space="preserve">and, at that stage, the PDSCH transmission may already been ongoing. </w:t>
      </w:r>
      <w:r>
        <w:t xml:space="preserve">Thus, for bandwidth-limited UEs, the concept of </w:t>
      </w:r>
      <w:r w:rsidR="00B87C34">
        <w:t xml:space="preserve">downlink </w:t>
      </w:r>
      <w:r>
        <w:t xml:space="preserve">bandwidth part is </w:t>
      </w:r>
      <w:r w:rsidR="0079651A">
        <w:t xml:space="preserve">definitely </w:t>
      </w:r>
      <w:r>
        <w:t xml:space="preserve">needed in order for </w:t>
      </w:r>
      <w:r w:rsidR="0079651A">
        <w:t xml:space="preserve">the </w:t>
      </w:r>
      <w:r>
        <w:t xml:space="preserve">UE to know on what frequency-domain </w:t>
      </w:r>
      <w:r w:rsidR="00B87C34">
        <w:t xml:space="preserve">resource PDSCH transmission </w:t>
      </w:r>
      <w:r w:rsidR="00B87C34" w:rsidRPr="0079651A">
        <w:rPr>
          <w:i/>
        </w:rPr>
        <w:t>may</w:t>
      </w:r>
      <w:r w:rsidR="00B87C34">
        <w:t xml:space="preserve"> take place, i.e. what </w:t>
      </w:r>
      <w:r w:rsidR="0010182E">
        <w:t>[</w:t>
      </w:r>
      <w:r w:rsidR="00540B62">
        <w:t>limited</w:t>
      </w:r>
      <w:r w:rsidR="0010182E">
        <w:t>]</w:t>
      </w:r>
      <w:r w:rsidR="00540B62">
        <w:t xml:space="preserve"> </w:t>
      </w:r>
      <w:r w:rsidR="00B87C34">
        <w:t>frequency range (=</w:t>
      </w:r>
      <w:r w:rsidR="00540B62">
        <w:t xml:space="preserve"> downlink </w:t>
      </w:r>
      <w:r w:rsidR="00B87C34">
        <w:t xml:space="preserve">bandwidth part) to receive. </w:t>
      </w:r>
    </w:p>
    <w:p w14:paraId="6EC5C895" w14:textId="40A35144" w:rsidR="00C23B66" w:rsidRDefault="00B87C34" w:rsidP="00C23B66">
      <w:r>
        <w:t>In contrast, i</w:t>
      </w:r>
      <w:r w:rsidR="00C23B66">
        <w:t>n the uplink transmission direc</w:t>
      </w:r>
      <w:r w:rsidR="0079651A">
        <w:t>tion a UE obviously knows</w:t>
      </w:r>
      <w:r>
        <w:t xml:space="preserve"> in advance</w:t>
      </w:r>
      <w:r w:rsidR="0079651A">
        <w:t>, i.e. before transmission</w:t>
      </w:r>
      <w:r w:rsidR="0010182E">
        <w:t xml:space="preserve"> is to begin</w:t>
      </w:r>
      <w:r w:rsidR="0079651A">
        <w:t>,</w:t>
      </w:r>
      <w:r>
        <w:t xml:space="preserve"> </w:t>
      </w:r>
      <w:r w:rsidR="00C23B66">
        <w:t xml:space="preserve">on what set of frequency-domain resources to transmit, either by explicit scheduling or by means of configuration perhaps in combination with UE-internal decisions. </w:t>
      </w:r>
      <w:r w:rsidR="0079651A">
        <w:t xml:space="preserve">Those </w:t>
      </w:r>
      <w:r>
        <w:t>transmission resources should obviously be confined within a bandwidth not larger than the maximum UE uplink bandwidth capability.</w:t>
      </w:r>
      <w:r w:rsidR="0079651A">
        <w:t xml:space="preserve"> </w:t>
      </w:r>
      <w:r>
        <w:t xml:space="preserve"> Thus, in terms of ena</w:t>
      </w:r>
      <w:r w:rsidR="00F764A0">
        <w:t>bling bandwidth-</w:t>
      </w:r>
      <w:r>
        <w:t>limited UEs, the concept of</w:t>
      </w:r>
      <w:r w:rsidR="00F764A0">
        <w:t xml:space="preserve"> </w:t>
      </w:r>
      <w:r w:rsidR="0010182E">
        <w:t xml:space="preserve">an active </w:t>
      </w:r>
      <w:r w:rsidR="0079651A">
        <w:t xml:space="preserve">uplink </w:t>
      </w:r>
      <w:r w:rsidR="00F764A0">
        <w:t>bandwidth part</w:t>
      </w:r>
      <w:r w:rsidR="0079651A">
        <w:t xml:space="preserve"> different from the set of resources on which the actual transmission is to take place,</w:t>
      </w:r>
      <w:r w:rsidR="009B0665">
        <w:t xml:space="preserve"> does not seem to be </w:t>
      </w:r>
      <w:r w:rsidR="0079651A">
        <w:t>really needed</w:t>
      </w:r>
      <w:r w:rsidR="00F764A0">
        <w:t xml:space="preserve">. </w:t>
      </w:r>
      <w:r w:rsidR="0010182E">
        <w:t>In</w:t>
      </w:r>
      <w:r w:rsidR="009B0665">
        <w:t xml:space="preserve"> our view, t</w:t>
      </w:r>
      <w:r w:rsidR="00F764A0">
        <w:t xml:space="preserve">he only possible benefit of defining </w:t>
      </w:r>
      <w:r w:rsidR="0079651A">
        <w:t xml:space="preserve">the concept of </w:t>
      </w:r>
      <w:r w:rsidR="00F764A0">
        <w:t xml:space="preserve">uplink bandwidth parts is that it could reduce the </w:t>
      </w:r>
      <w:r w:rsidR="0079651A">
        <w:t>amount of signaling for uplink</w:t>
      </w:r>
      <w:r w:rsidR="00F764A0">
        <w:t xml:space="preserve"> resource assignment for bandwidth-limited UEs.</w:t>
      </w:r>
    </w:p>
    <w:p w14:paraId="34ACE57B" w14:textId="1430761C" w:rsidR="00C23B66" w:rsidRPr="0079651A" w:rsidRDefault="00C23B66" w:rsidP="0079651A">
      <w:pPr>
        <w:tabs>
          <w:tab w:val="left" w:pos="1418"/>
        </w:tabs>
        <w:ind w:left="1418" w:hanging="1418"/>
        <w:rPr>
          <w:i/>
        </w:rPr>
      </w:pPr>
      <w:r w:rsidRPr="00B22CA3">
        <w:rPr>
          <w:b/>
        </w:rPr>
        <w:t>Observation:</w:t>
      </w:r>
      <w:r>
        <w:t xml:space="preserve"> </w:t>
      </w:r>
      <w:r w:rsidR="0079651A">
        <w:tab/>
      </w:r>
      <w:r w:rsidR="0010182E">
        <w:rPr>
          <w:i/>
        </w:rPr>
        <w:t>It is unclear if the concept of</w:t>
      </w:r>
      <w:r w:rsidRPr="0079651A">
        <w:rPr>
          <w:i/>
        </w:rPr>
        <w:t xml:space="preserve"> </w:t>
      </w:r>
      <w:r w:rsidR="0010182E">
        <w:rPr>
          <w:i/>
        </w:rPr>
        <w:t xml:space="preserve">uplink </w:t>
      </w:r>
      <w:r w:rsidRPr="0079651A">
        <w:rPr>
          <w:i/>
        </w:rPr>
        <w:t>bandwidth part</w:t>
      </w:r>
      <w:r w:rsidR="0010182E">
        <w:rPr>
          <w:i/>
        </w:rPr>
        <w:t>s is needed</w:t>
      </w:r>
    </w:p>
    <w:p w14:paraId="6FD4D4AE" w14:textId="520B5AF6" w:rsidR="009B0665" w:rsidRDefault="0079651A" w:rsidP="009B0665">
      <w:r>
        <w:t>Introducing a conc</w:t>
      </w:r>
      <w:r w:rsidR="009B0665">
        <w:t>ept th</w:t>
      </w:r>
      <w:r w:rsidR="0010182E">
        <w:t>at is not needed and has limited</w:t>
      </w:r>
      <w:r>
        <w:t>,</w:t>
      </w:r>
      <w:r w:rsidR="009B0665">
        <w:t xml:space="preserve"> if any, benefits is clearly not prefered</w:t>
      </w:r>
      <w:r>
        <w:t xml:space="preserve">. Thus we propose to further consider if the concept of bandwidth parts </w:t>
      </w:r>
      <w:r w:rsidR="0010182E">
        <w:t xml:space="preserve">really </w:t>
      </w:r>
      <w:r>
        <w:t xml:space="preserve">should be part of the NR specifications. </w:t>
      </w:r>
    </w:p>
    <w:p w14:paraId="05935289" w14:textId="56ABC43D" w:rsidR="00F764A0" w:rsidRDefault="0079651A" w:rsidP="0079651A">
      <w:pPr>
        <w:pStyle w:val="Heading3"/>
      </w:pPr>
      <w:r>
        <w:t>Bandwidth part activation</w:t>
      </w:r>
      <w:r w:rsidR="00540B62">
        <w:t xml:space="preserve"> </w:t>
      </w:r>
    </w:p>
    <w:p w14:paraId="74F8E28A" w14:textId="6BBB7EEC" w:rsidR="0079651A" w:rsidRDefault="0079651A" w:rsidP="00B87C34">
      <w:r>
        <w:t>Based on the observations above, we focus on downlink bandwidth parts as a tool to enable bandwidth-limited UEs.</w:t>
      </w:r>
    </w:p>
    <w:p w14:paraId="216E76FB" w14:textId="55E818AB" w:rsidR="00F764A0" w:rsidRDefault="00F764A0" w:rsidP="00B87C34">
      <w:r>
        <w:t xml:space="preserve">In the discussions on bandwidth parts there has been a distinction between bandwidth-part </w:t>
      </w:r>
      <w:r w:rsidRPr="00540B62">
        <w:rPr>
          <w:i/>
        </w:rPr>
        <w:t xml:space="preserve">configuration </w:t>
      </w:r>
      <w:r>
        <w:t xml:space="preserve">and bandwidth-part </w:t>
      </w:r>
      <w:r w:rsidRPr="00540B62">
        <w:rPr>
          <w:i/>
        </w:rPr>
        <w:t>activation</w:t>
      </w:r>
      <w:r>
        <w:t xml:space="preserve">. This distinction is </w:t>
      </w:r>
      <w:r w:rsidR="00540B62">
        <w:t xml:space="preserve">highly relevant for the </w:t>
      </w:r>
      <w:r>
        <w:t xml:space="preserve">dynamic switching between </w:t>
      </w:r>
      <w:r w:rsidR="00540B62">
        <w:t xml:space="preserve">active </w:t>
      </w:r>
      <w:r>
        <w:t>bandwidth parts needed to support bandwidth adaptation. How</w:t>
      </w:r>
      <w:r w:rsidR="00540B62">
        <w:t>ever, in case of bandwidth part</w:t>
      </w:r>
      <w:r>
        <w:t xml:space="preserve"> as a tool to enable bandwidth-limited UEs,</w:t>
      </w:r>
      <w:r w:rsidR="00540B62">
        <w:t xml:space="preserve"> such dynamic switching of active bandwidth parts is not needed</w:t>
      </w:r>
      <w:r>
        <w:t>.</w:t>
      </w:r>
      <w:r w:rsidR="009B0665">
        <w:t xml:space="preserve"> Rather, bandwidth-part activation/de-activation will typically be a very slow semi-static process triggered by e.g. load-balancing preferences. </w:t>
      </w:r>
      <w:r>
        <w:t xml:space="preserve"> In case of </w:t>
      </w:r>
      <w:r w:rsidR="009B0665">
        <w:t xml:space="preserve">such </w:t>
      </w:r>
      <w:r>
        <w:t xml:space="preserve">semi-static bandwidth-part activation, </w:t>
      </w:r>
      <w:r w:rsidR="009B0665">
        <w:t>the activation does</w:t>
      </w:r>
      <w:r w:rsidR="0010182E">
        <w:t xml:space="preserve"> </w:t>
      </w:r>
      <w:r w:rsidR="009B0665">
        <w:t>not have to be explicitly triggered but can</w:t>
      </w:r>
      <w:r w:rsidR="00540B62">
        <w:t xml:space="preserve"> be done as a direct consequence of</w:t>
      </w:r>
      <w:r w:rsidR="00040654">
        <w:t xml:space="preserve"> </w:t>
      </w:r>
      <w:r w:rsidR="009B0665">
        <w:t xml:space="preserve">the </w:t>
      </w:r>
      <w:r w:rsidR="00040654">
        <w:t>RRC-bas</w:t>
      </w:r>
      <w:r w:rsidR="00540B62">
        <w:t>ed bandw</w:t>
      </w:r>
      <w:r w:rsidR="009B0665">
        <w:t>idth-part configuration</w:t>
      </w:r>
      <w:r w:rsidR="00540B62">
        <w:t>.</w:t>
      </w:r>
    </w:p>
    <w:p w14:paraId="0DA289A6" w14:textId="583E3457" w:rsidR="00F764A0" w:rsidRDefault="00F764A0" w:rsidP="00B87C34">
      <w:r w:rsidRPr="00F764A0">
        <w:rPr>
          <w:b/>
        </w:rPr>
        <w:t>Proposal:</w:t>
      </w:r>
      <w:r>
        <w:t xml:space="preserve"> </w:t>
      </w:r>
      <w:r w:rsidR="00040654" w:rsidRPr="00540B62">
        <w:rPr>
          <w:i/>
        </w:rPr>
        <w:t xml:space="preserve">For semi-static bandwidth-part activation, </w:t>
      </w:r>
      <w:r w:rsidR="009B0665">
        <w:rPr>
          <w:i/>
        </w:rPr>
        <w:t xml:space="preserve">the </w:t>
      </w:r>
      <w:r w:rsidR="00040654" w:rsidRPr="00540B62">
        <w:rPr>
          <w:i/>
        </w:rPr>
        <w:t xml:space="preserve">activation </w:t>
      </w:r>
      <w:r w:rsidR="009B0665">
        <w:rPr>
          <w:i/>
        </w:rPr>
        <w:t xml:space="preserve">is </w:t>
      </w:r>
      <w:r w:rsidR="00540B62" w:rsidRPr="00540B62">
        <w:rPr>
          <w:i/>
        </w:rPr>
        <w:t xml:space="preserve">a direct consequence of </w:t>
      </w:r>
      <w:r w:rsidR="009B0665">
        <w:rPr>
          <w:i/>
        </w:rPr>
        <w:t xml:space="preserve">the </w:t>
      </w:r>
      <w:r w:rsidR="00040654" w:rsidRPr="00540B62">
        <w:rPr>
          <w:i/>
        </w:rPr>
        <w:t>RRC-base</w:t>
      </w:r>
      <w:r w:rsidR="00540B62" w:rsidRPr="00540B62">
        <w:rPr>
          <w:i/>
        </w:rPr>
        <w:t>d bandwidth-part configuration without any explicit activation command.</w:t>
      </w:r>
    </w:p>
    <w:p w14:paraId="4E6BEB97" w14:textId="51887149" w:rsidR="00040654" w:rsidRDefault="00040654" w:rsidP="00B87C34">
      <w:r>
        <w:t xml:space="preserve">When </w:t>
      </w:r>
      <w:r w:rsidR="00540B62">
        <w:t xml:space="preserve">a bandwidth part activation is </w:t>
      </w:r>
      <w:r>
        <w:t>triggered by RRC signaling there may be an uncertainty at exactly what time instant a UE is actually activating the downlink bandwidth part. Thus</w:t>
      </w:r>
      <w:r w:rsidR="009B0665">
        <w:t>,</w:t>
      </w:r>
      <w:r>
        <w:t xml:space="preserve"> some sort of UE indicat</w:t>
      </w:r>
      <w:r w:rsidR="00540B62">
        <w:t>ion on bandwidth-part activation may</w:t>
      </w:r>
      <w:r>
        <w:t xml:space="preserve"> be needed.</w:t>
      </w:r>
      <w:r w:rsidR="009B0665">
        <w:t xml:space="preserve"> </w:t>
      </w:r>
    </w:p>
    <w:p w14:paraId="546C2601" w14:textId="77777777" w:rsidR="009B0665" w:rsidRDefault="009B0665" w:rsidP="00B87C34"/>
    <w:p w14:paraId="339DFA8C" w14:textId="77777777" w:rsidR="00040654" w:rsidRPr="006736D5" w:rsidRDefault="00040654" w:rsidP="00B87C34"/>
    <w:p w14:paraId="6CA4B289" w14:textId="77777777" w:rsidR="00F2211F" w:rsidRDefault="00F2211F">
      <w:pPr>
        <w:spacing w:after="0" w:line="240" w:lineRule="auto"/>
        <w:rPr>
          <w:rFonts w:ascii="Arial" w:eastAsia="Times New Roman" w:hAnsi="Arial" w:cs="Arial"/>
          <w:sz w:val="36"/>
          <w:szCs w:val="36"/>
          <w:lang w:eastAsia="zh-CN"/>
        </w:rPr>
      </w:pPr>
      <w:r>
        <w:br w:type="page"/>
      </w:r>
    </w:p>
    <w:p w14:paraId="2C1B6BD4" w14:textId="4B1480F9" w:rsidR="00C01F33" w:rsidRPr="007B78FE" w:rsidRDefault="00C01F33" w:rsidP="00CE0424">
      <w:pPr>
        <w:pStyle w:val="Heading1"/>
        <w:rPr>
          <w:lang w:val="en-US"/>
        </w:rPr>
      </w:pPr>
      <w:r w:rsidRPr="007B78FE">
        <w:rPr>
          <w:lang w:val="en-US"/>
        </w:rPr>
        <w:lastRenderedPageBreak/>
        <w:t>Conclusion</w:t>
      </w:r>
    </w:p>
    <w:p w14:paraId="0E95D80F" w14:textId="66924309" w:rsidR="001154BD" w:rsidRDefault="008F47B9" w:rsidP="008E065E">
      <w:pPr>
        <w:rPr>
          <w:bCs/>
        </w:rPr>
      </w:pPr>
      <w:r>
        <w:rPr>
          <w:bCs/>
        </w:rPr>
        <w:t xml:space="preserve">In this contribution, we discuss </w:t>
      </w:r>
      <w:r w:rsidR="00E3294E">
        <w:rPr>
          <w:bCs/>
        </w:rPr>
        <w:t xml:space="preserve">CA handling for scheduling and feedback </w:t>
      </w:r>
      <w:r w:rsidR="003707D2">
        <w:rPr>
          <w:bCs/>
        </w:rPr>
        <w:t xml:space="preserve">based on the discussion we propose the following: </w:t>
      </w:r>
    </w:p>
    <w:p w14:paraId="45FDE9A6" w14:textId="77777777" w:rsidR="00F036CF" w:rsidRPr="00B87C34" w:rsidRDefault="00F036CF" w:rsidP="00BF4987">
      <w:pPr>
        <w:rPr>
          <w:b/>
          <w:u w:val="single"/>
        </w:rPr>
      </w:pPr>
      <w:bookmarkStart w:id="6" w:name="_Hlk492823628"/>
      <w:r w:rsidRPr="00B87C34">
        <w:rPr>
          <w:b/>
          <w:u w:val="single"/>
        </w:rPr>
        <w:t>For CA related aspects</w:t>
      </w:r>
    </w:p>
    <w:bookmarkEnd w:id="6"/>
    <w:p w14:paraId="169BBC1B" w14:textId="4EE5DEF1" w:rsidR="00BF4987" w:rsidRPr="00B87C34" w:rsidRDefault="00BF4987" w:rsidP="00B87C34">
      <w:pPr>
        <w:pStyle w:val="ListParagraph"/>
        <w:numPr>
          <w:ilvl w:val="0"/>
          <w:numId w:val="23"/>
        </w:numPr>
        <w:rPr>
          <w:b/>
        </w:rPr>
      </w:pPr>
      <w:r w:rsidRPr="00B87C34">
        <w:rPr>
          <w:b/>
        </w:rPr>
        <w:t>Proposal 1</w:t>
      </w:r>
      <w:r w:rsidR="00F036CF" w:rsidRPr="00BC2333">
        <w:rPr>
          <w:b/>
        </w:rPr>
        <w:t>-1</w:t>
      </w:r>
    </w:p>
    <w:p w14:paraId="6F8C1EC3" w14:textId="77777777" w:rsidR="00BF4987" w:rsidRPr="00B87C34" w:rsidRDefault="00BF4987" w:rsidP="00B87C34">
      <w:pPr>
        <w:pStyle w:val="ListParagraph"/>
        <w:numPr>
          <w:ilvl w:val="1"/>
          <w:numId w:val="23"/>
        </w:numPr>
        <w:rPr>
          <w:rFonts w:ascii="Arial" w:hAnsi="Arial" w:cs="Arial"/>
          <w:sz w:val="20"/>
          <w:szCs w:val="20"/>
        </w:rPr>
      </w:pPr>
      <w:r w:rsidRPr="00B87C34">
        <w:rPr>
          <w:rFonts w:ascii="Arial" w:hAnsi="Arial" w:cs="Arial"/>
          <w:sz w:val="20"/>
          <w:szCs w:val="20"/>
        </w:rPr>
        <w:t>CIF field is 3 bits</w:t>
      </w:r>
    </w:p>
    <w:p w14:paraId="6D851F90" w14:textId="472EA25B" w:rsidR="00BF4987" w:rsidRPr="00B87C34" w:rsidRDefault="00BF4987" w:rsidP="00B87C34">
      <w:pPr>
        <w:pStyle w:val="ListParagraph"/>
        <w:numPr>
          <w:ilvl w:val="1"/>
          <w:numId w:val="23"/>
        </w:numPr>
        <w:rPr>
          <w:rFonts w:ascii="Arial" w:hAnsi="Arial" w:cs="Arial"/>
          <w:sz w:val="20"/>
          <w:szCs w:val="20"/>
        </w:rPr>
      </w:pPr>
      <w:r w:rsidRPr="00B87C34">
        <w:rPr>
          <w:rFonts w:ascii="Arial" w:hAnsi="Arial" w:cs="Arial"/>
          <w:sz w:val="20"/>
          <w:szCs w:val="20"/>
        </w:rPr>
        <w:t>No specific consideration is done for BWP and cross-carrier scheduling</w:t>
      </w:r>
    </w:p>
    <w:p w14:paraId="61D008F7" w14:textId="3A118700" w:rsidR="00BF4987" w:rsidRPr="00B87C34" w:rsidRDefault="00BF4987" w:rsidP="00B87C34">
      <w:pPr>
        <w:pStyle w:val="ListParagraph"/>
        <w:numPr>
          <w:ilvl w:val="0"/>
          <w:numId w:val="23"/>
        </w:numPr>
        <w:rPr>
          <w:b/>
        </w:rPr>
      </w:pPr>
      <w:r w:rsidRPr="00B87C34">
        <w:rPr>
          <w:b/>
        </w:rPr>
        <w:t xml:space="preserve">Proposal </w:t>
      </w:r>
      <w:r w:rsidR="00F036CF" w:rsidRPr="00BC2333">
        <w:rPr>
          <w:b/>
        </w:rPr>
        <w:t>1-</w:t>
      </w:r>
      <w:r w:rsidRPr="00B87C34">
        <w:rPr>
          <w:b/>
        </w:rPr>
        <w:t>2</w:t>
      </w:r>
    </w:p>
    <w:p w14:paraId="04F4D921" w14:textId="74F70E2A" w:rsidR="00BF4987" w:rsidRPr="00B87C34" w:rsidRDefault="00BF4987" w:rsidP="00B87C34">
      <w:pPr>
        <w:pStyle w:val="ListParagraph"/>
        <w:numPr>
          <w:ilvl w:val="1"/>
          <w:numId w:val="23"/>
        </w:numPr>
        <w:rPr>
          <w:rFonts w:ascii="Arial" w:hAnsi="Arial" w:cs="Arial"/>
          <w:sz w:val="20"/>
          <w:szCs w:val="20"/>
        </w:rPr>
      </w:pPr>
      <w:r w:rsidRPr="00B87C34">
        <w:rPr>
          <w:rFonts w:ascii="Arial" w:hAnsi="Arial" w:cs="Arial"/>
          <w:sz w:val="20"/>
          <w:szCs w:val="20"/>
        </w:rPr>
        <w:t xml:space="preserve">The UE monitors for random access response messages and paging </w:t>
      </w:r>
      <w:r w:rsidR="00B52212">
        <w:rPr>
          <w:rFonts w:ascii="Arial" w:hAnsi="Arial" w:cs="Arial"/>
          <w:sz w:val="20"/>
          <w:szCs w:val="20"/>
        </w:rPr>
        <w:t xml:space="preserve">only </w:t>
      </w:r>
      <w:r w:rsidRPr="00B87C34">
        <w:rPr>
          <w:rFonts w:ascii="Arial" w:hAnsi="Arial" w:cs="Arial"/>
          <w:sz w:val="20"/>
          <w:szCs w:val="20"/>
        </w:rPr>
        <w:t>on the common search space</w:t>
      </w:r>
    </w:p>
    <w:p w14:paraId="403A81F5" w14:textId="77777777" w:rsidR="00BF4987" w:rsidRPr="00B87C34" w:rsidRDefault="00BF4987" w:rsidP="00B87C34">
      <w:pPr>
        <w:pStyle w:val="ListParagraph"/>
        <w:numPr>
          <w:ilvl w:val="1"/>
          <w:numId w:val="23"/>
        </w:numPr>
        <w:rPr>
          <w:rFonts w:ascii="Arial" w:hAnsi="Arial" w:cs="Arial"/>
          <w:sz w:val="20"/>
          <w:szCs w:val="20"/>
        </w:rPr>
      </w:pPr>
      <w:r w:rsidRPr="00B87C34">
        <w:rPr>
          <w:rFonts w:ascii="Arial" w:hAnsi="Arial" w:cs="Arial"/>
          <w:sz w:val="20"/>
          <w:szCs w:val="20"/>
        </w:rPr>
        <w:t>The UE does not monitor the common search space on secondary component carriers</w:t>
      </w:r>
    </w:p>
    <w:p w14:paraId="54039685" w14:textId="51E13A53" w:rsidR="00BF4987" w:rsidRPr="00B87C34" w:rsidRDefault="00BF4987" w:rsidP="00B87C34">
      <w:pPr>
        <w:pStyle w:val="ListParagraph"/>
        <w:numPr>
          <w:ilvl w:val="0"/>
          <w:numId w:val="23"/>
        </w:numPr>
        <w:rPr>
          <w:b/>
        </w:rPr>
      </w:pPr>
      <w:r w:rsidRPr="00B87C34">
        <w:rPr>
          <w:b/>
        </w:rPr>
        <w:t xml:space="preserve">Proposal </w:t>
      </w:r>
      <w:r w:rsidR="00C71C9F" w:rsidRPr="00BC2333">
        <w:rPr>
          <w:b/>
        </w:rPr>
        <w:t>1-</w:t>
      </w:r>
      <w:r w:rsidRPr="00B87C34">
        <w:rPr>
          <w:b/>
        </w:rPr>
        <w:t>3</w:t>
      </w:r>
    </w:p>
    <w:p w14:paraId="28B2476E" w14:textId="77777777" w:rsidR="00BF4987" w:rsidRPr="00B87C34"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4 timing advance groups are supported</w:t>
      </w:r>
    </w:p>
    <w:p w14:paraId="5A6B1C01" w14:textId="77777777" w:rsidR="00BF4987" w:rsidRPr="00B87C34"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Only non-contention based random access is supported for secondary timing advance groups</w:t>
      </w:r>
    </w:p>
    <w:p w14:paraId="73173168" w14:textId="4133900F" w:rsidR="00BF4987" w:rsidRPr="00B87C34" w:rsidRDefault="00BF4987" w:rsidP="00B87C34">
      <w:pPr>
        <w:pStyle w:val="ListParagraph"/>
        <w:numPr>
          <w:ilvl w:val="0"/>
          <w:numId w:val="23"/>
        </w:numPr>
        <w:rPr>
          <w:b/>
        </w:rPr>
      </w:pPr>
      <w:r w:rsidRPr="00B87C34">
        <w:rPr>
          <w:b/>
        </w:rPr>
        <w:t xml:space="preserve">Proposal </w:t>
      </w:r>
      <w:r w:rsidR="00C71C9F" w:rsidRPr="00BC2333">
        <w:rPr>
          <w:b/>
        </w:rPr>
        <w:t>1-</w:t>
      </w:r>
      <w:r w:rsidRPr="00B87C34">
        <w:rPr>
          <w:b/>
        </w:rPr>
        <w:t>4</w:t>
      </w:r>
    </w:p>
    <w:p w14:paraId="5BCF5C8A" w14:textId="27D4B75E" w:rsidR="00BF4987" w:rsidRPr="00B87C34" w:rsidRDefault="00B52212" w:rsidP="00B87C34">
      <w:pPr>
        <w:pStyle w:val="ListParagraph"/>
        <w:numPr>
          <w:ilvl w:val="1"/>
          <w:numId w:val="23"/>
        </w:numPr>
      </w:pPr>
      <w:bookmarkStart w:id="7" w:name="_Hlk492824021"/>
      <w:r>
        <w:rPr>
          <w:rFonts w:ascii="Arial" w:eastAsia="Times New Roman" w:hAnsi="Arial"/>
          <w:sz w:val="20"/>
          <w:szCs w:val="20"/>
          <w:lang w:val="en-GB" w:eastAsia="zh-CN"/>
        </w:rPr>
        <w:t xml:space="preserve">The case of </w:t>
      </w:r>
      <w:r w:rsidR="00BF4987" w:rsidRPr="00B87C34">
        <w:rPr>
          <w:rFonts w:ascii="Arial" w:eastAsia="Times New Roman" w:hAnsi="Arial"/>
          <w:sz w:val="20"/>
          <w:szCs w:val="20"/>
          <w:lang w:val="en-GB" w:eastAsia="zh-CN"/>
        </w:rPr>
        <w:t>PDCCH and the scheduled PDSCH hav</w:t>
      </w:r>
      <w:r>
        <w:rPr>
          <w:rFonts w:ascii="Arial" w:eastAsia="Times New Roman" w:hAnsi="Arial"/>
          <w:sz w:val="20"/>
          <w:szCs w:val="20"/>
          <w:lang w:val="en-GB" w:eastAsia="zh-CN"/>
        </w:rPr>
        <w:t>ing</w:t>
      </w:r>
      <w:r w:rsidR="00BF4987" w:rsidRPr="00B87C34">
        <w:rPr>
          <w:rFonts w:ascii="Arial" w:eastAsia="Times New Roman" w:hAnsi="Arial"/>
          <w:sz w:val="20"/>
          <w:szCs w:val="20"/>
          <w:lang w:val="en-GB" w:eastAsia="zh-CN"/>
        </w:rPr>
        <w:t xml:space="preserve"> different numerologies</w:t>
      </w:r>
      <w:r>
        <w:rPr>
          <w:rFonts w:ascii="Arial" w:eastAsia="Times New Roman" w:hAnsi="Arial"/>
          <w:sz w:val="20"/>
          <w:szCs w:val="20"/>
          <w:lang w:val="en-GB" w:eastAsia="zh-CN"/>
        </w:rPr>
        <w:t xml:space="preserve"> is not supported for self-scheduling case</w:t>
      </w:r>
    </w:p>
    <w:bookmarkEnd w:id="7"/>
    <w:p w14:paraId="197518F8" w14:textId="540CBFF7" w:rsidR="006736D5" w:rsidRPr="006736D5" w:rsidRDefault="006736D5" w:rsidP="006736D5">
      <w:pPr>
        <w:pStyle w:val="ListParagraph"/>
        <w:numPr>
          <w:ilvl w:val="0"/>
          <w:numId w:val="23"/>
        </w:numPr>
        <w:rPr>
          <w:b/>
        </w:rPr>
      </w:pPr>
      <w:r w:rsidRPr="006736D5">
        <w:rPr>
          <w:b/>
        </w:rPr>
        <w:t>Proposal 1-5</w:t>
      </w:r>
    </w:p>
    <w:p w14:paraId="68578546" w14:textId="5C953284" w:rsidR="00F2211F" w:rsidRPr="00F2211F" w:rsidRDefault="006736D5" w:rsidP="00F2211F">
      <w:pPr>
        <w:pStyle w:val="ListParagraph"/>
        <w:numPr>
          <w:ilvl w:val="1"/>
          <w:numId w:val="23"/>
        </w:numPr>
        <w:rPr>
          <w:rFonts w:ascii="Arial" w:hAnsi="Arial" w:cs="Arial"/>
        </w:rPr>
      </w:pPr>
      <w:r w:rsidRPr="00B87C34">
        <w:rPr>
          <w:rFonts w:ascii="Arial" w:hAnsi="Arial" w:cs="Arial"/>
          <w:sz w:val="20"/>
          <w:szCs w:val="20"/>
        </w:rPr>
        <w:t>A PUCCH in a cell group can be configured on any UL carrier within the cell grou</w:t>
      </w:r>
      <w:r w:rsidRPr="00B87C34">
        <w:rPr>
          <w:rFonts w:ascii="Arial" w:hAnsi="Arial" w:cs="Arial"/>
        </w:rPr>
        <w:t>p</w:t>
      </w:r>
    </w:p>
    <w:p w14:paraId="610090BF" w14:textId="77777777" w:rsidR="00937BFB" w:rsidRDefault="00937BFB" w:rsidP="00937BFB">
      <w:pPr>
        <w:rPr>
          <w:b/>
          <w:u w:val="single"/>
        </w:rPr>
      </w:pPr>
    </w:p>
    <w:p w14:paraId="3973F31F" w14:textId="303EF8AD" w:rsidR="00937BFB" w:rsidRPr="00902AB9" w:rsidRDefault="00937BFB" w:rsidP="00937BFB">
      <w:pPr>
        <w:rPr>
          <w:b/>
          <w:u w:val="single"/>
        </w:rPr>
      </w:pPr>
      <w:r>
        <w:rPr>
          <w:b/>
          <w:u w:val="single"/>
        </w:rPr>
        <w:t>For BWP</w:t>
      </w:r>
      <w:r w:rsidRPr="00902AB9">
        <w:rPr>
          <w:b/>
          <w:u w:val="single"/>
        </w:rPr>
        <w:t xml:space="preserve"> related aspects</w:t>
      </w:r>
    </w:p>
    <w:p w14:paraId="6EE630FE" w14:textId="357BD492" w:rsidR="00540B62" w:rsidRPr="006736D5" w:rsidRDefault="00540B62" w:rsidP="00540B62">
      <w:pPr>
        <w:pStyle w:val="ListParagraph"/>
        <w:numPr>
          <w:ilvl w:val="0"/>
          <w:numId w:val="23"/>
        </w:numPr>
        <w:rPr>
          <w:b/>
        </w:rPr>
      </w:pPr>
      <w:r>
        <w:rPr>
          <w:b/>
        </w:rPr>
        <w:t>Proposal 2-1</w:t>
      </w:r>
    </w:p>
    <w:p w14:paraId="0FF2747E" w14:textId="13F9CA51" w:rsidR="00540B62" w:rsidRDefault="0010182E" w:rsidP="00540B62">
      <w:pPr>
        <w:pStyle w:val="ListParagraph"/>
        <w:numPr>
          <w:ilvl w:val="1"/>
          <w:numId w:val="23"/>
        </w:numPr>
      </w:pPr>
      <w:r>
        <w:t xml:space="preserve">First </w:t>
      </w:r>
      <w:r w:rsidR="00540B62">
        <w:t xml:space="preserve">priority with regard to bandwidth parts is to ensure that bandwidth parts as a tool to enable bandwidth-limited UEs is finalized for the December specifications. </w:t>
      </w:r>
    </w:p>
    <w:p w14:paraId="190D815E" w14:textId="77777777" w:rsidR="009B0665" w:rsidRDefault="00540B62" w:rsidP="009B0665">
      <w:pPr>
        <w:pStyle w:val="ListParagraph"/>
        <w:numPr>
          <w:ilvl w:val="0"/>
          <w:numId w:val="23"/>
        </w:numPr>
        <w:rPr>
          <w:rFonts w:asciiTheme="minorHAnsi" w:hAnsiTheme="minorHAnsi" w:cs="Arial"/>
          <w:b/>
        </w:rPr>
      </w:pPr>
      <w:r w:rsidRPr="00540B62">
        <w:rPr>
          <w:rFonts w:asciiTheme="minorHAnsi" w:hAnsiTheme="minorHAnsi" w:cs="Arial"/>
          <w:b/>
        </w:rPr>
        <w:t>Proposal 2-2</w:t>
      </w:r>
    </w:p>
    <w:p w14:paraId="391B597F" w14:textId="1B5BE5BF" w:rsidR="009B0665" w:rsidRPr="009B0665" w:rsidRDefault="009B0665" w:rsidP="009B0665">
      <w:pPr>
        <w:pStyle w:val="ListParagraph"/>
        <w:numPr>
          <w:ilvl w:val="1"/>
          <w:numId w:val="23"/>
        </w:numPr>
        <w:rPr>
          <w:rFonts w:asciiTheme="minorHAnsi" w:hAnsiTheme="minorHAnsi" w:cs="Arial"/>
          <w:b/>
        </w:rPr>
      </w:pPr>
      <w:r w:rsidRPr="009B0665">
        <w:t>For semi-static bandwidth-part activation, the activation is a direct consequence of the RRC-based bandwidth-part configuration without any explicit activation command.</w:t>
      </w:r>
    </w:p>
    <w:p w14:paraId="2F897ED8" w14:textId="39CA8235" w:rsidR="009B0665" w:rsidRDefault="009B0665" w:rsidP="009B0665">
      <w:pPr>
        <w:pStyle w:val="ListParagraph"/>
        <w:numPr>
          <w:ilvl w:val="0"/>
          <w:numId w:val="23"/>
        </w:numPr>
        <w:rPr>
          <w:rFonts w:asciiTheme="minorHAnsi" w:hAnsiTheme="minorHAnsi" w:cs="Arial"/>
          <w:b/>
        </w:rPr>
      </w:pPr>
      <w:r>
        <w:rPr>
          <w:rFonts w:asciiTheme="minorHAnsi" w:hAnsiTheme="minorHAnsi" w:cs="Arial"/>
          <w:b/>
        </w:rPr>
        <w:t>Observation</w:t>
      </w:r>
    </w:p>
    <w:p w14:paraId="45AC2C10" w14:textId="6FFE2270" w:rsidR="009B0665" w:rsidRPr="00D41547" w:rsidRDefault="0010182E" w:rsidP="0010182E">
      <w:pPr>
        <w:pStyle w:val="ListParagraph"/>
        <w:numPr>
          <w:ilvl w:val="1"/>
          <w:numId w:val="23"/>
        </w:numPr>
        <w:rPr>
          <w:rFonts w:cs="Arial"/>
          <w:b/>
        </w:rPr>
      </w:pPr>
      <w:r w:rsidRPr="0010182E">
        <w:t>It is unclear if the</w:t>
      </w:r>
      <w:r>
        <w:t xml:space="preserve"> concept</w:t>
      </w:r>
      <w:r w:rsidRPr="0010182E">
        <w:t xml:space="preserve"> of uplink bandwidth parts is needed</w:t>
      </w:r>
    </w:p>
    <w:p w14:paraId="037C0F6A" w14:textId="77777777" w:rsidR="0067211F" w:rsidRPr="0010182E" w:rsidRDefault="0067211F" w:rsidP="00D41547">
      <w:pPr>
        <w:pStyle w:val="ListParagraph"/>
        <w:rPr>
          <w:rFonts w:cs="Arial"/>
          <w:b/>
        </w:rPr>
      </w:pPr>
    </w:p>
    <w:p w14:paraId="57B73A36" w14:textId="77777777" w:rsidR="00F507D1" w:rsidRPr="007B78FE" w:rsidRDefault="00F507D1" w:rsidP="00CE0424">
      <w:pPr>
        <w:pStyle w:val="Heading1"/>
        <w:rPr>
          <w:lang w:val="en-US"/>
        </w:rPr>
      </w:pPr>
      <w:bookmarkStart w:id="8" w:name="_In-sequence_SDU_delivery"/>
      <w:bookmarkEnd w:id="8"/>
      <w:r w:rsidRPr="007B78FE">
        <w:rPr>
          <w:lang w:val="en-US"/>
        </w:rPr>
        <w:t>References</w:t>
      </w:r>
    </w:p>
    <w:p w14:paraId="3618435D" w14:textId="039111CA" w:rsidR="00221CBF" w:rsidRDefault="00221CBF" w:rsidP="00221CBF">
      <w:pPr>
        <w:pStyle w:val="Reference"/>
      </w:pPr>
      <w:bookmarkStart w:id="9" w:name="_Ref473934775"/>
      <w:bookmarkStart w:id="10" w:name="_Ref481744756"/>
      <w:bookmarkStart w:id="11" w:name="_Ref174151459"/>
      <w:bookmarkStart w:id="12" w:name="_Ref189809556"/>
      <w:r w:rsidRPr="007B78FE">
        <w:t>Chairman’s Notes, 3GPP TSG RAN WG1 Meeting#8</w:t>
      </w:r>
      <w:bookmarkEnd w:id="9"/>
      <w:bookmarkEnd w:id="10"/>
      <w:r w:rsidR="00ED2A30">
        <w:t>9</w:t>
      </w:r>
      <w:r w:rsidRPr="007B78FE">
        <w:t xml:space="preserve"> </w:t>
      </w:r>
      <w:bookmarkEnd w:id="11"/>
      <w:bookmarkEnd w:id="12"/>
    </w:p>
    <w:p w14:paraId="4FF9375E" w14:textId="1ED2DD1B" w:rsidR="00FC1C60" w:rsidRPr="00DC12C2" w:rsidRDefault="00D85EA9" w:rsidP="00D85EA9">
      <w:pPr>
        <w:pStyle w:val="Reference"/>
      </w:pPr>
      <w:bookmarkStart w:id="13" w:name="_Ref485300160"/>
      <w:r w:rsidRPr="00D85EA9">
        <w:t>R1-1711500</w:t>
      </w:r>
      <w:r w:rsidR="00FC1C60">
        <w:tab/>
      </w:r>
      <w:r w:rsidR="00FC1C60" w:rsidRPr="00DC12C2">
        <w:t xml:space="preserve">On Resource Allocation in the </w:t>
      </w:r>
      <w:r w:rsidR="00FC1C60">
        <w:t>Time</w:t>
      </w:r>
      <w:r w:rsidR="00FC1C60" w:rsidRPr="00DC12C2">
        <w:t xml:space="preserve"> Domain</w:t>
      </w:r>
      <w:r w:rsidR="00FC1C60">
        <w:tab/>
        <w:t>Ericsson</w:t>
      </w:r>
      <w:bookmarkEnd w:id="13"/>
    </w:p>
    <w:p w14:paraId="525109A5" w14:textId="49C677AA" w:rsidR="00FC1C60" w:rsidRPr="00DC12C2" w:rsidRDefault="00D85EA9" w:rsidP="00D85EA9">
      <w:pPr>
        <w:pStyle w:val="Reference"/>
      </w:pPr>
      <w:bookmarkStart w:id="14" w:name="_Ref485300167"/>
      <w:r w:rsidRPr="00D85EA9">
        <w:t>R1-1711499</w:t>
      </w:r>
      <w:r w:rsidR="00FC1C60">
        <w:tab/>
      </w:r>
      <w:r w:rsidR="00FC1C60" w:rsidRPr="00DC12C2">
        <w:t>On Resource Allocation in the Frequency Domain</w:t>
      </w:r>
      <w:r w:rsidR="00FC1C60">
        <w:tab/>
        <w:t>Ericsson</w:t>
      </w:r>
      <w:bookmarkEnd w:id="14"/>
    </w:p>
    <w:p w14:paraId="6F6426FB" w14:textId="5BE99A4B" w:rsidR="00FC1C60" w:rsidRPr="00715A0E" w:rsidRDefault="00D85EA9" w:rsidP="00D85EA9">
      <w:pPr>
        <w:pStyle w:val="Reference"/>
      </w:pPr>
      <w:bookmarkStart w:id="15" w:name="_Ref485301444"/>
      <w:r w:rsidRPr="00D85EA9">
        <w:t>R1-1711516</w:t>
      </w:r>
      <w:r w:rsidR="005A195D">
        <w:tab/>
      </w:r>
      <w:r w:rsidR="005A195D" w:rsidRPr="008F1B97">
        <w:rPr>
          <w:rFonts w:eastAsia="MS Mincho"/>
          <w:lang w:eastAsia="ja-JP"/>
        </w:rPr>
        <w:t>On Mixed Numerology</w:t>
      </w:r>
      <w:r w:rsidR="005A195D">
        <w:rPr>
          <w:rFonts w:eastAsia="MS Mincho"/>
          <w:lang w:eastAsia="ja-JP"/>
        </w:rPr>
        <w:tab/>
        <w:t>Ericsson</w:t>
      </w:r>
      <w:bookmarkEnd w:id="15"/>
    </w:p>
    <w:p w14:paraId="225DD73A" w14:textId="0B51F02C" w:rsidR="00A0387B" w:rsidRDefault="00D85EA9" w:rsidP="00D85EA9">
      <w:pPr>
        <w:pStyle w:val="Reference"/>
      </w:pPr>
      <w:bookmarkStart w:id="16" w:name="_Ref485371122"/>
      <w:r w:rsidRPr="00D85EA9">
        <w:t>R1-1711511</w:t>
      </w:r>
      <w:r w:rsidR="00A0387B">
        <w:t xml:space="preserve"> </w:t>
      </w:r>
      <w:r w:rsidR="00A0387B" w:rsidRPr="00A0387B">
        <w:t>On Minimum Processing Time and Number of HARQ Processes in NR On Minimum Processing Time and Number of HARQ Processes in NR</w:t>
      </w:r>
      <w:r w:rsidR="00A0387B">
        <w:tab/>
        <w:t xml:space="preserve">   Ericsson</w:t>
      </w:r>
      <w:bookmarkEnd w:id="16"/>
    </w:p>
    <w:p w14:paraId="08835384" w14:textId="70D33A66" w:rsidR="00B52212" w:rsidRPr="00D41547" w:rsidRDefault="00B52212" w:rsidP="00D85EA9">
      <w:pPr>
        <w:pStyle w:val="Reference"/>
      </w:pPr>
      <w:r w:rsidRPr="00D41547">
        <w:t>R1-17</w:t>
      </w:r>
      <w:r w:rsidR="0067211F" w:rsidRPr="00D41547">
        <w:t>16595</w:t>
      </w:r>
      <w:r w:rsidRPr="00D41547">
        <w:t xml:space="preserve"> On HARQ</w:t>
      </w:r>
      <w:r w:rsidR="0067211F" w:rsidRPr="00D41547">
        <w:t xml:space="preserve"> Management</w:t>
      </w:r>
      <w:r w:rsidRPr="00D41547">
        <w:tab/>
        <w:t>Ericsson</w:t>
      </w:r>
    </w:p>
    <w:sectPr w:rsidR="00B52212" w:rsidRPr="00D4154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0DA9E" w14:textId="77777777" w:rsidR="00295AA9" w:rsidRDefault="00295AA9">
      <w:r>
        <w:separator/>
      </w:r>
    </w:p>
  </w:endnote>
  <w:endnote w:type="continuationSeparator" w:id="0">
    <w:p w14:paraId="304EBE08" w14:textId="77777777" w:rsidR="00295AA9" w:rsidRDefault="0029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76ABF" w14:textId="77777777" w:rsidR="00693BA9" w:rsidRDefault="00693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BD940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096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096D">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4A76" w14:textId="77777777" w:rsidR="00693BA9" w:rsidRDefault="00693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B8A83" w14:textId="77777777" w:rsidR="00295AA9" w:rsidRDefault="00295AA9">
      <w:r>
        <w:separator/>
      </w:r>
    </w:p>
  </w:footnote>
  <w:footnote w:type="continuationSeparator" w:id="0">
    <w:p w14:paraId="62925387" w14:textId="77777777" w:rsidR="00295AA9" w:rsidRDefault="00295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7A435" w14:textId="77777777" w:rsidR="00693BA9" w:rsidRDefault="00693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B90B" w14:textId="77777777" w:rsidR="00693BA9" w:rsidRDefault="0069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5EB"/>
    <w:multiLevelType w:val="hybridMultilevel"/>
    <w:tmpl w:val="84866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9A55C3"/>
    <w:multiLevelType w:val="hybridMultilevel"/>
    <w:tmpl w:val="AAE0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47C7D"/>
    <w:multiLevelType w:val="hybridMultilevel"/>
    <w:tmpl w:val="A4D60FE0"/>
    <w:lvl w:ilvl="0" w:tplc="7ECE23A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20"/>
  </w:num>
  <w:num w:numId="11">
    <w:abstractNumId w:val="18"/>
  </w:num>
  <w:num w:numId="12">
    <w:abstractNumId w:val="3"/>
  </w:num>
  <w:num w:numId="13">
    <w:abstractNumId w:val="10"/>
  </w:num>
  <w:num w:numId="14">
    <w:abstractNumId w:val="2"/>
  </w:num>
  <w:num w:numId="15">
    <w:abstractNumId w:val="7"/>
  </w:num>
  <w:num w:numId="16">
    <w:abstractNumId w:val="4"/>
  </w:num>
  <w:num w:numId="17">
    <w:abstractNumId w:val="19"/>
  </w:num>
  <w:num w:numId="18">
    <w:abstractNumId w:val="5"/>
  </w:num>
  <w:num w:numId="19">
    <w:abstractNumId w:val="16"/>
  </w:num>
  <w:num w:numId="20">
    <w:abstractNumId w:val="0"/>
  </w:num>
  <w:num w:numId="21">
    <w:abstractNumId w:val="0"/>
  </w:num>
  <w:num w:numId="22">
    <w:abstractNumId w:val="0"/>
  </w:num>
  <w:num w:numId="23">
    <w:abstractNumId w:val="1"/>
  </w:num>
  <w:num w:numId="2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455"/>
    <w:rsid w:val="00015D15"/>
    <w:rsid w:val="0002531D"/>
    <w:rsid w:val="0002564D"/>
    <w:rsid w:val="00025ECA"/>
    <w:rsid w:val="000325B8"/>
    <w:rsid w:val="00034C15"/>
    <w:rsid w:val="00036BA1"/>
    <w:rsid w:val="00040654"/>
    <w:rsid w:val="000422E2"/>
    <w:rsid w:val="00042C07"/>
    <w:rsid w:val="00042F22"/>
    <w:rsid w:val="000444EF"/>
    <w:rsid w:val="00047CB6"/>
    <w:rsid w:val="00052A07"/>
    <w:rsid w:val="000534E3"/>
    <w:rsid w:val="0005606A"/>
    <w:rsid w:val="00057117"/>
    <w:rsid w:val="000616E7"/>
    <w:rsid w:val="00063ED0"/>
    <w:rsid w:val="0006487E"/>
    <w:rsid w:val="00065E1A"/>
    <w:rsid w:val="000663B6"/>
    <w:rsid w:val="00077E5F"/>
    <w:rsid w:val="0008036A"/>
    <w:rsid w:val="00081AE6"/>
    <w:rsid w:val="000855EB"/>
    <w:rsid w:val="00085B52"/>
    <w:rsid w:val="000866F2"/>
    <w:rsid w:val="0009009F"/>
    <w:rsid w:val="0009031B"/>
    <w:rsid w:val="00091557"/>
    <w:rsid w:val="000924C1"/>
    <w:rsid w:val="000924F0"/>
    <w:rsid w:val="00093474"/>
    <w:rsid w:val="0009510F"/>
    <w:rsid w:val="000A0445"/>
    <w:rsid w:val="000A1B7B"/>
    <w:rsid w:val="000A262F"/>
    <w:rsid w:val="000A56F2"/>
    <w:rsid w:val="000B2719"/>
    <w:rsid w:val="000B3A8F"/>
    <w:rsid w:val="000B4AB9"/>
    <w:rsid w:val="000B58C3"/>
    <w:rsid w:val="000B61E9"/>
    <w:rsid w:val="000B67EF"/>
    <w:rsid w:val="000B726C"/>
    <w:rsid w:val="000C165A"/>
    <w:rsid w:val="000C27FD"/>
    <w:rsid w:val="000C2E19"/>
    <w:rsid w:val="000D0D07"/>
    <w:rsid w:val="000D4797"/>
    <w:rsid w:val="000E0527"/>
    <w:rsid w:val="000E1E92"/>
    <w:rsid w:val="000E235F"/>
    <w:rsid w:val="000E474B"/>
    <w:rsid w:val="000E4FF4"/>
    <w:rsid w:val="000F06D6"/>
    <w:rsid w:val="000F0EB1"/>
    <w:rsid w:val="000F0F1F"/>
    <w:rsid w:val="000F1106"/>
    <w:rsid w:val="000F3BE9"/>
    <w:rsid w:val="000F3F6C"/>
    <w:rsid w:val="000F6DF3"/>
    <w:rsid w:val="001005FF"/>
    <w:rsid w:val="0010182E"/>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4BEB"/>
    <w:rsid w:val="001659C1"/>
    <w:rsid w:val="00173A8E"/>
    <w:rsid w:val="00177795"/>
    <w:rsid w:val="00177F10"/>
    <w:rsid w:val="00180366"/>
    <w:rsid w:val="0018143F"/>
    <w:rsid w:val="001821C6"/>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8B7"/>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45A2"/>
    <w:rsid w:val="00295AA9"/>
    <w:rsid w:val="00296227"/>
    <w:rsid w:val="002966E4"/>
    <w:rsid w:val="00296F44"/>
    <w:rsid w:val="002972F4"/>
    <w:rsid w:val="0029777D"/>
    <w:rsid w:val="002A055E"/>
    <w:rsid w:val="002A1D4E"/>
    <w:rsid w:val="002A2869"/>
    <w:rsid w:val="002A7427"/>
    <w:rsid w:val="002B24D6"/>
    <w:rsid w:val="002B335C"/>
    <w:rsid w:val="002B647F"/>
    <w:rsid w:val="002C41E6"/>
    <w:rsid w:val="002C5BA4"/>
    <w:rsid w:val="002D0599"/>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42A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06"/>
    <w:rsid w:val="005154B1"/>
    <w:rsid w:val="005219CF"/>
    <w:rsid w:val="00534B59"/>
    <w:rsid w:val="00536759"/>
    <w:rsid w:val="00537C62"/>
    <w:rsid w:val="00540B62"/>
    <w:rsid w:val="00546970"/>
    <w:rsid w:val="00547DF0"/>
    <w:rsid w:val="00547F4D"/>
    <w:rsid w:val="00550011"/>
    <w:rsid w:val="00550419"/>
    <w:rsid w:val="00551D4F"/>
    <w:rsid w:val="00554E19"/>
    <w:rsid w:val="0056121F"/>
    <w:rsid w:val="00572505"/>
    <w:rsid w:val="00582809"/>
    <w:rsid w:val="0058335A"/>
    <w:rsid w:val="00583385"/>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3D26"/>
    <w:rsid w:val="005C74FB"/>
    <w:rsid w:val="005D1602"/>
    <w:rsid w:val="005D1DE7"/>
    <w:rsid w:val="005D2D16"/>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38FD"/>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1F"/>
    <w:rsid w:val="0067218F"/>
    <w:rsid w:val="006736D5"/>
    <w:rsid w:val="006741F2"/>
    <w:rsid w:val="00674564"/>
    <w:rsid w:val="00674CC3"/>
    <w:rsid w:val="00675C72"/>
    <w:rsid w:val="00676B38"/>
    <w:rsid w:val="006771F9"/>
    <w:rsid w:val="006776D7"/>
    <w:rsid w:val="0068096D"/>
    <w:rsid w:val="00681003"/>
    <w:rsid w:val="006816F7"/>
    <w:rsid w:val="006817C9"/>
    <w:rsid w:val="00683C0E"/>
    <w:rsid w:val="00683ECE"/>
    <w:rsid w:val="0068441C"/>
    <w:rsid w:val="0068756A"/>
    <w:rsid w:val="00692319"/>
    <w:rsid w:val="00693BA9"/>
    <w:rsid w:val="00695A5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16EA"/>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651A"/>
    <w:rsid w:val="00797B44"/>
    <w:rsid w:val="00797EA3"/>
    <w:rsid w:val="007A1CB3"/>
    <w:rsid w:val="007A306F"/>
    <w:rsid w:val="007A43A6"/>
    <w:rsid w:val="007A58A6"/>
    <w:rsid w:val="007B3D2D"/>
    <w:rsid w:val="007B50AE"/>
    <w:rsid w:val="007B51DF"/>
    <w:rsid w:val="007B78FE"/>
    <w:rsid w:val="007C05DD"/>
    <w:rsid w:val="007C3D18"/>
    <w:rsid w:val="007C5ACD"/>
    <w:rsid w:val="007C60BF"/>
    <w:rsid w:val="007C6A07"/>
    <w:rsid w:val="007C75A1"/>
    <w:rsid w:val="007C77A5"/>
    <w:rsid w:val="007D04E5"/>
    <w:rsid w:val="007D13F7"/>
    <w:rsid w:val="007D3A69"/>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65AD"/>
    <w:rsid w:val="00856911"/>
    <w:rsid w:val="008677FD"/>
    <w:rsid w:val="008706D4"/>
    <w:rsid w:val="0087078B"/>
    <w:rsid w:val="00870F8A"/>
    <w:rsid w:val="008719A4"/>
    <w:rsid w:val="00871D23"/>
    <w:rsid w:val="00874312"/>
    <w:rsid w:val="0087437C"/>
    <w:rsid w:val="00875CD7"/>
    <w:rsid w:val="00876B4D"/>
    <w:rsid w:val="00876B70"/>
    <w:rsid w:val="00877F18"/>
    <w:rsid w:val="00894A88"/>
    <w:rsid w:val="00895386"/>
    <w:rsid w:val="00897E65"/>
    <w:rsid w:val="008A1D68"/>
    <w:rsid w:val="008A21FF"/>
    <w:rsid w:val="008A2CE2"/>
    <w:rsid w:val="008A30AC"/>
    <w:rsid w:val="008A44B8"/>
    <w:rsid w:val="008A4CB1"/>
    <w:rsid w:val="008A51A8"/>
    <w:rsid w:val="008A54C7"/>
    <w:rsid w:val="008A77D8"/>
    <w:rsid w:val="008B0483"/>
    <w:rsid w:val="008B120C"/>
    <w:rsid w:val="008B4764"/>
    <w:rsid w:val="008B51A0"/>
    <w:rsid w:val="008B592A"/>
    <w:rsid w:val="008B64FC"/>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FB"/>
    <w:rsid w:val="00941636"/>
    <w:rsid w:val="00943742"/>
    <w:rsid w:val="0094477F"/>
    <w:rsid w:val="00945C05"/>
    <w:rsid w:val="009466D8"/>
    <w:rsid w:val="00946945"/>
    <w:rsid w:val="00947713"/>
    <w:rsid w:val="00950DE7"/>
    <w:rsid w:val="00953920"/>
    <w:rsid w:val="00953D47"/>
    <w:rsid w:val="0095681E"/>
    <w:rsid w:val="009572D4"/>
    <w:rsid w:val="00961921"/>
    <w:rsid w:val="0096430A"/>
    <w:rsid w:val="0096554B"/>
    <w:rsid w:val="0096584A"/>
    <w:rsid w:val="00971F08"/>
    <w:rsid w:val="0097209D"/>
    <w:rsid w:val="00974240"/>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0665"/>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212"/>
    <w:rsid w:val="00B52BA1"/>
    <w:rsid w:val="00B6188F"/>
    <w:rsid w:val="00B664C7"/>
    <w:rsid w:val="00B7198C"/>
    <w:rsid w:val="00B739F6"/>
    <w:rsid w:val="00B81A6C"/>
    <w:rsid w:val="00B835AD"/>
    <w:rsid w:val="00B85DE5"/>
    <w:rsid w:val="00B87C34"/>
    <w:rsid w:val="00B90F73"/>
    <w:rsid w:val="00B91C25"/>
    <w:rsid w:val="00B93B59"/>
    <w:rsid w:val="00B9406A"/>
    <w:rsid w:val="00B97752"/>
    <w:rsid w:val="00BA05EB"/>
    <w:rsid w:val="00BA2280"/>
    <w:rsid w:val="00BA2A08"/>
    <w:rsid w:val="00BA2CD3"/>
    <w:rsid w:val="00BA56D2"/>
    <w:rsid w:val="00BA76E0"/>
    <w:rsid w:val="00BB2A25"/>
    <w:rsid w:val="00BB51E9"/>
    <w:rsid w:val="00BB7181"/>
    <w:rsid w:val="00BC0FDC"/>
    <w:rsid w:val="00BC2333"/>
    <w:rsid w:val="00BC3053"/>
    <w:rsid w:val="00BC4D2E"/>
    <w:rsid w:val="00BD2878"/>
    <w:rsid w:val="00BD48AC"/>
    <w:rsid w:val="00BD5F1A"/>
    <w:rsid w:val="00BE1234"/>
    <w:rsid w:val="00BE2FA6"/>
    <w:rsid w:val="00BE333F"/>
    <w:rsid w:val="00BE3E73"/>
    <w:rsid w:val="00BE69D0"/>
    <w:rsid w:val="00BE7406"/>
    <w:rsid w:val="00BE7603"/>
    <w:rsid w:val="00BF3279"/>
    <w:rsid w:val="00BF4987"/>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3B66"/>
    <w:rsid w:val="00C279B5"/>
    <w:rsid w:val="00C27C45"/>
    <w:rsid w:val="00C3719D"/>
    <w:rsid w:val="00C52957"/>
    <w:rsid w:val="00C54995"/>
    <w:rsid w:val="00C54D41"/>
    <w:rsid w:val="00C57818"/>
    <w:rsid w:val="00C60783"/>
    <w:rsid w:val="00C64672"/>
    <w:rsid w:val="00C654D6"/>
    <w:rsid w:val="00C70697"/>
    <w:rsid w:val="00C71C9F"/>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5F8B"/>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0AB7"/>
    <w:rsid w:val="00D21F5F"/>
    <w:rsid w:val="00D239A7"/>
    <w:rsid w:val="00D23F47"/>
    <w:rsid w:val="00D269FA"/>
    <w:rsid w:val="00D27862"/>
    <w:rsid w:val="00D3019D"/>
    <w:rsid w:val="00D36E71"/>
    <w:rsid w:val="00D37D87"/>
    <w:rsid w:val="00D40B33"/>
    <w:rsid w:val="00D41547"/>
    <w:rsid w:val="00D4318F"/>
    <w:rsid w:val="00D438BF"/>
    <w:rsid w:val="00D440F8"/>
    <w:rsid w:val="00D50F97"/>
    <w:rsid w:val="00D532CB"/>
    <w:rsid w:val="00D538F4"/>
    <w:rsid w:val="00D546FF"/>
    <w:rsid w:val="00D55AD5"/>
    <w:rsid w:val="00D576CA"/>
    <w:rsid w:val="00D606D2"/>
    <w:rsid w:val="00D61AF5"/>
    <w:rsid w:val="00D652B5"/>
    <w:rsid w:val="00D66155"/>
    <w:rsid w:val="00D708B0"/>
    <w:rsid w:val="00D7224D"/>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35EE"/>
    <w:rsid w:val="00DA5417"/>
    <w:rsid w:val="00DA56E8"/>
    <w:rsid w:val="00DB0A9F"/>
    <w:rsid w:val="00DB377D"/>
    <w:rsid w:val="00DB579A"/>
    <w:rsid w:val="00DC032C"/>
    <w:rsid w:val="00DC2D36"/>
    <w:rsid w:val="00DC53EF"/>
    <w:rsid w:val="00DC5DD8"/>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20FC"/>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E6B0A"/>
    <w:rsid w:val="00EF18FE"/>
    <w:rsid w:val="00EF5787"/>
    <w:rsid w:val="00EF60D0"/>
    <w:rsid w:val="00F01A46"/>
    <w:rsid w:val="00F01FBF"/>
    <w:rsid w:val="00F036CF"/>
    <w:rsid w:val="00F0528D"/>
    <w:rsid w:val="00F06C67"/>
    <w:rsid w:val="00F06DFD"/>
    <w:rsid w:val="00F071D1"/>
    <w:rsid w:val="00F07533"/>
    <w:rsid w:val="00F10629"/>
    <w:rsid w:val="00F154BD"/>
    <w:rsid w:val="00F15FA5"/>
    <w:rsid w:val="00F17FAC"/>
    <w:rsid w:val="00F209B7"/>
    <w:rsid w:val="00F22083"/>
    <w:rsid w:val="00F2211F"/>
    <w:rsid w:val="00F2376F"/>
    <w:rsid w:val="00F243D8"/>
    <w:rsid w:val="00F30828"/>
    <w:rsid w:val="00F313D6"/>
    <w:rsid w:val="00F332FE"/>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7F53"/>
    <w:rsid w:val="00F703BE"/>
    <w:rsid w:val="00F71F69"/>
    <w:rsid w:val="00F72B72"/>
    <w:rsid w:val="00F74BB9"/>
    <w:rsid w:val="00F75582"/>
    <w:rsid w:val="00F764A0"/>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361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8096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809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096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8AC33AC5-44CD-4A44-9563-21D78447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1883</Words>
  <Characters>10736</Characters>
  <Application>Microsoft Office Word</Application>
  <DocSecurity>0</DocSecurity>
  <Lines>89</Lines>
  <Paragraphs>25</Paragraphs>
  <ScaleCrop>false</ScaleCrop>
  <Company/>
  <LinksUpToDate>false</LinksUpToDate>
  <CharactersWithSpaces>12594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2017-09-12T04:52:00Z</dcterms:created>
  <dcterms:modified xsi:type="dcterms:W3CDTF">2017-09-12T05:03:00Z</dcterms:modified>
</cp:coreProperties>
</file>